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57">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260" w:right="20" w:hanging="719"/>
        <w:spacing w:after="0" w:line="256" w:lineRule="auto"/>
        <w:tabs>
          <w:tab w:leader="none" w:pos="12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260" w:hanging="678"/>
        <w:spacing w:after="0" w:line="256" w:lineRule="auto"/>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1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3480435</wp:posOffset>
            </wp:positionH>
            <wp:positionV relativeFrom="paragraph">
              <wp:posOffset>-10160</wp:posOffset>
            </wp:positionV>
            <wp:extent cx="1765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3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1-15371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iSTAR FINANCIAL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5320" w:type="dxa"/>
            <w:vAlign w:val="bottom"/>
          </w:tcPr>
          <w:p>
            <w:pPr>
              <w:jc w:val="center"/>
              <w:ind w:right="1052"/>
              <w:spacing w:after="0"/>
              <w:rPr>
                <w:sz w:val="20"/>
                <w:szCs w:val="20"/>
                <w:color w:val="auto"/>
              </w:rPr>
            </w:pPr>
            <w:r>
              <w:rPr>
                <w:rFonts w:ascii="Arial" w:cs="Arial" w:eastAsia="Arial" w:hAnsi="Arial"/>
                <w:sz w:val="18"/>
                <w:szCs w:val="18"/>
                <w:b w:val="1"/>
                <w:bCs w:val="1"/>
                <w:color w:val="auto"/>
                <w:w w:val="93"/>
              </w:rPr>
              <w:t>Maryland</w:t>
            </w:r>
          </w:p>
        </w:tc>
        <w:tc>
          <w:tcPr>
            <w:tcW w:w="4020" w:type="dxa"/>
            <w:vAlign w:val="bottom"/>
          </w:tcPr>
          <w:p>
            <w:pPr>
              <w:jc w:val="right"/>
              <w:ind w:right="932"/>
              <w:spacing w:after="0"/>
              <w:rPr>
                <w:sz w:val="20"/>
                <w:szCs w:val="20"/>
                <w:color w:val="auto"/>
              </w:rPr>
            </w:pPr>
            <w:r>
              <w:rPr>
                <w:rFonts w:ascii="Arial" w:cs="Arial" w:eastAsia="Arial" w:hAnsi="Arial"/>
                <w:sz w:val="18"/>
                <w:szCs w:val="18"/>
                <w:b w:val="1"/>
                <w:bCs w:val="1"/>
                <w:color w:val="auto"/>
              </w:rPr>
              <w:t>95-6881527</w:t>
            </w:r>
          </w:p>
        </w:tc>
        <w:tc>
          <w:tcPr>
            <w:tcW w:w="0" w:type="dxa"/>
            <w:vAlign w:val="bottom"/>
          </w:tcPr>
          <w:p>
            <w:pPr>
              <w:spacing w:after="0"/>
              <w:rPr>
                <w:sz w:val="1"/>
                <w:szCs w:val="1"/>
                <w:color w:val="auto"/>
              </w:rPr>
            </w:pPr>
          </w:p>
        </w:tc>
      </w:tr>
      <w:tr>
        <w:trPr>
          <w:trHeight w:val="222"/>
        </w:trPr>
        <w:tc>
          <w:tcPr>
            <w:tcW w:w="5320" w:type="dxa"/>
            <w:vAlign w:val="bottom"/>
          </w:tcPr>
          <w:p>
            <w:pPr>
              <w:jc w:val="center"/>
              <w:ind w:right="105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4020" w:type="dxa"/>
            <w:vAlign w:val="bottom"/>
          </w:tcPr>
          <w:p>
            <w:pPr>
              <w:jc w:val="center"/>
              <w:ind w:left="1072"/>
              <w:spacing w:after="0"/>
              <w:rPr>
                <w:sz w:val="20"/>
                <w:szCs w:val="20"/>
                <w:color w:val="auto"/>
              </w:rPr>
            </w:pPr>
            <w:r>
              <w:rPr>
                <w:rFonts w:ascii="Arial" w:cs="Arial" w:eastAsia="Arial" w:hAnsi="Arial"/>
                <w:sz w:val="18"/>
                <w:szCs w:val="18"/>
                <w:color w:val="auto"/>
                <w:w w:val="91"/>
              </w:rPr>
              <w:t>(I.R.S. Employer Identification Number)</w:t>
            </w:r>
          </w:p>
        </w:tc>
        <w:tc>
          <w:tcPr>
            <w:tcW w:w="0" w:type="dxa"/>
            <w:vAlign w:val="bottom"/>
          </w:tcPr>
          <w:p>
            <w:pPr>
              <w:spacing w:after="0"/>
              <w:rPr>
                <w:sz w:val="1"/>
                <w:szCs w:val="1"/>
                <w:color w:val="auto"/>
              </w:rPr>
            </w:pPr>
          </w:p>
        </w:tc>
      </w:tr>
      <w:tr>
        <w:trPr>
          <w:trHeight w:val="487"/>
        </w:trPr>
        <w:tc>
          <w:tcPr>
            <w:tcW w:w="5320" w:type="dxa"/>
            <w:vAlign w:val="bottom"/>
          </w:tcPr>
          <w:p>
            <w:pPr>
              <w:jc w:val="center"/>
              <w:ind w:right="1052"/>
              <w:spacing w:after="0"/>
              <w:rPr>
                <w:sz w:val="20"/>
                <w:szCs w:val="20"/>
                <w:color w:val="auto"/>
              </w:rPr>
            </w:pPr>
            <w:r>
              <w:rPr>
                <w:rFonts w:ascii="Arial" w:cs="Arial" w:eastAsia="Arial" w:hAnsi="Arial"/>
                <w:sz w:val="18"/>
                <w:szCs w:val="18"/>
                <w:b w:val="1"/>
                <w:bCs w:val="1"/>
                <w:color w:val="auto"/>
                <w:w w:val="85"/>
              </w:rPr>
              <w:t>1114 Avenue of the Americas, 39</w:t>
            </w:r>
            <w:r>
              <w:rPr>
                <w:rFonts w:ascii="Arial" w:cs="Arial" w:eastAsia="Arial" w:hAnsi="Arial"/>
                <w:sz w:val="29"/>
                <w:szCs w:val="29"/>
                <w:b w:val="1"/>
                <w:bCs w:val="1"/>
                <w:color w:val="auto"/>
                <w:w w:val="85"/>
                <w:vertAlign w:val="superscript"/>
              </w:rPr>
              <w:t>th</w:t>
            </w:r>
            <w:r>
              <w:rPr>
                <w:rFonts w:ascii="Arial" w:cs="Arial" w:eastAsia="Arial" w:hAnsi="Arial"/>
                <w:sz w:val="18"/>
                <w:szCs w:val="18"/>
                <w:b w:val="1"/>
                <w:bCs w:val="1"/>
                <w:color w:val="auto"/>
                <w:w w:val="85"/>
              </w:rPr>
              <w:t xml:space="preserve"> Floor</w:t>
            </w:r>
          </w:p>
        </w:tc>
        <w:tc>
          <w:tcPr>
            <w:tcW w:w="4020" w:type="dxa"/>
            <w:vAlign w:val="bottom"/>
            <w:vMerge w:val="restart"/>
          </w:tcPr>
          <w:p>
            <w:pPr>
              <w:jc w:val="right"/>
              <w:ind w:right="1132"/>
              <w:spacing w:after="0"/>
              <w:rPr>
                <w:sz w:val="20"/>
                <w:szCs w:val="20"/>
                <w:color w:val="auto"/>
              </w:rPr>
            </w:pPr>
            <w:r>
              <w:rPr>
                <w:rFonts w:ascii="Arial" w:cs="Arial" w:eastAsia="Arial" w:hAnsi="Arial"/>
                <w:sz w:val="18"/>
                <w:szCs w:val="18"/>
                <w:b w:val="1"/>
                <w:bCs w:val="1"/>
                <w:color w:val="auto"/>
              </w:rPr>
              <w:t>10036</w:t>
            </w:r>
          </w:p>
        </w:tc>
        <w:tc>
          <w:tcPr>
            <w:tcW w:w="0" w:type="dxa"/>
            <w:vAlign w:val="bottom"/>
          </w:tcPr>
          <w:p>
            <w:pPr>
              <w:spacing w:after="0"/>
              <w:rPr>
                <w:sz w:val="1"/>
                <w:szCs w:val="1"/>
                <w:color w:val="auto"/>
              </w:rPr>
            </w:pPr>
          </w:p>
        </w:tc>
      </w:tr>
      <w:tr>
        <w:trPr>
          <w:trHeight w:val="182"/>
        </w:trPr>
        <w:tc>
          <w:tcPr>
            <w:tcW w:w="5320" w:type="dxa"/>
            <w:vAlign w:val="bottom"/>
          </w:tcPr>
          <w:p>
            <w:pPr>
              <w:jc w:val="center"/>
              <w:ind w:right="1052"/>
              <w:spacing w:after="0" w:line="182" w:lineRule="exact"/>
              <w:rPr>
                <w:sz w:val="20"/>
                <w:szCs w:val="20"/>
                <w:color w:val="auto"/>
              </w:rPr>
            </w:pPr>
            <w:r>
              <w:rPr>
                <w:rFonts w:ascii="Arial" w:cs="Arial" w:eastAsia="Arial" w:hAnsi="Arial"/>
                <w:sz w:val="18"/>
                <w:szCs w:val="18"/>
                <w:b w:val="1"/>
                <w:bCs w:val="1"/>
                <w:color w:val="auto"/>
                <w:w w:val="93"/>
              </w:rPr>
              <w:t>New York, NY</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320" w:type="dxa"/>
            <w:vAlign w:val="bottom"/>
          </w:tcPr>
          <w:p>
            <w:pPr>
              <w:jc w:val="center"/>
              <w:ind w:right="1052"/>
              <w:spacing w:after="0"/>
              <w:rPr>
                <w:sz w:val="20"/>
                <w:szCs w:val="20"/>
                <w:color w:val="auto"/>
              </w:rPr>
            </w:pPr>
            <w:r>
              <w:rPr>
                <w:rFonts w:ascii="Arial" w:cs="Arial" w:eastAsia="Arial" w:hAnsi="Arial"/>
                <w:sz w:val="18"/>
                <w:szCs w:val="18"/>
                <w:color w:val="auto"/>
                <w:w w:val="90"/>
              </w:rPr>
              <w:t>(Address of principal executive offices)</w:t>
            </w:r>
          </w:p>
        </w:tc>
        <w:tc>
          <w:tcPr>
            <w:tcW w:w="4020" w:type="dxa"/>
            <w:vAlign w:val="bottom"/>
          </w:tcPr>
          <w:p>
            <w:pPr>
              <w:jc w:val="center"/>
              <w:ind w:left="107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3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7" w:lineRule="exact"/>
        <w:rPr>
          <w:sz w:val="24"/>
          <w:szCs w:val="24"/>
          <w:color w:val="auto"/>
        </w:rPr>
      </w:pPr>
    </w:p>
    <w:p>
      <w:pPr>
        <w:ind w:left="380"/>
        <w:spacing w:after="0" w:line="207" w:lineRule="exact"/>
        <w:tabs>
          <w:tab w:leader="none" w:pos="3460" w:val="left"/>
          <w:tab w:leader="none" w:pos="6100" w:val="left"/>
          <w:tab w:leader="none" w:pos="89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39" w:lineRule="exact"/>
        <w:rPr>
          <w:sz w:val="24"/>
          <w:szCs w:val="24"/>
          <w:color w:val="auto"/>
        </w:rPr>
      </w:pPr>
    </w:p>
    <w:p>
      <w:pPr>
        <w:jc w:val="center"/>
        <w:ind w:left="2440"/>
        <w:spacing w:after="0"/>
        <w:rPr>
          <w:sz w:val="20"/>
          <w:szCs w:val="20"/>
          <w:color w:val="auto"/>
        </w:rPr>
      </w:pPr>
      <w:r>
        <w:rPr>
          <w:rFonts w:ascii="Arial" w:cs="Arial" w:eastAsia="Arial" w:hAnsi="Arial"/>
          <w:sz w:val="14"/>
          <w:szCs w:val="14"/>
          <w:color w:val="auto"/>
        </w:rPr>
        <w:t>(Do not check if a smaller reporting</w:t>
      </w:r>
    </w:p>
    <w:p>
      <w:pPr>
        <w:jc w:val="center"/>
        <w:ind w:left="2440"/>
        <w:spacing w:after="0"/>
        <w:rPr>
          <w:sz w:val="20"/>
          <w:szCs w:val="20"/>
          <w:color w:val="auto"/>
        </w:rPr>
      </w:pPr>
      <w:r>
        <w:rPr>
          <w:rFonts w:ascii="Arial" w:cs="Arial" w:eastAsia="Arial" w:hAnsi="Arial"/>
          <w:sz w:val="14"/>
          <w:szCs w:val="14"/>
          <w:color w:val="auto"/>
        </w:rPr>
        <w:t>company)</w:t>
      </w:r>
    </w:p>
    <w:p>
      <w:pPr>
        <w:spacing w:after="0" w:line="162" w:lineRule="exact"/>
        <w:rPr>
          <w:sz w:val="24"/>
          <w:szCs w:val="24"/>
          <w:color w:val="auto"/>
        </w:rPr>
      </w:pPr>
    </w:p>
    <w:p>
      <w:pPr>
        <w:ind w:left="360"/>
        <w:spacing w:after="0" w:line="184" w:lineRule="exact"/>
        <w:tabs>
          <w:tab w:leader="none" w:pos="8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April 30, 2008, there were 134,406,695 shares of common stock, $0.001/par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type w:val="continuous"/>
        </w:sectPr>
      </w:pPr>
    </w:p>
    <w:bookmarkStart w:id="1" w:name="page2"/>
    <w:bookmarkEnd w:id="1"/>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13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320" w:type="dxa"/>
            <w:vAlign w:val="bottom"/>
            <w:vMerge w:val="continue"/>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Consolidated Financial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Consolidated Balance Sheets (unaudited) as of March 31, 2008 and December 31, 2007</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Consolidated Statements of Operations (unaudited)—For each of the three months ended March 31, 2008 and 2007</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9"/>
              </w:rPr>
              <w:t>Consolidated Statement of Changes in Shareholders' Equity (unaudited)—For the three months ended March 31, 2008</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Consolidated Statements of Cash Flows (unaudited)—For the three months ended March 31, 2008 and 2007</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1a.</w:t>
            </w:r>
          </w:p>
        </w:tc>
        <w:tc>
          <w:tcPr>
            <w:tcW w:w="96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180"/>
              <w:spacing w:after="0"/>
              <w:rPr>
                <w:sz w:val="20"/>
                <w:szCs w:val="20"/>
                <w:color w:val="auto"/>
              </w:rPr>
            </w:pPr>
            <w:r>
              <w:rPr>
                <w:rFonts w:ascii="Arial" w:cs="Arial" w:eastAsia="Arial" w:hAnsi="Arial"/>
                <w:sz w:val="18"/>
                <w:szCs w:val="18"/>
                <w:color w:val="auto"/>
              </w:rPr>
              <w:t>Submission of Matters to a Vote of Security Holders</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5.</w:t>
            </w:r>
          </w:p>
        </w:tc>
        <w:tc>
          <w:tcPr>
            <w:tcW w:w="964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180"/>
              <w:spacing w:after="0"/>
              <w:rPr>
                <w:sz w:val="20"/>
                <w:szCs w:val="20"/>
                <w:color w:val="auto"/>
              </w:rPr>
            </w:pPr>
            <w:r>
              <w:rPr>
                <w:rFonts w:ascii="Arial" w:cs="Arial" w:eastAsia="Arial" w:hAnsi="Arial"/>
                <w:sz w:val="18"/>
                <w:szCs w:val="18"/>
                <w:color w:val="auto"/>
              </w:rPr>
              <w:t>Exhibits</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20"/>
        </w:trPr>
        <w:tc>
          <w:tcPr>
            <w:tcW w:w="1320" w:type="dxa"/>
            <w:vAlign w:val="bottom"/>
            <w:tcBorders>
              <w:bottom w:val="single" w:sz="8" w:color="808080"/>
            </w:tcBorders>
          </w:tcPr>
          <w:p>
            <w:pPr>
              <w:spacing w:after="0"/>
              <w:rPr>
                <w:sz w:val="10"/>
                <w:szCs w:val="10"/>
                <w:color w:val="auto"/>
              </w:rPr>
            </w:pPr>
          </w:p>
        </w:tc>
        <w:tc>
          <w:tcPr>
            <w:tcW w:w="96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-5280025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-5280025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1. CONSOLIDATED FINANCIAL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I.</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10,878,095</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10,949,354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3,328,210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956,887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856,609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284,134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and operating lease income receivable</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Deferred operating lease income receivable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107,245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43,278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16,112,295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8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tcBorders>
              <w:right w:val="single" w:sz="8" w:color="808080"/>
            </w:tcBorders>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639,910</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495,311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12,566,913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13,206,823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12,894,869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89"/>
              </w:rPr>
              <w:t>Series D Preferred Stock, $0.001 par value, liquidation preference $25.00 per share, 4,000 shares issued and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at March 31, 2008 and December 31, 2007</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Series E Preferred Stock, $0.001 par value, liquidation preference $25.00 per share, 5,600 shares issued and</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2008 and December 31, 2007</w:t>
            </w:r>
          </w:p>
        </w:tc>
        <w:tc>
          <w:tcPr>
            <w:tcW w:w="28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89"/>
              </w:rPr>
              <w:t>Series F Preferred Stock, $0.001 par value, liquidation preference $25.00 per share, 4,000 shares issued and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at March 31, 2008 and December 31, 2007</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Series G Preferred Stock, $0.001 par value, liquidation preference $25.00 per share, 3,200 shares issued and</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2008 and December 31, 2007</w:t>
            </w:r>
          </w:p>
        </w:tc>
        <w:tc>
          <w:tcPr>
            <w:tcW w:w="28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89"/>
              </w:rPr>
              <w:t>Series I Preferred Stock, $0.001 par value, liquidation preference $25.00 per share, 5,000 shares issued and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at March 31, 2008 and December 31, 2007</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 Performance Units</w:t>
            </w:r>
          </w:p>
        </w:tc>
        <w:tc>
          <w:tcPr>
            <w:tcW w:w="2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2"/>
              </w:rPr>
              <w:t>Common Stock, $0.001 par value, 200,000 shares authorized, 136,917 issued and 134,406 outstanding at</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March 31, 2008 and 136,340 issued and 133,929 outstanding at December 31, 2007</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3,709,895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3,700,086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(795,123)</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Accumulated other comprehensive income (losses) (see Note 13)</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(14,227)</w:t>
            </w:r>
          </w:p>
        </w:tc>
        <w:tc>
          <w:tcPr>
            <w:tcW w:w="2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(58,761)</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2,851,742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2,899,481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16,112,295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-6755130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-6755130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-6755130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-6755130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-4954270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-4954270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-4954270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-4954270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-3942080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-3942080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-3942080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-3942080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-3650615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-3650615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-3650615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-3650615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-614680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-614680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-614680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1004"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004"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w:t>
      </w:r>
    </w:p>
    <w:p>
      <w:pPr>
        <w:jc w:val="center"/>
        <w:ind w:left="820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58420</wp:posOffset>
            </wp:positionV>
            <wp:extent cx="18910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9103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276,100</w:t>
            </w:r>
          </w:p>
        </w:tc>
        <w:tc>
          <w:tcPr>
            <w:tcW w:w="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59,890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Operating costs—corporate tenant lease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320" w:type="dxa"/>
            <w:vAlign w:val="bottom"/>
            <w:gridSpan w:val="2"/>
          </w:tcPr>
          <w:p>
            <w:pPr>
              <w:spacing w:after="0"/>
              <w:rPr>
                <w:sz w:val="20"/>
                <w:szCs w:val="20"/>
                <w:color w:val="auto"/>
              </w:rPr>
            </w:pPr>
            <w:r>
              <w:rPr>
                <w:rFonts w:ascii="Arial" w:cs="Arial" w:eastAsia="Arial" w:hAnsi="Arial"/>
                <w:sz w:val="18"/>
                <w:szCs w:val="18"/>
                <w:color w:val="auto"/>
              </w:rPr>
              <w:t>Income before losses from equity method investments, minority interest and other items</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86,811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Losses from equity method investments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(2,598)</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86,389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94,096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 requirements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118"/>
        </w:trPr>
        <w:tc>
          <w:tcPr>
            <w:tcW w:w="832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320" w:type="dxa"/>
            <w:vAlign w:val="bottom"/>
            <w:gridSpan w:val="2"/>
          </w:tcPr>
          <w:p>
            <w:pPr>
              <w:spacing w:after="0"/>
              <w:rPr>
                <w:sz w:val="20"/>
                <w:szCs w:val="20"/>
                <w:color w:val="auto"/>
              </w:rPr>
            </w:pPr>
            <w:r>
              <w:rPr>
                <w:rFonts w:ascii="Arial" w:cs="Arial" w:eastAsia="Arial" w:hAnsi="Arial"/>
                <w:sz w:val="18"/>
                <w:szCs w:val="18"/>
                <w:color w:val="auto"/>
              </w:rPr>
              <w:t>Net income allocable to common shareholders and HPU holders(1)</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75,809</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83,516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Income from continuing operations per common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Weighted average number of common shares—basic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134,262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of common shares—diluted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Per HPU share data(2):</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per HPU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101.26</w:t>
            </w:r>
          </w:p>
        </w:tc>
        <w:tc>
          <w:tcPr>
            <w:tcW w:w="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Net income per HPU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104.20</w:t>
            </w:r>
          </w:p>
        </w:tc>
        <w:tc>
          <w:tcPr>
            <w:tcW w:w="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of HPU shares—basic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Weighted average number of HPU shares—diluted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-6825615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-6825615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-6825615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-6825615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-6122035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-6122035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-6122035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-6122035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-5830570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-5830570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-5830570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-5830570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-4715510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-4715510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-4715510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-4715510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-4424045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-4424045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-4424045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-4424045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-3858260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-3858260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-3858260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-3858260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-3292475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-3292475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-3292475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-3292475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-2863215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-2863215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-2863215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-2863215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05029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40" w:right="140" w:hanging="532"/>
        <w:spacing w:after="0" w:line="26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HPU holders are Company employees who purchased high performance common stock units under the Company's High Performance Unit Program (see Note 11).</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12—Earnings Per Share for additional information.</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Series D</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Series E</w:t>
            </w:r>
          </w:p>
        </w:tc>
        <w:tc>
          <w:tcPr>
            <w:tcW w:w="80" w:type="dxa"/>
            <w:vAlign w:val="bottom"/>
          </w:tcPr>
          <w:p>
            <w:pPr>
              <w:spacing w:after="0"/>
              <w:rPr>
                <w:sz w:val="12"/>
                <w:szCs w:val="12"/>
                <w:color w:val="auto"/>
              </w:rPr>
            </w:pPr>
          </w:p>
        </w:tc>
        <w:tc>
          <w:tcPr>
            <w:tcW w:w="6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Series 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Series G</w:t>
            </w:r>
          </w:p>
        </w:tc>
        <w:tc>
          <w:tcPr>
            <w:tcW w:w="100" w:type="dxa"/>
            <w:vAlign w:val="bottom"/>
          </w:tcPr>
          <w:p>
            <w:pPr>
              <w:spacing w:after="0"/>
              <w:rPr>
                <w:sz w:val="12"/>
                <w:szCs w:val="12"/>
                <w:color w:val="auto"/>
              </w:rPr>
            </w:pPr>
          </w:p>
        </w:tc>
        <w:tc>
          <w:tcPr>
            <w:tcW w:w="5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Series I</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Preferred</w:t>
            </w: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Preferred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Preferred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Stock at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Treasury</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HPU's</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5"/>
                <w:szCs w:val="15"/>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5"/>
              </w:rPr>
              <w:t>(losses)</w:t>
            </w:r>
          </w:p>
        </w:tc>
        <w:tc>
          <w:tcPr>
            <w:tcW w:w="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December 31, 2007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3,700,086</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(752,440)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(57,219)</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$ 2,899,481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(1,392)</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Dividends declared—</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preferred</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(10,580)</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w w:val="99"/>
              </w:rPr>
              <w:t>Dividends declared—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60" w:type="dxa"/>
            <w:vAlign w:val="bottom"/>
            <w:gridSpan w:val="2"/>
          </w:tcPr>
          <w:p>
            <w:pPr>
              <w:spacing w:after="0" w:line="159" w:lineRule="exact"/>
              <w:rPr>
                <w:sz w:val="20"/>
                <w:szCs w:val="20"/>
                <w:color w:val="auto"/>
              </w:rPr>
            </w:pPr>
            <w:r>
              <w:rPr>
                <w:rFonts w:ascii="Arial" w:cs="Arial" w:eastAsia="Arial" w:hAnsi="Arial"/>
                <w:sz w:val="14"/>
                <w:szCs w:val="14"/>
                <w:color w:val="auto"/>
              </w:rPr>
              <w:t>common</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(116,040)</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(116,040)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Dividends declared—</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HPU</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(2,452)</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Repurchase of stock</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(1,542)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stock—</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vested restricted stock</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units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2,688</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2,689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Issuance of stock—</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gridSpan w:val="2"/>
          </w:tcPr>
          <w:p>
            <w:pPr>
              <w:spacing w:after="0" w:line="149" w:lineRule="exact"/>
              <w:rPr>
                <w:sz w:val="20"/>
                <w:szCs w:val="20"/>
                <w:color w:val="auto"/>
              </w:rPr>
            </w:pPr>
            <w:r>
              <w:rPr>
                <w:rFonts w:ascii="Arial" w:cs="Arial" w:eastAsia="Arial" w:hAnsi="Arial"/>
                <w:sz w:val="14"/>
                <w:szCs w:val="14"/>
                <w:color w:val="auto"/>
              </w:rPr>
              <w:t>DRIP/stock purchase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60" w:type="dxa"/>
            <w:vAlign w:val="bottom"/>
            <w:gridSpan w:val="2"/>
          </w:tcPr>
          <w:p>
            <w:pPr>
              <w:spacing w:after="0" w:line="159" w:lineRule="exact"/>
              <w:rPr>
                <w:sz w:val="20"/>
                <w:szCs w:val="20"/>
                <w:color w:val="auto"/>
              </w:rPr>
            </w:pPr>
            <w:r>
              <w:rPr>
                <w:rFonts w:ascii="Arial" w:cs="Arial" w:eastAsia="Arial" w:hAnsi="Arial"/>
                <w:sz w:val="14"/>
                <w:szCs w:val="14"/>
                <w:color w:val="auto"/>
              </w:rPr>
              <w:t>plan</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506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for the</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period</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86,389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86,389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spacing w:after="0" w:line="138" w:lineRule="exact"/>
              <w:rPr>
                <w:sz w:val="20"/>
                <w:szCs w:val="20"/>
                <w:color w:val="auto"/>
              </w:rPr>
            </w:pPr>
            <w:r>
              <w:rPr>
                <w:rFonts w:ascii="Arial" w:cs="Arial" w:eastAsia="Arial" w:hAnsi="Arial"/>
                <w:sz w:val="14"/>
                <w:szCs w:val="14"/>
                <w:color w:val="auto"/>
              </w:rPr>
              <w:t>Change in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gridSpan w:val="2"/>
          </w:tcPr>
          <w:p>
            <w:pPr>
              <w:spacing w:after="0" w:line="149" w:lineRule="exact"/>
              <w:rPr>
                <w:sz w:val="20"/>
                <w:szCs w:val="20"/>
                <w:color w:val="auto"/>
              </w:rPr>
            </w:pPr>
            <w:r>
              <w:rPr>
                <w:rFonts w:ascii="Arial" w:cs="Arial" w:eastAsia="Arial" w:hAnsi="Arial"/>
                <w:sz w:val="14"/>
                <w:szCs w:val="14"/>
                <w:color w:val="auto"/>
              </w:rPr>
              <w:t>accumulated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gridSpan w:val="2"/>
          </w:tcPr>
          <w:p>
            <w:pPr>
              <w:spacing w:after="0" w:line="149" w:lineRule="exact"/>
              <w:rPr>
                <w:sz w:val="20"/>
                <w:szCs w:val="20"/>
                <w:color w:val="auto"/>
              </w:rPr>
            </w:pPr>
            <w:r>
              <w:rPr>
                <w:rFonts w:ascii="Arial" w:cs="Arial" w:eastAsia="Arial" w:hAnsi="Arial"/>
                <w:sz w:val="14"/>
                <w:szCs w:val="14"/>
                <w:color w:val="auto"/>
                <w:w w:val="93"/>
              </w:rPr>
              <w:t>comprehensive income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60" w:type="dxa"/>
            <w:vAlign w:val="bottom"/>
            <w:gridSpan w:val="2"/>
          </w:tcPr>
          <w:p>
            <w:pPr>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(11,932)</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(11,932)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Balance at March 31,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3,709,895</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(795,123)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(14,227)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(58,761)</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$ 2,851,742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-2604135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-2604135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-2604135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-2604135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-2604135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-2604135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-2604135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-2604135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-2604135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-2604135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-2604135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-2604135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-2604135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-2604135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-2604135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-2604135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-2604135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-2604135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-2604135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-2604135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-2604135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-2604135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-2604135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-2604135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-2604135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-2604135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-374650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-374650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-374650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-374650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-374650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-374650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-374650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-374650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-374650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-374650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-374650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-374650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-374650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-374650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-374650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-374650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-374650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-374650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-374650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-374650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-374650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-374650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-374650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-374650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-374650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-374650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For the</w:t>
      </w:r>
    </w:p>
    <w:p>
      <w:pPr>
        <w:jc w:val="center"/>
        <w:ind w:left="816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58420</wp:posOffset>
            </wp:positionV>
            <wp:extent cx="1916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1643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86,389</w:t>
            </w:r>
          </w:p>
        </w:tc>
        <w:tc>
          <w:tcPr>
            <w:tcW w:w="22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94,096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flows from operating activities: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 in consolidated entities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4,609</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Shares withheld for employee taxes on stock based compensation arrangements</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(2,548)</w:t>
            </w:r>
          </w:p>
        </w:tc>
        <w:tc>
          <w:tcPr>
            <w:tcW w:w="32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depletion and amortization</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28,009</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21,977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7,949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6,126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discounts/premiums, deferred interest and costs on lending investments</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(66,962)</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9,247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11,726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losses of unconsolidated entities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21,450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(4,977)</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Gain from discontinued operations, net</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(2,056)</w:t>
            </w:r>
          </w:p>
        </w:tc>
        <w:tc>
          <w:tcPr>
            <w:tcW w:w="32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loan losses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89,500</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deferred taxes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1,291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non-cash adjustments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Note receivable from investment redemption</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(44,228)</w:t>
            </w:r>
          </w:p>
        </w:tc>
        <w:tc>
          <w:tcPr>
            <w:tcW w:w="3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420"/>
              <w:spacing w:after="0" w:line="149" w:lineRule="exact"/>
              <w:rPr>
                <w:sz w:val="20"/>
                <w:szCs w:val="20"/>
                <w:color w:val="auto"/>
              </w:rPr>
            </w:pPr>
            <w:r>
              <w:rPr>
                <w:rFonts w:ascii="Arial" w:cs="Arial" w:eastAsia="Arial" w:hAnsi="Arial"/>
                <w:sz w:val="14"/>
                <w:szCs w:val="14"/>
                <w:color w:val="auto"/>
              </w:rPr>
              <w:t>Changes in accrued interest and operating lease income receivable</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16,308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deferred expenses and other assets</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(20,198)</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80" w:type="dxa"/>
            <w:vAlign w:val="bottom"/>
          </w:tcPr>
          <w:p>
            <w:pPr>
              <w:ind w:left="42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30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(30,346)</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(16,724)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97,731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830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830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New investment originations</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(10,953)</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(1,031,564)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(962,424)</w:t>
            </w:r>
          </w:p>
        </w:tc>
        <w:tc>
          <w:tcPr>
            <w:tcW w:w="32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Net proceeds from sales of corporate tenant lease assets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Repayments of and principal collections on loans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897,411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255,284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maturities or sales of securities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Contributions to unconsolidated entities</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(17,520)</w:t>
            </w:r>
          </w:p>
        </w:tc>
        <w:tc>
          <w:tcPr>
            <w:tcW w:w="32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 and improvements on corporate tenant lease assets</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(47,845)</w:t>
            </w:r>
          </w:p>
        </w:tc>
        <w:tc>
          <w:tcPr>
            <w:tcW w:w="32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investing activities, net</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(3,551)</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80" w:type="dxa"/>
            <w:vAlign w:val="bottom"/>
          </w:tcPr>
          <w:p>
            <w:pPr>
              <w:ind w:left="4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(131,590)</w:t>
            </w:r>
          </w:p>
        </w:tc>
        <w:tc>
          <w:tcPr>
            <w:tcW w:w="32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(1,055,072)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4,392,360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5,954,196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(4,035,232)</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(5,771,000)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secured term loans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355,108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7,066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under secured term loans</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(41,499)</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unsecured notes</w:t>
            </w:r>
          </w:p>
        </w:tc>
        <w:tc>
          <w:tcPr>
            <w:tcW w:w="3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1,035,000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under unsecured notes</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(570,000)</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Contributions from minority interest partners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to minority interest partners</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(484)</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(11,195)</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Common dividends paid</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(33,551)</w:t>
            </w:r>
          </w:p>
        </w:tc>
        <w:tc>
          <w:tcPr>
            <w:tcW w:w="3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dividends paid</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(10,580)</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HPU dividends paid</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(704)</w:t>
            </w:r>
          </w:p>
        </w:tc>
        <w:tc>
          <w:tcPr>
            <w:tcW w:w="3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HPUs issued/(redeemed)</w:t>
            </w:r>
          </w:p>
        </w:tc>
        <w:tc>
          <w:tcPr>
            <w:tcW w:w="3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ind w:left="200"/>
              <w:spacing w:after="0" w:line="149" w:lineRule="exact"/>
              <w:rPr>
                <w:sz w:val="20"/>
                <w:szCs w:val="20"/>
                <w:color w:val="auto"/>
              </w:rPr>
            </w:pPr>
            <w:r>
              <w:rPr>
                <w:rFonts w:ascii="Arial" w:cs="Arial" w:eastAsia="Arial" w:hAnsi="Arial"/>
                <w:sz w:val="14"/>
                <w:szCs w:val="14"/>
                <w:color w:val="auto"/>
              </w:rPr>
              <w:t>Purchase of treasury stock</w:t>
            </w:r>
          </w:p>
        </w:tc>
        <w:tc>
          <w:tcPr>
            <w:tcW w:w="30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(1,542)</w:t>
            </w:r>
          </w:p>
        </w:tc>
        <w:tc>
          <w:tcPr>
            <w:tcW w:w="3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exercise of options and issuance of DRIP/Stock purchase shares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6,015</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80" w:type="dxa"/>
            <w:vAlign w:val="bottom"/>
          </w:tcPr>
          <w:p>
            <w:pPr>
              <w:ind w:left="4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48,756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967,092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cash and cash equivalents</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14,897</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80" w:type="dxa"/>
            <w:vAlign w:val="bottom"/>
          </w:tcPr>
          <w:p>
            <w:pPr>
              <w:ind w:left="20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104,507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119,404</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-6454775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-6454775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-6454775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-6454775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-4225290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-4225290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-4225290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-4225290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-3976370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-3976370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-3976370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-3976370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-2878455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-2878455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-2878455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-2878455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-2630170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-2630170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-2630170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-2630170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-871855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-871855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-871855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-871855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-622935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-622935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-622935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-622935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-280035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-280035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-280035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—iStar Financial Inc. (the "Company") is a leading publicly-traded finance company focused on the commercial real estate industry.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provides custom-tailored financing to high-end private and corporate owners of real estate, including senior and mezzanine real estate debt, senior and mezzanine corporate capital, corporate net lease financing and equity. The Company, which is taxed as a real estate investment trust ("REIT"), seeks to deliver strong dividends and superior risk-adjusted returns on equity to shareholders by providing innovative and value-added financing solutions to its customers. The Company's two primary lines of business are lending and corporate tenant leasing.</w:t>
      </w:r>
    </w:p>
    <w:p>
      <w:pPr>
        <w:spacing w:after="0" w:line="16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Company's primary sources of revenues are interest income, which is the interest that borrowers pay on loans, and operating lease income, which is the rent that corporate customers pay to lease our CTL properties. A smaller and more variable source of revenue is other income, which consists primarily of prepayment penalties and realized gains that occur when borrowers repay their loans before the maturity date. The Company primarily generates income through the "spread" or "margin," which is the difference between the revenues generated from loans and leases and interest expense and the cost of CTL operations. The Company generally seeks to match-fund our revenue generating assets with either fixed or floating rate debt of a similar maturity so that changes in interest rates or the shape of the yield curve will have a minimal impact on earnings.</w:t>
      </w:r>
    </w:p>
    <w:p>
      <w:pPr>
        <w:spacing w:after="0" w:line="16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In 1998, the Company converted its organizational form to a</w:t>
      </w:r>
      <w:r>
        <w:rPr>
          <w:rFonts w:ascii="Arial" w:cs="Arial" w:eastAsia="Arial" w:hAnsi="Arial"/>
          <w:sz w:val="16"/>
          <w:szCs w:val="16"/>
          <w:b w:val="1"/>
          <w:bCs w:val="1"/>
          <w:color w:val="auto"/>
        </w:rPr>
        <w:t xml:space="preserve"> </w:t>
      </w:r>
      <w:r>
        <w:rPr>
          <w:rFonts w:ascii="Arial" w:cs="Arial" w:eastAsia="Arial" w:hAnsi="Arial"/>
          <w:sz w:val="16"/>
          <w:szCs w:val="16"/>
          <w:color w:val="auto"/>
        </w:rPr>
        <w:t>Maryland corporation and the Company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the acquisition of a significant non-controlling interest in Oak Hill Advisors, L.P. and affiliates in 2005, and the acquisition of the commercial real estate lending business of Fremont Investment and Loan ("Fremont CRE"), a division of Fremont General Corporation, in 2007.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2007.</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Consolidated Financial Statements include the accounts of the Company, its qualified REIT subsidiaries, its majority-owned and controlled partnerships and other entities that are consolidated under the provisions of FASB Interpretation No. 46R, "Consolidation of Variable Interest Entities," an interpretation of ARB 51 ("FIN 46R") (see Note 3). Certain investments in joint ventures or other entities which the Company does not control are accounted for under the equity method or the cost method (see Note 3 and Note 6). All significant intercompany balances and transactions have been eliminated in consolidation.</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opinion of management, the accompanying Consolidated Financial Statements contain all adjustments, consisting of normal recurring adjustments, necessary for a fair statement of the Company's consolidated financial position at March 31, 2008 and December 31, 2007, and the results of its operations and its cash flows for the three months ended March 31, 2008 and 2007, and its changes in shareholders' equity for the three months ended March 31, 2008. Such operating results may not be indicative of the expected results for any other interim periods or the entire year.</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2008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Loans and other lending investments, net</w:t>
      </w:r>
      <w:r>
        <w:rPr>
          <w:rFonts w:ascii="Arial" w:cs="Arial" w:eastAsia="Arial" w:hAnsi="Arial"/>
          <w:sz w:val="16"/>
          <w:szCs w:val="16"/>
          <w:color w:val="auto"/>
        </w:rPr>
        <w:t>—As described in Note 4, "Loans and Other Lending Investments" includes the following investments: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mortgages, subordinate mortgages, corporate/partnership loans and other lending investments-securities. Management considers nearly all of its loans and other lending investments to be held-for-investment or held-to-maturity, although a small number of investments may be classified as held-for-sale or available-for-sale. Items classified as held-for-investment or held-to-maturity are reported at their outstanding unpaid principal balance, net of unamortized acquisition premiums or discounts and unamortized deferred loan costs or fees. These items also include accrued and paid-in- kind interest and accrued exit fees that the Company determines are probable of being collected. Items classified as available-for-sale are reported at fair value with unrealized gains and losses included in "Accumulated other comprehensive income (losses)" on the Company's Consolidated Balance Sheets and are not included on the Company's Consolidated Statements of Operations.</w:t>
      </w:r>
    </w:p>
    <w:p>
      <w:pPr>
        <w:spacing w:after="0" w:line="166" w:lineRule="exact"/>
        <w:rPr>
          <w:sz w:val="20"/>
          <w:szCs w:val="20"/>
          <w:color w:val="auto"/>
        </w:rPr>
      </w:pPr>
    </w:p>
    <w:p>
      <w:pPr>
        <w:ind w:right="380" w:firstLine="351"/>
        <w:spacing w:after="0" w:line="310" w:lineRule="auto"/>
        <w:rPr>
          <w:sz w:val="20"/>
          <w:szCs w:val="20"/>
          <w:color w:val="auto"/>
        </w:rPr>
      </w:pPr>
      <w:r>
        <w:rPr>
          <w:rFonts w:ascii="Arial" w:cs="Arial" w:eastAsia="Arial" w:hAnsi="Arial"/>
          <w:sz w:val="16"/>
          <w:szCs w:val="16"/>
          <w:b w:val="1"/>
          <w:bCs w:val="1"/>
          <w:color w:val="auto"/>
        </w:rPr>
        <w:t>Corporate tenant lease assets and depreciation</w:t>
      </w:r>
      <w:r>
        <w:rPr>
          <w:rFonts w:ascii="Arial" w:cs="Arial" w:eastAsia="Arial" w:hAnsi="Arial"/>
          <w:sz w:val="16"/>
          <w:szCs w:val="16"/>
          <w:color w:val="auto"/>
        </w:rPr>
        <w:t>—CTL assets are generally recorded at cost less accumulated depreciation. Certain improvements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replacements are capitalized when they extend the useful life, increase capacity or improve the efficiency of the asset. Repairs and maintenance items are expensed as incurred. Depreciation is computed using the straight-line method of cost recovery over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shorter of estimated useful lives or 40 years for facilities, five years for furniture and equipment, the shorter of the remaining lease term or expected life for tenant improvements and the remaining useful life of the facility for facility improvements.</w:t>
      </w:r>
    </w:p>
    <w:p>
      <w:pPr>
        <w:spacing w:after="0" w:line="186"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CTL assets to be disposed of are reported at the lower of their carrying amount or estimated fair value less costs to sell and are included in "Assets held for sale" on the Company's Consolidated Balance Sheets. The Company also periodically reviews long-lived assets to be held and used for an impairment in value whenever events or changes in circumstances indicate that the carrying amount of such assets may not be recoverable.</w:t>
      </w:r>
    </w:p>
    <w:p>
      <w:pPr>
        <w:spacing w:after="0" w:line="161"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6"/>
          <w:szCs w:val="16"/>
          <w:color w:val="auto"/>
        </w:rPr>
        <w:t>Regarding the Company's acquisition of facilities, purchase costs are allocated to the tangible and intangible assets and liabilities acquired based on their estimated fair values. The value of the tangible assets, consisting of land, buildings, building improvements and tenant improvements, is determined as if these assets are vacant, that is, at replacement cost. Intangible assets may include above-market or below-market value of leases, the value of in-place leases and the value of customer relationships and are recorded at their relative fair values.</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capitalized above-market (or below-market) lease value is amortized as a reduction of (or, increase to) operating lease income over the remaining non-cancelable term of each lease plus any renewal periods with fixed rental terms that are considered to be below-market. The Company generally engages in sale/leaseback transactions and typically executes leases simultaneously with the purchase of the CTL asset at market-rate rents. Because of this, no above-market or below-market lease value is ascribed to these transactions. The value of customer relationship intangibles are amortized to expense over the initial and renewal terms of the leases, but no amortization period for intangible assets will exceed the remaining depreciable life of the building. In the event that a customer terminates its lease, the unamortized portion of each intangible, including market rate adjustments, lease origination costs, in-place lease values and customer relationship values, would be charged to expense.</w:t>
      </w:r>
    </w:p>
    <w:p>
      <w:pPr>
        <w:spacing w:after="0" w:line="16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color w:val="auto"/>
        </w:rPr>
        <w:t>Other real estate owned</w:t>
      </w:r>
      <w:r>
        <w:rPr>
          <w:rFonts w:ascii="Arial" w:cs="Arial" w:eastAsia="Arial" w:hAnsi="Arial"/>
          <w:sz w:val="16"/>
          <w:szCs w:val="16"/>
          <w:color w:val="auto"/>
        </w:rPr>
        <w:t>—Other real estate owned ("OREO") consists of properties acquired by foreclosure or by deed-in-lieu of foreclosure in partial or</w:t>
      </w:r>
      <w:r>
        <w:rPr>
          <w:rFonts w:ascii="Arial" w:cs="Arial" w:eastAsia="Arial" w:hAnsi="Arial"/>
          <w:sz w:val="16"/>
          <w:szCs w:val="16"/>
          <w:b w:val="1"/>
          <w:bCs w:val="1"/>
          <w:color w:val="auto"/>
        </w:rPr>
        <w:t xml:space="preserve"> </w:t>
      </w:r>
      <w:r>
        <w:rPr>
          <w:rFonts w:ascii="Arial" w:cs="Arial" w:eastAsia="Arial" w:hAnsi="Arial"/>
          <w:sz w:val="16"/>
          <w:szCs w:val="16"/>
          <w:color w:val="auto"/>
        </w:rPr>
        <w:t>total satisfaction of non-performing loans. OREO obtained in satisfaction of a loan is recorded at the lower of cost or estimated fair value less estimated costs to sell at the date of transfer. The excess of the carrying value of the loan over the fair value of the property less estimated costs to sell is charged-off to the reserve for loan losses. Any decline in the estimated fair value of OREO that occurs after the initial transfer from the loan portfolio and any costs of holding the property are recorded in "Other expense" in the Company's Consolidated Statements of Operations. Significant property improvements may be capitalized to the extent that the carrying value does not exceed the estimated fair value. The gain or loss on final disposition of an OREO is recorded in "Other expense" on the Company's Consolidated Statements of Operations, and is considered income/loss from continuing operations because it represents the final stage of the Company's loan collection process.</w:t>
      </w:r>
    </w:p>
    <w:p>
      <w:pPr>
        <w:spacing w:after="0" w:line="166"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Equity investments</w:t>
      </w:r>
      <w:r>
        <w:rPr>
          <w:rFonts w:ascii="Arial" w:cs="Arial" w:eastAsia="Arial" w:hAnsi="Arial"/>
          <w:sz w:val="16"/>
          <w:szCs w:val="16"/>
          <w:color w:val="auto"/>
        </w:rPr>
        <w:t>—Purchased equity interests that are not publicly traded and/or do not have a readily determinable fair value are accounted for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equity method of accounting if our ownership position is large enough to significantly influence the operating and financial policies of an investee. This is generally presumed to exist when we own between 20% and 50% of a corporation, or when we own greater than 5% of a limited partnership or limited liability company. Our share of earnings and losses in equity method investees is included in "Earnings (loss) from equity method investments" 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Consolidated Statements of Operations. If our ownership position is too small to provide such influence, the cost method is used to account for the equity interest.</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investments accounted for using the cost or equity method of accounting, management evaluates information such as budgets, business plans, and financial statements of the investee in addition to quoted market prices, if any, in determining whether an other-than-temporary decline in value exists. Factors indicative of an other-than-temporary decline in value include, but are not limited to, recurring operating losses and credit defaults. For any of our investments in which the estimated fair value is less than its carrying value, we consider whether the impairment of that investment is other-than-temporary.</w:t>
      </w:r>
    </w:p>
    <w:p>
      <w:pPr>
        <w:spacing w:after="0" w:line="161" w:lineRule="exact"/>
        <w:rPr>
          <w:sz w:val="20"/>
          <w:szCs w:val="20"/>
          <w:color w:val="auto"/>
        </w:rPr>
      </w:pPr>
    </w:p>
    <w:p>
      <w:pPr>
        <w:ind w:firstLine="348"/>
        <w:spacing w:after="0" w:line="301" w:lineRule="auto"/>
        <w:rPr>
          <w:sz w:val="20"/>
          <w:szCs w:val="20"/>
          <w:color w:val="auto"/>
        </w:rPr>
      </w:pPr>
      <w:r>
        <w:rPr>
          <w:rFonts w:ascii="Arial" w:cs="Arial" w:eastAsia="Arial" w:hAnsi="Arial"/>
          <w:sz w:val="16"/>
          <w:szCs w:val="16"/>
          <w:b w:val="1"/>
          <w:bCs w:val="1"/>
          <w:color w:val="auto"/>
        </w:rPr>
        <w:t>Timber and timberlands</w:t>
      </w:r>
      <w:r>
        <w:rPr>
          <w:rFonts w:ascii="Arial" w:cs="Arial" w:eastAsia="Arial" w:hAnsi="Arial"/>
          <w:sz w:val="16"/>
          <w:szCs w:val="16"/>
          <w:color w:val="auto"/>
        </w:rPr>
        <w:t>—Timber and timberlands, including logging roads, are stated at cost less accumulated depletion for timber harvested and</w:t>
      </w:r>
      <w:r>
        <w:rPr>
          <w:rFonts w:ascii="Arial" w:cs="Arial" w:eastAsia="Arial" w:hAnsi="Arial"/>
          <w:sz w:val="16"/>
          <w:szCs w:val="16"/>
          <w:b w:val="1"/>
          <w:bCs w:val="1"/>
          <w:color w:val="auto"/>
        </w:rPr>
        <w:t xml:space="preserve"> </w:t>
      </w:r>
      <w:r>
        <w:rPr>
          <w:rFonts w:ascii="Arial" w:cs="Arial" w:eastAsia="Arial" w:hAnsi="Arial"/>
          <w:sz w:val="16"/>
          <w:szCs w:val="16"/>
          <w:color w:val="auto"/>
        </w:rPr>
        <w:t>accumulated road amortization. The Company capitalizes timber and timberland purchases and reforestation costs and other costs associated with the planting and growing of timber, such as site preparation, growing or purchases of seedlings, planting, silviculture, herbicide application and the thinning of tree stands to improve growth. The cost of timber and timberlands typically is allocated between the timber and the land acquired, based on estimated relative fair values.</w:t>
      </w:r>
    </w:p>
    <w:p>
      <w:pPr>
        <w:spacing w:after="0" w:line="163"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Timber carrying costs, such as real estate taxes, insect and wildlife control and timberland management fees, are expensed as incurred. Net carrying value of the timber and timberlands is used to compute the gain or loss in connection with timberland sales. Timber and timberlands are included in "Other investments" on the Company's Consolidated Balance Sheets (see Note 6).</w:t>
      </w:r>
    </w:p>
    <w:p>
      <w:pPr>
        <w:spacing w:after="0" w:line="18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Capitalized interest and project costs</w:t>
      </w:r>
      <w:r>
        <w:rPr>
          <w:rFonts w:ascii="Arial" w:cs="Arial" w:eastAsia="Arial" w:hAnsi="Arial"/>
          <w:sz w:val="18"/>
          <w:szCs w:val="18"/>
          <w:color w:val="auto"/>
        </w:rPr>
        <w:t>—The Company capitalizes pre-construction costs essential to the development of property, development costs,</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costs, real estate taxes, insurance and interest costs incurred during the construction periods for qualified build-to-suit projects for corporate tenants. The Company ceases cost capitalization when the property is held available for occupancy upon substantial completion of tenant improvements, but no later than one year from the completion of major construction activity. Capitalized interest was approximately $4.0 million and $0.6 million for the three months ended March 31, 2008 and 2007, respectively.</w:t>
      </w:r>
    </w:p>
    <w:p>
      <w:pPr>
        <w:spacing w:after="0" w:line="193"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cash held in banks or invested in money market accounts with original maturity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90 days.</w:t>
      </w:r>
    </w:p>
    <w:p>
      <w:pPr>
        <w:spacing w:after="0" w:line="174"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represents amounts required to be maintained in escrow under certain of the Company's debt obligations, leasing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transactions.</w:t>
      </w:r>
    </w:p>
    <w:p>
      <w:pPr>
        <w:spacing w:after="0" w:line="174" w:lineRule="exact"/>
        <w:rPr>
          <w:sz w:val="20"/>
          <w:szCs w:val="20"/>
          <w:color w:val="auto"/>
        </w:rPr>
      </w:pPr>
    </w:p>
    <w:p>
      <w:pPr>
        <w:ind w:right="280" w:firstLine="348"/>
        <w:spacing w:after="0" w:line="258"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color w:val="auto"/>
        </w:rPr>
        <w:t>—In accordance with FIN 46R, the Company identifies entities for which control is achieved through means other than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(a "variable interest entity" or "VIE"), and determines when and which business enterprise, if any, should consolidate the VIE. In addition, the Company discloses information pertaining to such entities wherein the Company is the primary beneficiary or other entities wherein the Company has a significant variable interest.</w:t>
      </w:r>
    </w:p>
    <w:p>
      <w:pPr>
        <w:spacing w:after="0" w:line="19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During 2007, the Company closed on a €100 million commitment in Moor Park Real Estate Partners II, L.P. Incorporated ("Moor Park"). Moor Park is a third-party managed fund that was created to make investments in European real estate as a 33% investor along-side a sister fund. The Company determined that Moor Park is a VIE and that the Company is the primary beneficiary. As such, the Company consolidates this entity for financial statement purposes. As of March 31, 2008, Moor Park had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$49.6 million of total assets, no debt and $1.4 million of minority interest. The investments held by this entity are presented in "Other investments" on the Company's Consolidated Balance Sheets as of March 31, 2008.</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2006, the Company made an investment in TN NRDC, LLC ("TN"). TN was created to invest in a strategic real estate related opportunity in Canada. The Company determined that TN is a VIE and that the Company is the primary beneficiary. As such, the Company consolidates TN for financial statement purposes. As of March 31, 2008, TN had $101.6 million of total assets, no debt and $5.1 million of minority interest. The cost method investment held by this entity is presented in "Other investments" on the Company's Consolidated Balance Sheets.</w:t>
      </w:r>
    </w:p>
    <w:p>
      <w:pPr>
        <w:spacing w:after="0" w:line="167"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During 2006, the Company made an investment in Madison Deutsche Andau Holdings, LP ("Madison DA"). Madison DA was created to invest in mortgage loans secured by real estate in Europe. The Company determined that Madison DA is a VIE and that the Company is the primary beneficiary. As such, the Company consolidates Madison DA for financial statement purposes. As of March 31, 2008, Madison DA had $72.5 million of total assets, no debt and</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$11.1 million of minority interest. The investments held by this entity are presented in "Loans and other lending investments" on the Company's Consolidated Balance Sheets.</w:t>
      </w:r>
    </w:p>
    <w:p>
      <w:pPr>
        <w:spacing w:after="0" w:line="186"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b w:val="1"/>
          <w:bCs w:val="1"/>
          <w:color w:val="auto"/>
        </w:rPr>
        <w:t>Identified intangible assets and goodwill</w:t>
      </w:r>
      <w:r>
        <w:rPr>
          <w:rFonts w:ascii="Arial" w:cs="Arial" w:eastAsia="Arial" w:hAnsi="Arial"/>
          <w:sz w:val="16"/>
          <w:szCs w:val="16"/>
          <w:color w:val="auto"/>
        </w:rPr>
        <w:t>—Upon the acquisition of a business, the Company records intangible assets acquired at their estimated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values separate and apart from goodwill. The Company determines whether such intangible assets have finite or indefinite lives. As of March 31, 2008, all such intangible assets acquired by the Company have finite lives. The Company amortizes finite lived intangible assets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The Company recognizes impairment loss on finite lived intangible assets if the carrying amount of an intangible asset is not recoverable and its carrying amount exceeds its estimated fair value.</w:t>
      </w:r>
    </w:p>
    <w:p>
      <w:pPr>
        <w:spacing w:after="0" w:line="17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Fair values for goodwill and other finite lived intangible assets are determined using the market approach, income approach or cost approach, as appropriate.</w:t>
      </w:r>
    </w:p>
    <w:p>
      <w:pPr>
        <w:spacing w:after="0" w:line="260"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of March 31, 2008 and December 31, 2007, respectively, the Company had $94.7 million and $98.6 million of unamortized finite lived intangible assets primarily related to the acquisition of new CTL facilities and the acquisitions of Fremont CRE, Falcon Financial Investment Trust ("Falcon Financial") and certain partnership interests in AutoStar Realty Operating Partnership, L.P. ("AutoStar"). The total amortization expense for these intangible assets was $3.8 million and $1.9 million for the three months ended March 31, 2008 and 2007,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Company's revenue recognition policies are as follows: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Loans and other lending investments: </w:t>
      </w:r>
      <w:r>
        <w:rPr>
          <w:rFonts w:ascii="Arial" w:cs="Arial" w:eastAsia="Arial" w:hAnsi="Arial"/>
          <w:sz w:val="18"/>
          <w:szCs w:val="18"/>
          <w:color w:val="auto"/>
        </w:rPr>
        <w:t>Interest income on loans and other lending investments held-for-investment and held-to-maturity is recognized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basis using the interest method.</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occasion, the Company may acquire loans at premiums or discounts based on the credit characteristics of such loans. Deferred costs or fees, discounts and premiums are typically amortized over the contractual term of the loan using the interest method. Exit fees are also deferred and recognized over the lives of the related loans as a yield adjustment, if management believes it is probable that such amounts will be received. If loans with premiums, discounts, loan origination or exit fees are prepaid, the Company immediately recognizes the unamortized portion as a decrease or increase in the prepayment gain or loss which is included in "Other income" on the Company's Consolidated Statements of Operations.</w:t>
      </w:r>
    </w:p>
    <w:p>
      <w:pPr>
        <w:spacing w:after="0" w:line="17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 considers a loan to be non-performing and places loans on non-accrual status at such time as: (1) management determines the borrower is incapable of, or has ceased efforts toward, curing the cause of the impairment; (2) the loan becomes 90 days delinquent; or (3) the loan has a maturity default. While on non-accrual status, loans are either accounted for on a cash basis, in which interest income is recognized only upon actual receipt, or on a cost-recovery basis, in which all receipts reduce loan carrying value, based on the Company's judgement as to collectibility of principal.</w:t>
      </w:r>
    </w:p>
    <w:p>
      <w:pPr>
        <w:spacing w:after="0" w:line="167"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 small number of the Company's loans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Leasing investments: </w:t>
      </w:r>
      <w:r>
        <w:rPr>
          <w:rFonts w:ascii="Arial" w:cs="Arial" w:eastAsia="Arial" w:hAnsi="Arial"/>
          <w:sz w:val="18"/>
          <w:szCs w:val="18"/>
          <w:color w:val="auto"/>
        </w:rPr>
        <w:t>Operating lease revenue is recognized on the straight-line method of accounting from the later of the date of the origination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or the date of acquisition of the facility subject to existing leases. Accordingly, contractual lease payment increases are recognized evenly over the term of the lease. The cumulative difference between lease revenue recognized under this method and contractual lease payment terms is recorded as "Deferred operating lease income receivable" on the Company's Consolidated Balance Sheets.</w:t>
      </w:r>
    </w:p>
    <w:p>
      <w:pPr>
        <w:spacing w:after="0" w:line="191"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Reserve for loan losses</w:t>
      </w:r>
      <w:r>
        <w:rPr>
          <w:rFonts w:ascii="Arial" w:cs="Arial" w:eastAsia="Arial" w:hAnsi="Arial"/>
          <w:sz w:val="16"/>
          <w:szCs w:val="16"/>
          <w:color w:val="auto"/>
        </w:rPr>
        <w:t>—The reserve for loan losses is a valuation allowance that reflects management's estimate of incurred loan losses inherent in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portfolio as of the balance sheet date. The reserve for loan losses includes a formula-based component and an asset-specific component. The reserve is increased through the "Provision for loan losses" on the Company's Consolidated Statements of Operations and is decreased by charge-offs when losses are confirmed through the receipt of assets such as cash in a pre-foreclosure sale or the underlying collateral in full satisfaction of the loan upon foreclosure.</w:t>
      </w:r>
    </w:p>
    <w:p>
      <w:pPr>
        <w:spacing w:after="0" w:line="163"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formula-based reserve component covers performing loans and provisions for loan losses are recorded when (i) available information as of each balance sheet date indicates that it is probable a loss has occurred in the portfolio and (ii) the amount of the loss can be reasonably estimated in accordance with SFAS No. 5, "Accounting for Contingencies" ("SFAS 5"). Required reserve balances for the performing loan portfolio are derived from probabilities of principal loss and loss given default estimates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assigned to the portfolio during the Company's quarterly internal risk rating assessment. Probabilities of principal loss and severity factors are based on industry and/or internal experience and may be adjusted for significant factors that, based on the Company's judgment, impact the collectibility of the loans as of the balance sheet date.</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asset-specific component relates to reserves for losses on loans considered impaired and measured pursuant to Statement of Financial Accounting Standards No. 114, "Accounting by Creditors for Impairments of a Loan (an amendment of FASB Statement No. 5 and 15)," ("SFAS 114"). In accordance with SFAS 114, the Company considers a loan to be impaired when, based upon current information and events, it believes that it is probable that the Company will be unable to collect all amounts due under the loan agreement on a timely basis. A reserve is established when the present value of payments expected to be received, observable market prices, or the estimated fair value of the collateral (for loans that are solely dependent on the collateral for repayment) of an impaired loan is lower than the carrying value of that loan. Each of our non-performing loans or NPLs are considered impaired and are evaluated individually to determine required asset-specific reserves.</w:t>
      </w:r>
    </w:p>
    <w:p>
      <w:pPr>
        <w:spacing w:after="0" w:line="166" w:lineRule="exact"/>
        <w:rPr>
          <w:sz w:val="20"/>
          <w:szCs w:val="20"/>
          <w:color w:val="auto"/>
        </w:rPr>
      </w:pPr>
    </w:p>
    <w:p>
      <w:pPr>
        <w:ind w:right="40" w:firstLine="341"/>
        <w:spacing w:after="0" w:line="310" w:lineRule="auto"/>
        <w:rPr>
          <w:sz w:val="20"/>
          <w:szCs w:val="20"/>
          <w:color w:val="auto"/>
        </w:rPr>
      </w:pPr>
      <w:r>
        <w:rPr>
          <w:rFonts w:ascii="Arial" w:cs="Arial" w:eastAsia="Arial" w:hAnsi="Arial"/>
          <w:sz w:val="16"/>
          <w:szCs w:val="16"/>
          <w:b w:val="1"/>
          <w:bCs w:val="1"/>
          <w:color w:val="auto"/>
        </w:rPr>
        <w:t>Allowance for doubtful accounts</w:t>
      </w:r>
      <w:r>
        <w:rPr>
          <w:rFonts w:ascii="Arial" w:cs="Arial" w:eastAsia="Arial" w:hAnsi="Arial"/>
          <w:sz w:val="16"/>
          <w:szCs w:val="16"/>
          <w:color w:val="auto"/>
        </w:rPr>
        <w:t>—The Company has established policies that require a reserve on the Company's accrued operating lease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 balances and on the deferred operating lease income receivable balances. The reserve covers asset specific problems (e.g., bankruptcy) as they arise, as well as a portfolio reserve based on management's evaluation of the credit risks associated with these receivables.</w:t>
      </w:r>
    </w:p>
    <w:p>
      <w:pPr>
        <w:spacing w:after="0" w:line="151" w:lineRule="exact"/>
        <w:rPr>
          <w:sz w:val="20"/>
          <w:szCs w:val="20"/>
          <w:color w:val="auto"/>
        </w:rPr>
      </w:pPr>
    </w:p>
    <w:p>
      <w:pPr>
        <w:ind w:right="140" w:firstLine="351"/>
        <w:spacing w:after="0" w:line="339" w:lineRule="auto"/>
        <w:rPr>
          <w:sz w:val="20"/>
          <w:szCs w:val="20"/>
          <w:color w:val="auto"/>
        </w:rPr>
      </w:pPr>
      <w:r>
        <w:rPr>
          <w:rFonts w:ascii="Arial" w:cs="Arial" w:eastAsia="Arial" w:hAnsi="Arial"/>
          <w:sz w:val="15"/>
          <w:szCs w:val="15"/>
          <w:b w:val="1"/>
          <w:bCs w:val="1"/>
          <w:color w:val="auto"/>
        </w:rPr>
        <w:t>Derivative instruments and hedging activity</w:t>
      </w:r>
      <w:r>
        <w:rPr>
          <w:rFonts w:ascii="Arial" w:cs="Arial" w:eastAsia="Arial" w:hAnsi="Arial"/>
          <w:sz w:val="15"/>
          <w:szCs w:val="15"/>
          <w:color w:val="auto"/>
        </w:rPr>
        <w:t>—The Company recognizes derivatives as either assets or liabilities on the Company's Consolidated Balance</w:t>
      </w:r>
      <w:r>
        <w:rPr>
          <w:rFonts w:ascii="Arial" w:cs="Arial" w:eastAsia="Arial" w:hAnsi="Arial"/>
          <w:sz w:val="15"/>
          <w:szCs w:val="15"/>
          <w:b w:val="1"/>
          <w:bCs w:val="1"/>
          <w:color w:val="auto"/>
        </w:rPr>
        <w:t xml:space="preserve"> </w:t>
      </w:r>
      <w:r>
        <w:rPr>
          <w:rFonts w:ascii="Arial" w:cs="Arial" w:eastAsia="Arial" w:hAnsi="Arial"/>
          <w:sz w:val="15"/>
          <w:szCs w:val="15"/>
          <w:color w:val="auto"/>
        </w:rPr>
        <w:t>Sheets at fair value. If certain conditions are met, a derivative may be specifically designated as a hedge of the exposure to changes in the fair value of a recognized asset or liability or a hedge of a forecasted transaction or the variability of cash flows to be received or paid related to a recognized asset or liability.</w:t>
      </w:r>
    </w:p>
    <w:p>
      <w:pPr>
        <w:spacing w:after="0" w:line="139"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For fair value hedges, changes in the fair value of the derivative, along with changes in the fair value of the respective hedged item are reported in earnings in "Other expense" on the Company's Consolidated Statements of Operations. The effective portion of the change in fair value of a derivative that is designated as a cash flow hedge is reported in "Accumulated other comprehensive income (losses)" on the Company's Consolidated Balance Sheets and the ineffective portion of a change in fair value of a cash flow hedge is reported in "Other expense" on the Company's Consolidated Statements of Operations. The net interest receivable or payable on the interest rate swaps is accrued and recognized as an adjustment to "Interest expense" on the Company's Consolidated Statements of Operations.</w:t>
      </w:r>
    </w:p>
    <w:p>
      <w:pPr>
        <w:spacing w:after="0" w:line="15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Derivatives, such as foreign currency hedges, that are not designated as fair value or cash flow hedges are considered economic hedges, with changes in fair value reported in current earnings in "Other income" on the Company's Consolidated Statements of Operations. The Company does not enter into derivatives for trading purposes.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formally documents all hedging relationships at inception, including its risk management objective and strategy for undertaking the hedge transaction. The hedge instrument and the hedged item are designated at the execution of the hedge instrument or upon re-designation during the life of the hedge. Hedge effectiveness is assessed and measured under identical time periods and depending on the hedging strategy, the Company uses the hypothetical derivative method and statistical regression to assess effectiveness, and the hypothetical derivative method to measure ineffectiveness. In addition,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Company does not exclude any component of the derivative's gain or loss in the assessment of effectiveness.</w:t>
      </w:r>
    </w:p>
    <w:p>
      <w:pPr>
        <w:spacing w:after="0" w:line="219" w:lineRule="exact"/>
        <w:rPr>
          <w:sz w:val="20"/>
          <w:szCs w:val="20"/>
          <w:color w:val="auto"/>
        </w:rPr>
      </w:pPr>
    </w:p>
    <w:p>
      <w:pPr>
        <w:ind w:right="340" w:firstLine="351"/>
        <w:spacing w:after="0" w:line="339"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measures compensation costs for restricted stock awards as of the date of grant and expenses such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earnings, either at the grant date (if no vesting period exists) or ratably over the respective vesting/service period.</w:t>
      </w:r>
    </w:p>
    <w:p>
      <w:pPr>
        <w:spacing w:after="0" w:line="13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follows the fair-value method of accounting for options issued to employees or directors. Accordingly, the Company recognizes a charge equal to the fair value of these options at the date of grant multiplied by the number of options issued. This charge is amortized over the related remaining vesting terms to individuals as additional compensation.</w:t>
      </w:r>
    </w:p>
    <w:p>
      <w:pPr>
        <w:spacing w:after="0" w:line="188"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Disposal of long-lived assets</w:t>
      </w:r>
      <w:r>
        <w:rPr>
          <w:rFonts w:ascii="Arial" w:cs="Arial" w:eastAsia="Arial" w:hAnsi="Arial"/>
          <w:sz w:val="18"/>
          <w:szCs w:val="18"/>
          <w:color w:val="auto"/>
        </w:rPr>
        <w:t>—The results of operations from CTL assets sold or held for sale in the current and prior periods are classified as "Income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on the Company's Consolidated Statements of Operations even though such income was actually recognized by the Company prior to the asset sale. Gains from the sale of CTL assets are classified as "Gain from discontinued operations, net" on the Company's Consolidated Statements of Operations.</w:t>
      </w:r>
    </w:p>
    <w:p>
      <w:pPr>
        <w:spacing w:after="0" w:line="19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Depletion</w:t>
      </w:r>
      <w:r>
        <w:rPr>
          <w:rFonts w:ascii="Arial" w:cs="Arial" w:eastAsia="Arial" w:hAnsi="Arial"/>
          <w:sz w:val="18"/>
          <w:szCs w:val="18"/>
          <w:color w:val="auto"/>
        </w:rPr>
        <w:t>—Depletion relates to the Company's investment in timberland assets. Assumptions and estimates are used in the recording of depletion.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depletion rate for each timberland investment is established by dividing book cost of timber by estimated standing merchantable inventory. Changes in the assumptions and/or estimations used in these calculations may affect the Company's results, in particular depletion costs. Factors that can impact timber volume include weather changes, losses due to natural causes, differences in actual versus estimated growth rates and changes in the age when timber is considered merchantable.</w:t>
      </w:r>
    </w:p>
    <w:p>
      <w:pPr>
        <w:spacing w:after="0" w:line="193" w:lineRule="exact"/>
        <w:rPr>
          <w:sz w:val="20"/>
          <w:szCs w:val="20"/>
          <w:color w:val="auto"/>
        </w:rPr>
      </w:pPr>
    </w:p>
    <w:p>
      <w:pPr>
        <w:ind w:right="160" w:firstLine="351"/>
        <w:spacing w:after="0" w:line="296"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is subject to federal income taxation at corporate rates on its "REIT taxable income;" however, the Company is allowed a</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 for the amount of dividends paid to its shareholders, thereby subjecting the distributed net income of the Company to taxation at the shareholder level only. In addition, the Company is allowed several other deductions in computing its "REIT taxable income," including non-cash items such as depreciation expense. These deductions allow the Company to shelter a portion of its operating cash flow from its dividend payout requirement under federal tax laws. The Company intends to operate in a manner consistent with and to elect to be treated as a REIT for tax purposes.</w:t>
      </w:r>
    </w:p>
    <w:p>
      <w:pPr>
        <w:spacing w:after="0" w:line="168"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Company can participate in certain activities from which it was previously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including but not limited to: (1) managing corporate credit-oriented investment strategies; (2) certain activities related to the purchase and sale of timber and timberlands; and (3) servicing certain loan portfolios. The Company will consider other investments through TRS entities if suitable opportunities arise. The Company's TRS entities are not consolidated for federal income tax purposes and are taxed as corporations. For financial reporting purposes, current and deferred taxes are provided for in the portion of earnings recognized by the Company with respect to its interest in TRS entities and are included in "General and administrative" on the Company's Consolidated Statements of Operations. The Company also recognizes interest expense and penalties related to uncertain tax positions, if any, as income tax expense, included in "General and administrative" on the Company's Consolidated Statements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Operations. Deferred income taxes reflect the net tax effects of temporary differences between the carrying amount of assets and liabilities for financial reporting purposes and the amounts used for income tax purposes, as well as operating loss and tax credit carryforwards. The tax effects of our temporary differences and carryforwards are recorded as deferred tax assets and deferred tax liabilities, included in "Deferred expenses and other assets" and "Accounts payable, accrued expenses and other liabilities", respectively, on the Company's Consolidated Balance Sheets. Such amounts are not material to the Company's Consolidated Financial Statements. Accordingly, except for the Company's taxable REIT subsidiaries, no current or deferred federal taxes are provided for in the Consolidated Financial Statements.</w:t>
      </w:r>
    </w:p>
    <w:p>
      <w:pPr>
        <w:spacing w:after="0" w:line="19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color w:val="auto"/>
        </w:rPr>
        <w:t>Earnings per common share</w:t>
      </w:r>
      <w:r>
        <w:rPr>
          <w:rFonts w:ascii="Arial" w:cs="Arial" w:eastAsia="Arial" w:hAnsi="Arial"/>
          <w:sz w:val="16"/>
          <w:szCs w:val="16"/>
          <w:color w:val="auto"/>
        </w:rPr>
        <w:t>—In accordance with Emerging Issues Task Force 03-6, ("EITF 03-6"), "Participating Securities and the Two-Class Method</w:t>
      </w:r>
      <w:r>
        <w:rPr>
          <w:rFonts w:ascii="Arial" w:cs="Arial" w:eastAsia="Arial" w:hAnsi="Arial"/>
          <w:sz w:val="16"/>
          <w:szCs w:val="16"/>
          <w:b w:val="1"/>
          <w:bCs w:val="1"/>
          <w:color w:val="auto"/>
        </w:rPr>
        <w:t xml:space="preserve"> </w:t>
      </w:r>
      <w:r>
        <w:rPr>
          <w:rFonts w:ascii="Arial" w:cs="Arial" w:eastAsia="Arial" w:hAnsi="Arial"/>
          <w:sz w:val="16"/>
          <w:szCs w:val="16"/>
          <w:color w:val="auto"/>
        </w:rPr>
        <w:t>under FASB Statement No. 128, Earnings Per Share," the Company presents both basic and diluted earnings per share ("EPS") for common shareholders and High Performance Unit ("HPU") holders (see Note 11). EITF 03-6 must be utilized in calculating earnings per share by a company that has issued securities other than common stock that contractually entitles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would be computed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173"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March 31, 2008 the conditions for conversion related to the Company's $800 million convertible senior floating rate notes due 2012 ('Convertible Notes") have not been met. If the conditions for conversion are met, the Company may choose to pay in cash and/or Common Stock; however, if this occurs, the Company has the intent and ability to settle this debt in cash. Accordingly, there was no impact on the Company's diluted earnings per share for any of the periods presented.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March 2008, the FASB issued Statement No. 161, "Disclosures about Derivative Instruments and Hedging Activities—an amendment of FASB Statement No. 133" ("SFAS No. 161"). The Statement requires companies to provide enhanced disclosures regarding derivative instruments and hedging activities. It requires companies to better convey the purpose of derivative use in terms of the risks that such company is intending to manage. Disclosures about (a) how and why an entity uses derivative instruments, (b) how derivative instruments and related hedged items are accounted for under SFAS No. 133 and its related interpretations, and (c) how derivative instruments and related hedged items affect a company's financial position, financial performance, and cash flows are required. This Statement retains the same scope as SFAS No. 133 and is effective for fiscal years and interim periods beginning after November 15, 2008. The Company will adopt SFAS No. 161 on January 1, 2009, as required, and management is still evaluating the impact on the Company's Consolidated Financial Statements.</w:t>
      </w:r>
    </w:p>
    <w:p>
      <w:pPr>
        <w:spacing w:after="0" w:line="199" w:lineRule="exact"/>
        <w:rPr>
          <w:sz w:val="20"/>
          <w:szCs w:val="20"/>
          <w:color w:val="auto"/>
        </w:rPr>
      </w:pPr>
    </w:p>
    <w:p>
      <w:pPr>
        <w:jc w:val="both"/>
        <w:ind w:right="80" w:firstLine="351"/>
        <w:spacing w:after="0" w:line="303" w:lineRule="auto"/>
        <w:rPr>
          <w:sz w:val="20"/>
          <w:szCs w:val="20"/>
          <w:color w:val="auto"/>
        </w:rPr>
      </w:pPr>
      <w:r>
        <w:rPr>
          <w:rFonts w:ascii="Arial" w:cs="Arial" w:eastAsia="Arial" w:hAnsi="Arial"/>
          <w:sz w:val="15"/>
          <w:szCs w:val="15"/>
          <w:color w:val="auto"/>
        </w:rPr>
        <w:t>In February 2008, the FASB issued a FASB Staff Position ("FSP") on Accounting for Transfers of Financial Assets and Repurchase Financing Transactions "FSP FAS 140-3." This FSP addresses the issue of whether or not these transactions should be viewed as two separate transactions or as one "linked" transaction. The FSP includes a "rebuttable presumption" that presumes linkage of the two transactions unless the presumption can be overcome by meeting certain criteria.</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FSP will be effective for fiscal years beginning after November 15, 2008 and will apply only to original transfers made after that date; early adoption will not be allowed. The Company is currently evaluating the impact, if any, the adoption of this interpretation will have on the Company's Consolidated Financial Statements.</w:t>
      </w:r>
    </w:p>
    <w:p>
      <w:pPr>
        <w:spacing w:after="0" w:line="19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December 2007, the FASB issued SFAS No. 141(R), "Business Combinations" ("SFAS 141(R)"). SFAS 141(R) expands the definition of transactions and events that qualify as business combinations; requires that the acquired assets and liabilities, including contingencies, be recorded at the fair value determined on the acquisition date and changes thereafter reflected in revenue, not goodwill; changes the recognition timing for restructuring costs; and requires acquisition costs to be expensed as incurred. Adoption of SFAS 141(R) is required for combinations after December 15, 2008. Early adoption and retroactive application of SFAS 141(R) to fiscal years preceding the effective date are not permitted. The Company will adopt SFAS 141(R) as required, and management is still evaluating the impact on the Company's Consolidated Financial Statements.</w:t>
      </w:r>
    </w:p>
    <w:p>
      <w:pPr>
        <w:spacing w:after="0" w:line="17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December 2007, the FASB issued SFAS No. 160, "Noncontrolling Interest in Consolidated Financial Statements" ("SFAS 160"). SFAS 160 re-characterizes minority interests in consolidated subsidiaries as non-controlling interests and requires the classification of minority interests as a component of equity. Under SFAS 160, a change in control will be measured at fair value, with any gain or loss recognized in earnings. The effective date for SFAS 160 is for annual periods beginning on or after December 15, 2008. Early adoption and retroactive application of SFAS 160 to fiscal years preceding the effective date are not permitted. The Company will adopt SFAS 160 on January 1, 2009, as required, and management is still evaluating the impact on the Company's Consolidated Financial Statements.</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February 2007, the FASB released Statement of Financial Accounting Standards No. 159 ("SFAS No. 159"), "The Fair Value Option for Financial Assets and Liabilities Including an Amendment of FASB Statement No. 115." SFAS No. 159 permits entities to choose to measure certain financial assets and liabilities at fair value and is effective for the first fiscal year beginning after November 15, 2007. The Company adopted SFAS No. 159 on January 1, 2008, as required, but did not elect to apply the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option to any of its financial assets or liabilities. As such, the adoption of SFAS No. 159 did not have an impact on the Company's Consolidated Financial Statements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September 2006, the FASB released Statement of Financial Accounting Standards No. 157 ("SFAS No. 157"), "Fair Value Measurements."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w:t>
      </w:r>
    </w:p>
    <w:p>
      <w:pPr>
        <w:spacing w:after="0" w:line="17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February 2008, the FASB issued FASB Staff Position 157-1, "Application of FASB Statement No. 157 to FASB Statement No. 13 and Other Accounting Pronouncements That Address Fair Value Measurements for Purposes of Lease Classification or Measurement under Statement 13" ("FSP 157-1") and FSP 157-2, "Effective Date of FASB Statement No. 157" ("FSP 157-2"). FSP 157-1 amends SFAS No. 157 to remove certain leasing transactions from its scope. FSP 157-2 provides a one-year deferral of the effective date of SFAS No. 157 for all non-financial assets and non-financial liabilities, except those that are recognized or disclosed at fair value in the financial statements on a recurring basis. These nonfinancial items include assets and liabilities such as reporting units measured at fair value in a goodwill impairment test and nonfinancial assets acquired and liabilities assumed in a business combination. SFAS No. 157 is effective for financial statements issued for fiscal years beginning after November 15, 2007 and was adopted by the Company, as it applies to its financial instruments, effective January 1, 2008. The adoption of SFAS No. 157 as it relates to financial instruments did not have a significant impact on the Company's Consolidated Financial Statements. See Note 15—Fair Value of Financial Instruments for additional details. The Company will adopt the provisions of SFAS No. 157 as it relates to its non-financial assets and non-financial liabilities effective January 1, 2009, and the Company does not expect it to have a significant the impact on its Consolidated Financial Statements.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Carrying Value as of</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Effective</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Borrowers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4"/>
              </w:rPr>
              <w:t>Balances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Maturity</w:t>
            </w: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Payment</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Accrual</w:t>
            </w:r>
          </w:p>
        </w:tc>
        <w:tc>
          <w:tcPr>
            <w:tcW w:w="0" w:type="dxa"/>
            <w:vAlign w:val="bottom"/>
          </w:tcPr>
          <w:p>
            <w:pPr>
              <w:spacing w:after="0"/>
              <w:rPr>
                <w:sz w:val="1"/>
                <w:szCs w:val="1"/>
                <w:color w:val="auto"/>
              </w:rPr>
            </w:pPr>
          </w:p>
        </w:tc>
      </w:tr>
      <w:tr>
        <w:trPr>
          <w:trHeight w:val="174"/>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Type of Investment</w:t>
            </w:r>
          </w:p>
        </w:tc>
        <w:tc>
          <w:tcPr>
            <w:tcW w:w="100" w:type="dxa"/>
            <w:vAlign w:val="bottom"/>
          </w:tcPr>
          <w:p>
            <w:pPr>
              <w:spacing w:after="0"/>
              <w:rPr>
                <w:sz w:val="15"/>
                <w:szCs w:val="15"/>
                <w:color w:val="auto"/>
              </w:rPr>
            </w:pPr>
          </w:p>
        </w:tc>
        <w:tc>
          <w:tcPr>
            <w:tcW w:w="2160" w:type="dxa"/>
            <w:vAlign w:val="bottom"/>
          </w:tcPr>
          <w:p>
            <w:pPr>
              <w:ind w:left="320"/>
              <w:spacing w:after="0"/>
              <w:rPr>
                <w:sz w:val="20"/>
                <w:szCs w:val="20"/>
                <w:color w:val="auto"/>
              </w:rPr>
            </w:pPr>
            <w:r>
              <w:rPr>
                <w:rFonts w:ascii="Arial" w:cs="Arial" w:eastAsia="Arial" w:hAnsi="Arial"/>
                <w:sz w:val="14"/>
                <w:szCs w:val="14"/>
                <w:b w:val="1"/>
                <w:bCs w:val="1"/>
                <w:color w:val="auto"/>
              </w:rPr>
              <w:t>Underlying Property Type</w:t>
            </w:r>
          </w:p>
        </w:tc>
        <w:tc>
          <w:tcPr>
            <w:tcW w:w="10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In Class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Dates</w:t>
            </w:r>
          </w:p>
        </w:tc>
        <w:tc>
          <w:tcPr>
            <w:tcW w:w="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Senior Mortgages(3)(4)(6)</w:t>
            </w: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Office/Residential/Retail/Industrial,</w:t>
            </w:r>
          </w:p>
        </w:tc>
        <w:tc>
          <w:tcPr>
            <w:tcW w:w="9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336</w:t>
            </w:r>
          </w:p>
        </w:tc>
        <w:tc>
          <w:tcPr>
            <w:tcW w:w="1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8,679,436</w:t>
            </w:r>
          </w:p>
        </w:tc>
        <w:tc>
          <w:tcPr>
            <w:tcW w:w="2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8,542,477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8,356,716</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2008 to</w:t>
            </w:r>
          </w:p>
        </w:tc>
        <w:tc>
          <w:tcPr>
            <w:tcW w:w="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8"/>
              </w:rPr>
              <w:t>Fixed: 6.5% to</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Fixed: 6.5%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R&amp;D/Mixed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2026</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Use/Hotel/Land/Entertainment,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Variable:</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Leisure/Other</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LIBOR + 1.75%</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LIBOR + 1.75%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to</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w w:val="97"/>
              </w:rPr>
              <w:t>LIBOR + 8.5%</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7"/>
              </w:rPr>
              <w:t>LIBOR + 8.5%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spacing w:after="0" w:line="138" w:lineRule="exact"/>
              <w:rPr>
                <w:sz w:val="20"/>
                <w:szCs w:val="20"/>
                <w:color w:val="auto"/>
              </w:rPr>
            </w:pPr>
            <w:r>
              <w:rPr>
                <w:rFonts w:ascii="Arial" w:cs="Arial" w:eastAsia="Arial" w:hAnsi="Arial"/>
                <w:sz w:val="14"/>
                <w:szCs w:val="14"/>
                <w:color w:val="auto"/>
                <w:w w:val="96"/>
              </w:rPr>
              <w:t>Subordinate Mortgages(3)(4)(5)(6)</w:t>
            </w:r>
          </w:p>
        </w:tc>
        <w:tc>
          <w:tcPr>
            <w:tcW w:w="100" w:type="dxa"/>
            <w:vAlign w:val="bottom"/>
          </w:tcPr>
          <w:p>
            <w:pPr>
              <w:spacing w:after="0"/>
              <w:rPr>
                <w:sz w:val="11"/>
                <w:szCs w:val="11"/>
                <w:color w:val="auto"/>
              </w:rPr>
            </w:pPr>
          </w:p>
        </w:tc>
        <w:tc>
          <w:tcPr>
            <w:tcW w:w="2160" w:type="dxa"/>
            <w:vAlign w:val="bottom"/>
          </w:tcPr>
          <w:p>
            <w:pPr>
              <w:spacing w:after="0" w:line="138" w:lineRule="exact"/>
              <w:rPr>
                <w:sz w:val="20"/>
                <w:szCs w:val="20"/>
                <w:color w:val="auto"/>
              </w:rPr>
            </w:pPr>
            <w:r>
              <w:rPr>
                <w:rFonts w:ascii="Arial" w:cs="Arial" w:eastAsia="Arial" w:hAnsi="Arial"/>
                <w:sz w:val="14"/>
                <w:szCs w:val="14"/>
                <w:color w:val="auto"/>
              </w:rPr>
              <w:t>Office/Residential/Retail/Mixed</w:t>
            </w:r>
          </w:p>
        </w:tc>
        <w:tc>
          <w:tcPr>
            <w:tcW w:w="9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Arial" w:cs="Arial" w:eastAsia="Arial" w:hAnsi="Arial"/>
                <w:sz w:val="14"/>
                <w:szCs w:val="14"/>
                <w:color w:val="auto"/>
              </w:rPr>
              <w:t>627,755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623,151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649,794</w:t>
            </w: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2008 to</w:t>
            </w:r>
          </w:p>
        </w:tc>
        <w:tc>
          <w:tcPr>
            <w:tcW w:w="96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Fixed: 5% to</w:t>
            </w:r>
          </w:p>
        </w:tc>
        <w:tc>
          <w:tcPr>
            <w:tcW w:w="120" w:type="dxa"/>
            <w:vAlign w:val="bottom"/>
          </w:tcPr>
          <w:p>
            <w:pPr>
              <w:spacing w:after="0"/>
              <w:rPr>
                <w:sz w:val="11"/>
                <w:szCs w:val="11"/>
                <w:color w:val="auto"/>
              </w:rPr>
            </w:pPr>
          </w:p>
        </w:tc>
        <w:tc>
          <w:tcPr>
            <w:tcW w:w="900" w:type="dxa"/>
            <w:vAlign w:val="bottom"/>
          </w:tcPr>
          <w:p>
            <w:pPr>
              <w:spacing w:after="0" w:line="138" w:lineRule="exact"/>
              <w:rPr>
                <w:sz w:val="20"/>
                <w:szCs w:val="20"/>
                <w:color w:val="auto"/>
              </w:rPr>
            </w:pPr>
            <w:r>
              <w:rPr>
                <w:rFonts w:ascii="Arial" w:cs="Arial" w:eastAsia="Arial" w:hAnsi="Arial"/>
                <w:sz w:val="14"/>
                <w:szCs w:val="14"/>
                <w:color w:val="auto"/>
                <w:w w:val="90"/>
              </w:rPr>
              <w:t>Fixed: 7.32%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Use/Hotel/Land/Entertainment,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2018</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10.5%</w:t>
            </w:r>
          </w:p>
        </w:tc>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Leisure/Other</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Variable:</w:t>
            </w:r>
          </w:p>
        </w:tc>
        <w:tc>
          <w:tcPr>
            <w:tcW w:w="1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0"/>
              </w:rPr>
              <w:t>LIBOR + 2.75%</w:t>
            </w:r>
          </w:p>
        </w:tc>
        <w:tc>
          <w:tcPr>
            <w:tcW w:w="1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w w:val="90"/>
              </w:rPr>
              <w:t>LIBOR + 2.75%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to LIBOR</w:t>
            </w:r>
          </w:p>
        </w:tc>
        <w:tc>
          <w:tcPr>
            <w:tcW w:w="1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3"/>
                <w:szCs w:val="13"/>
                <w:color w:val="auto"/>
              </w:rPr>
            </w:pPr>
          </w:p>
        </w:tc>
        <w:tc>
          <w:tcPr>
            <w:tcW w:w="900" w:type="dxa"/>
            <w:vAlign w:val="bottom"/>
          </w:tcPr>
          <w:p>
            <w:pPr>
              <w:spacing w:after="0" w:line="159" w:lineRule="exact"/>
              <w:rPr>
                <w:sz w:val="20"/>
                <w:szCs w:val="20"/>
                <w:color w:val="auto"/>
              </w:rPr>
            </w:pPr>
            <w:r>
              <w:rPr>
                <w:rFonts w:ascii="Arial" w:cs="Arial" w:eastAsia="Arial" w:hAnsi="Arial"/>
                <w:sz w:val="14"/>
                <w:szCs w:val="14"/>
                <w:color w:val="auto"/>
              </w:rPr>
              <w:t>LIBOR + 10%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Corporate/Partnership Loans(3)(4)(5)</w:t>
            </w: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Office/Residential/Retail/Industrial,</w:t>
            </w:r>
          </w:p>
        </w:tc>
        <w:tc>
          <w:tcPr>
            <w:tcW w:w="9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47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1,535,145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1,518,225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1,712,941</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2008 to</w:t>
            </w:r>
          </w:p>
        </w:tc>
        <w:tc>
          <w:tcPr>
            <w:tcW w:w="96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4"/>
                <w:szCs w:val="14"/>
                <w:color w:val="auto"/>
                <w:w w:val="98"/>
              </w:rPr>
              <w:t>Fixed: 4.5% to</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Fixed: 8.5%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R&amp;D/Mixed Use/Hotel/Land/Other</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2046</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17.5%</w:t>
            </w:r>
          </w:p>
        </w:tc>
        <w:tc>
          <w:tcPr>
            <w:tcW w:w="1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Variable:</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LIBOR + 2%</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 + 2%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to</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w w:val="90"/>
              </w:rPr>
              <w:t>LIBOR + 7.84%</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LIBOR + 14%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Total Loans</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10,683,853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10,719,451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for Loan Losses</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(252,884)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(217,910)</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Total Loans, net</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10,430,969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10,501,541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Other Lending Investments—</w:t>
            </w:r>
          </w:p>
        </w:tc>
        <w:tc>
          <w:tcPr>
            <w:tcW w:w="1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Securities(3)</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Retail/Industrial, R&amp;D/Entertainment,</w:t>
            </w: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480,886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447,126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447,813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2012 to</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Fixed: 6% to</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6%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Leisure/Other</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2023</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9.25%</w:t>
            </w:r>
          </w:p>
        </w:tc>
        <w:tc>
          <w:tcPr>
            <w:tcW w:w="1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Variable:</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w w:val="90"/>
              </w:rPr>
              <w:t>LIBOR + 5.63%</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0"/>
              </w:rPr>
              <w:t>LIBOR + 5.63%</w:t>
            </w:r>
          </w:p>
        </w:tc>
        <w:tc>
          <w:tcPr>
            <w:tcW w:w="0" w:type="dxa"/>
            <w:vAlign w:val="bottom"/>
          </w:tcPr>
          <w:p>
            <w:pPr>
              <w:spacing w:after="0"/>
              <w:rPr>
                <w:sz w:val="1"/>
                <w:szCs w:val="1"/>
                <w:color w:val="auto"/>
              </w:rPr>
            </w:pPr>
          </w:p>
        </w:tc>
      </w:tr>
      <w:tr>
        <w:trPr>
          <w:trHeight w:val="118"/>
        </w:trPr>
        <w:tc>
          <w:tcPr>
            <w:tcW w:w="2100" w:type="dxa"/>
            <w:vAlign w:val="bottom"/>
            <w:gridSpan w:val="2"/>
            <w:vMerge w:val="restart"/>
          </w:tcPr>
          <w:p>
            <w:pPr>
              <w:spacing w:after="0"/>
              <w:rPr>
                <w:sz w:val="20"/>
                <w:szCs w:val="20"/>
                <w:color w:val="auto"/>
              </w:rPr>
            </w:pPr>
            <w:r>
              <w:rPr>
                <w:rFonts w:ascii="Arial" w:cs="Arial" w:eastAsia="Arial" w:hAnsi="Arial"/>
                <w:sz w:val="14"/>
                <w:szCs w:val="14"/>
                <w:color w:val="auto"/>
              </w:rPr>
              <w:t>Total Loans and Other Lending</w:t>
            </w:r>
          </w:p>
        </w:tc>
        <w:tc>
          <w:tcPr>
            <w:tcW w:w="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1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100" w:type="dxa"/>
            <w:vAlign w:val="bottom"/>
            <w:gridSpan w:val="2"/>
          </w:tcPr>
          <w:p>
            <w:pPr>
              <w:spacing w:after="0"/>
              <w:rPr>
                <w:sz w:val="20"/>
                <w:szCs w:val="20"/>
                <w:color w:val="auto"/>
              </w:rPr>
            </w:pPr>
            <w:r>
              <w:rPr>
                <w:rFonts w:ascii="Arial" w:cs="Arial" w:eastAsia="Arial" w:hAnsi="Arial"/>
                <w:sz w:val="14"/>
                <w:szCs w:val="14"/>
                <w:color w:val="auto"/>
              </w:rPr>
              <w:t>Investments, net</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10,878,095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10,949,354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-3822065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-3822065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-3290570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-3290570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-3290570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-3290570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-3290570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-3290570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-3290570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-3290570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-3290570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-3290570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-3290570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-3290570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-3290570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-3290570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-3290570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-3290570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-3290570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-3290570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-1437640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-1437640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-1437640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-1437640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-1094740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-1094740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-1094740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-1094740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-374650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-374650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-374650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-374650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Details (other than carrying values) are for loans outstanding as of March 31, 2008.</w:t>
      </w:r>
    </w:p>
    <w:p>
      <w:pPr>
        <w:spacing w:after="0" w:line="122" w:lineRule="exact"/>
        <w:rPr>
          <w:rFonts w:ascii="Arial" w:cs="Arial" w:eastAsia="Arial" w:hAnsi="Arial"/>
          <w:sz w:val="14"/>
          <w:szCs w:val="14"/>
          <w:color w:val="auto"/>
        </w:rPr>
      </w:pPr>
    </w:p>
    <w:p>
      <w:pPr>
        <w:ind w:left="540" w:right="220" w:hanging="532"/>
        <w:spacing w:after="0" w:line="318" w:lineRule="auto"/>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Substantially all variable-rate loans are based on either 30-day LIBOR and reprice monthly or six-month LIBOR and reprice semi-annually. The 30-day LIBOR and six-month LIBOR on March 31, 2008 was 2.7% and 2.6%, respectively. As of March 31, 2008, nine loans with a combined carrying value of $394.6 million have a stated accrual rate that exceeds the stated pay rate.</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loans require fixed payments of principal resulting in partial principal amortization over the term of the loan with the remaining principal due at maturity.</w:t>
      </w:r>
    </w:p>
    <w:p>
      <w:pPr>
        <w:spacing w:after="0" w:line="122" w:lineRule="exact"/>
        <w:rPr>
          <w:rFonts w:ascii="Arial" w:cs="Arial" w:eastAsia="Arial" w:hAnsi="Arial"/>
          <w:sz w:val="14"/>
          <w:szCs w:val="14"/>
          <w:color w:val="auto"/>
        </w:rPr>
      </w:pPr>
    </w:p>
    <w:p>
      <w:pPr>
        <w:ind w:left="540" w:right="6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March 31, 2008, 30 loans with a combined carrying value of $796.9 million are on non-accrual status. As of December 31, 2007, 31 loans with a combined carrying value of $719.4 million were on non-accrual status.</w:t>
      </w:r>
    </w:p>
    <w:p>
      <w:pPr>
        <w:spacing w:after="0" w:line="111" w:lineRule="exact"/>
        <w:rPr>
          <w:rFonts w:ascii="Arial" w:cs="Arial" w:eastAsia="Arial" w:hAnsi="Arial"/>
          <w:sz w:val="14"/>
          <w:szCs w:val="14"/>
          <w:color w:val="auto"/>
        </w:rPr>
      </w:pPr>
    </w:p>
    <w:p>
      <w:pPr>
        <w:ind w:left="540" w:right="20" w:hanging="532"/>
        <w:spacing w:after="0" w:line="318" w:lineRule="auto"/>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March 31, 2008, three loans with a combined carrying value of $75.5 million have stated accrual rates of up to 25%, however, no interest is due until their scheduled maturities ranging from 2009 to 2012. One Corporate/Partnership loan, with a carrying value of $60.5 million, has a stated accrual rate of 12.7% and no interest is due until its scheduled maturity in 2046.</w:t>
      </w:r>
    </w:p>
    <w:p>
      <w:pPr>
        <w:spacing w:after="0" w:line="66" w:lineRule="exact"/>
        <w:rPr>
          <w:rFonts w:ascii="Arial" w:cs="Arial" w:eastAsia="Arial" w:hAnsi="Arial"/>
          <w:sz w:val="12"/>
          <w:szCs w:val="12"/>
          <w:color w:val="auto"/>
        </w:rPr>
      </w:pPr>
    </w:p>
    <w:p>
      <w:pPr>
        <w:ind w:left="540" w:right="2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March 31, 2008, includes foreign denominated loans with combined carrying values of approximately £169.7 million, €174.1 million, CAD 46.0 million and SEK 121.7 million. Amounts in table have been converted to U.S. dollars based on exchange rates in effect at March 31, 2008.</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During the three months ended March 31, 2008 and 2007, respectively, the Company originated or acquired an aggregate of approximately $9.0 million and $1.00 billion in loans and other lending investments, funded $962.4 million and $350.3 million under existing loan commitments, and received principal repayments of $1.39 billion and $314.9 million.</w:t>
      </w:r>
    </w:p>
    <w:p>
      <w:pPr>
        <w:spacing w:after="0" w:line="194"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As of March 31, 2008, the Company had 232 loans with unfunded commitments totaling $4.68 billion, of which $828.0 million was discretionary and $3.86 billion was non-discretionary.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2008, $959.3 million of loans and other lending investments were pledged as collateral on two of our secured term loans (see Note 8).</w:t>
      </w:r>
    </w:p>
    <w:p>
      <w:pPr>
        <w:spacing w:after="0" w:line="242"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w w:val="91"/>
              </w:rPr>
              <w:t>Reserve for loan losses</w:t>
            </w:r>
            <w:r>
              <w:rPr>
                <w:rFonts w:ascii="Arial" w:cs="Arial" w:eastAsia="Arial" w:hAnsi="Arial"/>
                <w:sz w:val="18"/>
                <w:szCs w:val="18"/>
                <w:color w:val="auto"/>
                <w:w w:val="91"/>
              </w:rPr>
              <w:t>—Changes in the Company's reserve for loan losses were as follows (in thousands):</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2006</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118"/>
        </w:trPr>
        <w:tc>
          <w:tcPr>
            <w:tcW w:w="7980" w:type="dxa"/>
            <w:vAlign w:val="bottom"/>
            <w:gridSpan w:val="2"/>
            <w:vMerge w:val="restart"/>
          </w:tcPr>
          <w:p>
            <w:pPr>
              <w:ind w:left="780"/>
              <w:spacing w:after="0"/>
              <w:rPr>
                <w:sz w:val="20"/>
                <w:szCs w:val="20"/>
                <w:color w:val="auto"/>
              </w:rPr>
            </w:pPr>
            <w:r>
              <w:rPr>
                <w:rFonts w:ascii="Arial" w:cs="Arial" w:eastAsia="Arial" w:hAnsi="Arial"/>
                <w:sz w:val="18"/>
                <w:szCs w:val="18"/>
                <w:b w:val="1"/>
                <w:bCs w:val="1"/>
                <w:color w:val="auto"/>
              </w:rPr>
              <w:t>Reserve for loan losses, December 31, 2007</w:t>
            </w:r>
          </w:p>
        </w:tc>
        <w:tc>
          <w:tcPr>
            <w:tcW w:w="4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217,910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Charge-offs</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(54,526)</w:t>
            </w: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7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March 31, 2008</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7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7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-889000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-889000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60" w:firstLine="341"/>
        <w:spacing w:after="0" w:line="302" w:lineRule="auto"/>
        <w:rPr>
          <w:sz w:val="20"/>
          <w:szCs w:val="20"/>
          <w:color w:val="auto"/>
        </w:rPr>
      </w:pPr>
      <w:r>
        <w:rPr>
          <w:rFonts w:ascii="Arial" w:cs="Arial" w:eastAsia="Arial" w:hAnsi="Arial"/>
          <w:sz w:val="15"/>
          <w:szCs w:val="15"/>
          <w:color w:val="auto"/>
        </w:rPr>
        <w:t>As of March 31, 2008, the Company identified loans with a carrying value of $758.3 million and a gross loan value of $957.0 million that were impaired in accordance with SFAS 114 (see Note 3—Reserve for loan losses). Gross loan value represents the Company's carrying value of a loan and the portion of the loan that is owned by Fremont through the loan participation agreement. It represents what the carrying value of the loan would have been if the loan participation had not occurred. Under the terms of the participation, Fremont will receive 70% of all loan principal payments, including principal that the Company has funded.</w:t>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Therefore, the Company is in the first loss position. As such, the Company believes that presentation of the total recorded investment is more relevant than a presentation of the Company's carrying value when assessing the Company's risk of loss on the loans in the Fremont CRE Portfolio. The Company assessed each of the loans for impairment and determined that loans with a gross loan value of $396.1 million required specific reserves totaling $89.9 million and that the remaining loans with a gross loan value of $560.9 million did not require any specific reserves. All impaired loans are included on the Company's non-performing loan list and are on non-accrual status as of March 31, 2008. The $89.9 million of SFAS 114 specific reserves is included in the total reserve for loan losses of $252.9 million and the remainder of the balance represents SFAS 5 reserves. The average carrying value of impaired loans were approximately $983.1 million and $69.7 million during the three months ended March 31, 2008 and 2007, respectively. The Company recorded cash payments of $1.9 million from impaired loans in "Interest income" on the Company's Consolidated Statements of Operations for the three months ended March 31, 2008.</w:t>
      </w:r>
    </w:p>
    <w:p>
      <w:pPr>
        <w:spacing w:after="0" w:line="178" w:lineRule="exact"/>
        <w:rPr>
          <w:sz w:val="20"/>
          <w:szCs w:val="20"/>
          <w:color w:val="auto"/>
        </w:rPr>
      </w:pPr>
    </w:p>
    <w:p>
      <w:pPr>
        <w:jc w:val="both"/>
        <w:ind w:right="340" w:firstLine="351"/>
        <w:spacing w:after="0" w:line="256" w:lineRule="auto"/>
        <w:rPr>
          <w:sz w:val="20"/>
          <w:szCs w:val="20"/>
          <w:color w:val="auto"/>
        </w:rPr>
      </w:pPr>
      <w:r>
        <w:rPr>
          <w:rFonts w:ascii="Arial" w:cs="Arial" w:eastAsia="Arial" w:hAnsi="Arial"/>
          <w:sz w:val="18"/>
          <w:szCs w:val="18"/>
          <w:color w:val="auto"/>
        </w:rPr>
        <w:t>During the three months ended March 31, 2008, the Company received title to properties in satisfaction of three senior mortgage loans, with cumulative carrying values of $191.6 million, for which those properties had served as collateral. During the three months ended March 31, 2008, the Company recorded charge-offs totaling $36.5 million that related to these loans. The amounts charged-off represent the difference between the Company's carrying values in the loans and the respective estimated fair values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of the net assets received through foreclosure or in lieu of payment. The Company recorded the estimated fair values of the net assets received in respect to the three loans in "Other real estate owned" on the Company's Consolidated Balance Sheets, as the Company plans to sell these properties. In addition, the Company charged-off $14.7 million related to a loan that was reclassified as an equity investment. The loan had a carrying value of $84.1 million prior to the charge-off.</w:t>
      </w:r>
    </w:p>
    <w:p>
      <w:pPr>
        <w:spacing w:after="0" w:line="142"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During the three months ended March 31, 2008, the Company sold loans with a total cumulative carrying value of $157.8 million for which it recorded a net realized gain of $0.9 million. Gains and losses on sales of loans are reported in "Other income" on the the Company's Consolidated Statements of Operations.</w:t>
      </w:r>
    </w:p>
    <w:p>
      <w:pPr>
        <w:spacing w:after="0" w:line="133"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—As of March 31, 2008, the carrying value of Other Lending Investment-Securities includes $423.0 million of held-to-maturity securities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fair value of $394.7 million and gross unrealized gains of $5.1 million and losses of $33.4 million. As of March 31, 2008, the aggregate fair value of securities with unrealized losses was $304.7 million and none of the securities had been in a continuous unrealized loss position for 12 months or longer. The carrying value also includes $20.0 million of available-for-sale securities recorded at fair value for which a cumulative unrealized loss of $4.3 million is recorded in "Accumulated other comprehensive income (losses)" on the Company's Consolidated Balance Sheets. Included in Other Lending Investments-Securities are $236.0 million of held-to-maturity securities that mature in one to five years, $187.0 million of held-to-maturity securities that mature in five to ten years and $20.0 million of available-for-sale securities that mature in five to ten years.</w:t>
      </w:r>
    </w:p>
    <w:p>
      <w:pPr>
        <w:spacing w:after="0" w:line="16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color w:val="auto"/>
        </w:rPr>
        <w:t>SOP 03-3 loans</w:t>
      </w:r>
      <w:r>
        <w:rPr>
          <w:rFonts w:ascii="Arial" w:cs="Arial" w:eastAsia="Arial" w:hAnsi="Arial"/>
          <w:sz w:val="16"/>
          <w:szCs w:val="16"/>
          <w:color w:val="auto"/>
        </w:rPr>
        <w:t>—AICPA Statement of Position 03-3 ("SOP 03-3") prescribes the accounting treatment for acquired loans with evidence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deterioration for which it is probable, at acquisition, that all contractually required payments will not be received. As of March 31, 2008 and December 31, 2007, the Company had SOP 03-3 loans with a cumulative principal balance of $244.3 million and $273.6 million, respectively, and a cumulative carrying value of $203.1 million and $231.8 million, respectively. As of March 31, 2008, SOP 03-3 loans with a cumulative carrying value of $90.6 million are on non-accrual status and the Company is recognizing interest on the cash basis of accounting or applying cash using the cost recovery method. In addition, as of March 31, 2008, the Company had SOP 03-3 loans with a carrying value of $112.5 million for which the Company did not have a reasonable expectation about the timing and amount of cash flows expected to be collected and is recognized income using the cash basis of accounting. The majority of the Company's SOP 03-3 loans were acquired in the acquisition of Fremont CRE.</w:t>
      </w:r>
    </w:p>
    <w:p>
      <w:pPr>
        <w:spacing w:after="0" w:line="16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Other real estate owned</w:t>
      </w:r>
      <w:r>
        <w:rPr>
          <w:rFonts w:ascii="Arial" w:cs="Arial" w:eastAsia="Arial" w:hAnsi="Arial"/>
          <w:sz w:val="18"/>
          <w:szCs w:val="18"/>
          <w:color w:val="auto"/>
        </w:rPr>
        <w:t>—"Other real estate owned" on the Company's Consolidated Balance Sheets includes real estate assets received through foreclosure</w:t>
      </w:r>
      <w:r>
        <w:rPr>
          <w:rFonts w:ascii="Arial" w:cs="Arial" w:eastAsia="Arial" w:hAnsi="Arial"/>
          <w:sz w:val="18"/>
          <w:szCs w:val="18"/>
          <w:b w:val="1"/>
          <w:bCs w:val="1"/>
          <w:color w:val="auto"/>
        </w:rPr>
        <w:t xml:space="preserve"> </w:t>
      </w:r>
      <w:r>
        <w:rPr>
          <w:rFonts w:ascii="Arial" w:cs="Arial" w:eastAsia="Arial" w:hAnsi="Arial"/>
          <w:sz w:val="18"/>
          <w:szCs w:val="18"/>
          <w:color w:val="auto"/>
        </w:rPr>
        <w:t>or by deed-in-lieu of foreclosure on certain non-performing loans in the Company's loan portfolio. During the three months ended March 31, 2008, the Company recorded properties with a combined estimated fair value of $155.1 million into OREO. Prior to the Company taking title to these assets, they had served as collateral on three non-performing loans. The Company recorded $2.4 million of net expense in "Other expense" on the Company's Consolidated Statements of Operations related to holding costs for these properties.</w:t>
      </w:r>
    </w:p>
    <w:p>
      <w:pPr>
        <w:spacing w:after="0" w:line="193"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b w:val="1"/>
          <w:bCs w:val="1"/>
          <w:color w:val="auto"/>
        </w:rPr>
        <w:t>Fremont CRE participation</w:t>
      </w:r>
      <w:r>
        <w:rPr>
          <w:rFonts w:ascii="Arial" w:cs="Arial" w:eastAsia="Arial" w:hAnsi="Arial"/>
          <w:sz w:val="18"/>
          <w:szCs w:val="18"/>
          <w:color w:val="auto"/>
        </w:rPr>
        <w:t>—On July 2, 2007, the Company completed the sale of a $4.20 billion participation interest in the $6.27 billion Fremont CRE</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Under the terms of the participation, the Company pays 70% of all principal collected from the Fremont CRE portfolio, including principal collected from amounts funded on the loans subsequent to the acquisition of the portfolio, until the participation is fully repaid. As of March 31, 2008, the Company had unfunded loan commitments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$1.51 billion related to the Fremont CRE portfolio. The Fremont CRE participation pays floating interest at LIBOR + 1.50%.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outstanding Fremont loan portfolio participation balance were as follows (in thousands):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2007</w:t>
            </w:r>
          </w:p>
        </w:tc>
        <w:tc>
          <w:tcPr>
            <w:tcW w:w="2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repayments(1)</w:t>
            </w:r>
          </w:p>
        </w:tc>
        <w:tc>
          <w:tcPr>
            <w:tcW w:w="2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(575,380)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March 31, 2008</w:t>
            </w:r>
          </w:p>
        </w:tc>
        <w:tc>
          <w:tcPr>
            <w:tcW w:w="2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2,404,858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226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-323215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160" w:right="20" w:hanging="531"/>
        <w:spacing w:after="0" w:line="239" w:lineRule="auto"/>
        <w:tabs>
          <w:tab w:leader="none" w:pos="2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$275.5 million of principal repayments received by the Company that have not yet been remitted to Fremont and are reflected as a payable in "Accounts payable, accrued expenses and other liabilities" on the Company's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three months ended March 31, 2008 and 2007, the Company acquired an aggregate of approximately $2.0 million and $20.1 million in CTL assets, respectively and disposed of CTL assets for net proceeds of approximately $8.2 million and $34.8 million, respectively resulting in gains of $2.1 million and $1.4 million, respectively. In addition, in March 2007, the Company received title to property with a fair value of $156.8 million that served as collateral for a senior mortgage loan. The Company allocated $120.4 million of this fair value to CTL assets and the remainder was allocated to CTL intangibles.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201"/>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center"/>
              <w:ind w:right="221"/>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3,032,162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729,572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730,495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(417,015)</w:t>
            </w:r>
          </w:p>
        </w:tc>
        <w:tc>
          <w:tcPr>
            <w:tcW w:w="0" w:type="dxa"/>
            <w:vAlign w:val="bottom"/>
          </w:tcPr>
          <w:p>
            <w:pPr>
              <w:spacing w:after="0"/>
              <w:rPr>
                <w:sz w:val="1"/>
                <w:szCs w:val="1"/>
                <w:color w:val="auto"/>
              </w:rPr>
            </w:pPr>
          </w:p>
        </w:tc>
      </w:tr>
      <w:tr>
        <w:trPr>
          <w:trHeight w:val="118"/>
        </w:trPr>
        <w:tc>
          <w:tcPr>
            <w:tcW w:w="560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00" w:type="dxa"/>
            <w:vAlign w:val="bottom"/>
            <w:gridSpan w:val="2"/>
          </w:tcPr>
          <w:p>
            <w:pPr>
              <w:spacing w:after="0"/>
              <w:rPr>
                <w:sz w:val="20"/>
                <w:szCs w:val="20"/>
                <w:color w:val="auto"/>
              </w:rPr>
            </w:pPr>
            <w:r>
              <w:rPr>
                <w:rFonts w:ascii="Arial" w:cs="Arial" w:eastAsia="Arial" w:hAnsi="Arial"/>
                <w:sz w:val="18"/>
                <w:szCs w:val="18"/>
                <w:color w:val="auto"/>
              </w:rPr>
              <w:t>Corporate tenant lease assets, net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3,328,210</w:t>
            </w:r>
          </w:p>
        </w:tc>
        <w:tc>
          <w:tcPr>
            <w:tcW w:w="14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3,309,866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-889000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-889000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-889000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-889000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-323215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certain leases, the Company is entitled to receive additional participating lease payments to the extent gross revenues of the corporate customer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exceed a base amount. The Company earned approximately $1.4 million in additional participating lease payments on such leases during the three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March 31, 2008 and none during the three months ended March 31, 2007. In addition, the Company also receives reimbursements from customers for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operating expenses including common area costs, insurance and real estate taxes. Customer expense reimbursements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2008 and 2007 were approximately $9.4 million and $6.7 million, respectively, and are included as a reduction of "Operating costs—corporate tenant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lease assets" on the Company's Consolidated Statements of Operations.</w:t>
      </w:r>
    </w:p>
    <w:p>
      <w:pPr>
        <w:spacing w:after="0" w:line="219"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The Company is subject to expansion option agreements with three existing customers which could require the Company to fund and to construct up to 171,000 square feet of additional adjacent space on which the Company would receive additional operating lease income under the terms of the option agreements. Upon exercise of such expansion option agreements, the corporate customers would be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required to simultaneously extend their existing lease terms for additional periods ranging from six to ten years. Additionally, the Company has an obligation, through February 28, 2009, to consider an existing customer's pending proposal to acquire and construct up to seven additional sites similar to those already included in the customer's lease agreement, which could require funding by the Company of up to $200 million. Upon completion of each site, the Company would receive additional operating lease income under the terms of the existing lease agreement and extend the lease for a period of 25 years.</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Certain CTL assets are subject to mortgage liens. As of March 31, 2008, 31 CTL assets were encumbered with 12 mortgages with a cumulative outstanding balance of approximately $367.5 million. As of December 31, 2007, 27 CTL assets were encumbered with 11 mortgages with a cumulative outstanding balance of $316.8 million. As of March 31, 2008, the mortgages' balances ranged in amount from approximately $5.6 million to $121.4 million and had maturity dates ranging from 12 months to 18.7 years. As of March 31, 2008, 11 of the loans had fixed interest rates ranging from 6.4% to 8.4% and one variable rate loan had a rate of LIBOR + 1.65% (see Note 8 for further detail).</w:t>
      </w:r>
    </w:p>
    <w:p>
      <w:pPr>
        <w:spacing w:after="0" w:line="170"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of March 31, 2008, the Company had $49.8 million of non-discretionary unfunded commitments related to six CTL investments. These commitments generally fall into two categories: (1) pre-approved capital improvement projects; and (2) new or additional construction costs. Upon completion of the improvements or construction, the Company will receive additional operating lease income from the customers. In addition, the Company had $12.2 million of non-discretionary unfunded commitments related to 14 existing customers in the form of tenant improvements which were negotiated between the Company and the customers at the commencement of the leases.</w:t>
      </w:r>
    </w:p>
    <w:p>
      <w:pPr>
        <w:spacing w:after="0" w:line="197"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of March 31, 2008, there were three CTL assets with an aggregate book value of $79.2 million classified as "Assets held for sale" on the Company's Consolidated Balance Sheets.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capitalized $4.0 million and $0.6 million of interest on build-to-suit CTL assets during the three months ended March 31, 2008 and March 31, 2007,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457"/>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417"/>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March 31, 2008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December 31, 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246,313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Timber and timberlands, net(1)</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CTL intangibles, net(2)</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67,644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856,609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-1300480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-1300480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-1300480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-1300480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-323215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-323215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hanging="532"/>
        <w:spacing w:after="0"/>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Accumulated depletion on timber and timberlands was $16.1 million and $14.1 million as of March 31, 2008 and December 31, 2007, respectively.</w:t>
      </w:r>
    </w:p>
    <w:p>
      <w:pPr>
        <w:spacing w:after="0" w:line="122" w:lineRule="exact"/>
        <w:rPr>
          <w:rFonts w:ascii="Arial" w:cs="Arial" w:eastAsia="Arial" w:hAnsi="Arial"/>
          <w:sz w:val="14"/>
          <w:szCs w:val="14"/>
          <w:color w:val="auto"/>
        </w:rPr>
      </w:pPr>
    </w:p>
    <w:p>
      <w:pPr>
        <w:ind w:left="1620" w:hanging="532"/>
        <w:spacing w:after="0"/>
        <w:tabs>
          <w:tab w:leader="none" w:pos="1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Accumulated amortization on CTL intangibles was $17.8 million and $15.5 million as of March 31, 2008 and December 31, 2007, respectively.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Equity method investments</w:t>
      </w:r>
      <w:r>
        <w:rPr>
          <w:rFonts w:ascii="Arial" w:cs="Arial" w:eastAsia="Arial" w:hAnsi="Arial"/>
          <w:sz w:val="16"/>
          <w:szCs w:val="16"/>
          <w:color w:val="auto"/>
        </w:rPr>
        <w:t>—As of March 31, 2008, the Company owned 47.5% interests in Oak Hill Advisors, L.P., Oak Hill Credit Alpha MGP, LLC,</w:t>
      </w:r>
      <w:r>
        <w:rPr>
          <w:rFonts w:ascii="Arial" w:cs="Arial" w:eastAsia="Arial" w:hAnsi="Arial"/>
          <w:sz w:val="16"/>
          <w:szCs w:val="16"/>
          <w:b w:val="1"/>
          <w:bCs w:val="1"/>
          <w:color w:val="auto"/>
        </w:rPr>
        <w:t xml:space="preserve"> </w:t>
      </w:r>
      <w:r>
        <w:rPr>
          <w:rFonts w:ascii="Arial" w:cs="Arial" w:eastAsia="Arial" w:hAnsi="Arial"/>
          <w:sz w:val="16"/>
          <w:szCs w:val="16"/>
          <w:color w:val="auto"/>
        </w:rPr>
        <w:t>Oak Hill Credit Opportunities MGP, LLC, OHA Finance MGP, LLC, OHA Capital Solutions MGP, LLC and OHA Strategic Credit Fund, LLC, and 48.1% interests in OHSF GP Partners II, LLC and OHSF GP Partners (Investors), LLC, (collectively, "Oak Hill"). Oak Hill engages in investment and asset management services. The Company has determined that all of these entities are variable interest entities and that an external member is the primary beneficiary. As such, the Company accounts for these ventures under the equity method. Upon acquisition of the original interests in Oak Hill there was a difference between the Company's book value of the equity investments and the underlying equity in the net assets of Oak Hill of approximately $200.2 million. The Company allocated this value to identifiable intangible assets of approximately $81.8 million and goodwill of $118.4 million. The unamortized balance related to intangible assets for these investments was approximately $56.9 million and $58.4 million as of March 31, 2008 and December 31, 2007, respectively. The Company's carrying value in Oak Hill was $183.5 million and $199.6 million at March 31, 2008 and December 31, 2007, respectively, and the Company recognized equity in earnings from these entities of $5.1 million and $4.1 million for the three months ended March 31, 2008 and 2007, respectively.</w:t>
      </w:r>
    </w:p>
    <w:p>
      <w:pPr>
        <w:spacing w:after="0" w:line="17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of March 31, 2008, the Company owned a 46.7% interest in TimberStar Southwest Holdco LLC ("TimberStar Southwest"), through its majority owned subsidiary TimberStar Operating Partnership, L.P. ("TimberStar"). TimberStar Southwest was created to acquire and manage a diversified portfolio of timberlands located in Texas, Louisiana and Arkansas. The Company accounts for this investment under the equity method due to the venture's external partners having certain participating rights giving them shared control. Upon acquisition, there was a $1.0 million difference between the Company's book value of the equity investment and the underlying equity in the net assets of the entity, which the Company allocated to identifiable intangible assets. As of March 31, 2008 and December 31, 2007, the unamortized balance was $0.9 million. The Company's carrying value in the venture was $140.9 million and $145.4 million at March 31, 2008 and December 31, 2007, respectively. The Company recognized equity in losses from the investment of ($2.7) million and ($3.8) million for the three months ended March 31, 2008 and 2007, respectively. The Company's share of depletion, depreciation and amortization expense from the entity was $6.7 million and $9.2 million for the three months ended March 31, 2008 and 2007, respectively, and consists primarily of depletion from the harvesting and sale of timber. On April 1, 2008, the Company closed on the sale of the TimberStar Southwest joint venture (see Note 17).</w:t>
      </w:r>
    </w:p>
    <w:p>
      <w:pPr>
        <w:spacing w:after="0" w:line="177" w:lineRule="exact"/>
        <w:rPr>
          <w:sz w:val="20"/>
          <w:szCs w:val="20"/>
          <w:color w:val="auto"/>
        </w:rPr>
      </w:pPr>
    </w:p>
    <w:p>
      <w:pPr>
        <w:jc w:val="both"/>
        <w:ind w:right="140" w:firstLine="341"/>
        <w:spacing w:after="0" w:line="255" w:lineRule="auto"/>
        <w:rPr>
          <w:sz w:val="20"/>
          <w:szCs w:val="20"/>
          <w:color w:val="auto"/>
        </w:rPr>
      </w:pPr>
      <w:r>
        <w:rPr>
          <w:rFonts w:ascii="Arial" w:cs="Arial" w:eastAsia="Arial" w:hAnsi="Arial"/>
          <w:sz w:val="18"/>
          <w:szCs w:val="18"/>
          <w:color w:val="auto"/>
        </w:rPr>
        <w:t>As of March 31, 2008, the Company owned a 29.52% interest in Madison International Real Estate Fund II, LP, a 32.92% interest in Madison International Real Estate Fund III, LP, a 29.52% interest in Madison GP1 Investors, LP (collectively, the "Madison Funds"). The Madison Funds invest in illiquid ownership positions of entities that own real estate assets. The Company's carrying value in the Madison Funds was $48.2 million and $38.0 million at March 31, 2008 and December 31, 2007, respectively, and the Company recognized equity in losses from these investments of ($2.6) million and ($0.4) million for the three months ended March 31, 2008 and 2007, respectively.</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also had investments in 16 and 15 additional entities that were accounted for under the equity method as of March 31, 2008 and December 31, 2007, respectively. The Company's ownership in these entities ranged from 0.83% to 50.0% as of March 31, 2008 and the Company's carrying value in these investments was $99.5 million and $99.2 million as of March 31, 2008 and December 31, 2007, respectively. The Company recognized cumulative net equity in losses of ($0.9) million for the three months ended March 31, 2008 and equity in earnings of $1.6 million for the three months ended March 31, 2007.</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summarized financial information of the Company's equity method investments (in thousands):</w:t>
      </w:r>
    </w:p>
    <w:p>
      <w:pPr>
        <w:spacing w:after="0" w:line="221"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For the</w:t>
      </w:r>
    </w:p>
    <w:p>
      <w:pPr>
        <w:jc w:val="center"/>
        <w:ind w:left="608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6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58420</wp:posOffset>
            </wp:positionV>
            <wp:extent cx="194246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42465" cy="215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2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Revenues</w:t>
            </w:r>
          </w:p>
        </w:tc>
        <w:tc>
          <w:tcPr>
            <w:tcW w:w="2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182,724</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148,904</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2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-633730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-633730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-633730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-633730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2008, the Company had $93.5 million of non-discretionary unfunded commitments related to eight equity method investments.</w:t>
      </w:r>
    </w:p>
    <w:p>
      <w:pPr>
        <w:spacing w:after="0" w:line="242"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Cost method investments</w:t>
      </w:r>
      <w:r>
        <w:rPr>
          <w:rFonts w:ascii="Arial" w:cs="Arial" w:eastAsia="Arial" w:hAnsi="Arial"/>
          <w:sz w:val="16"/>
          <w:szCs w:val="16"/>
          <w:color w:val="auto"/>
        </w:rPr>
        <w:t>—The Company had investments in 18 separate real estate related funds or other strategic investment opportunities within niche</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that are accounted for under the cost method and had cumulative carrying values of $246.3 million and $173.8 million as of March 31, 2008 and December 31, 2007, respectively. As of March 31, 2008, the Company had $163.8 million of non-discretionary unfunded commitments related to three cost method investments. During the three months ended March 31, 2008, the Company reclassified a loan with a net carrying value of $69.4 million from "Loans and other lending investments, net" to "Other investments" on the Company's Consolidated Balance Sheets, as a cost method investment.</w:t>
      </w:r>
    </w:p>
    <w:p>
      <w:pPr>
        <w:spacing w:after="0" w:line="168"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During the three months ended March 31, 2008, the Company redeemed its interest in a profits participation that was originally received as part of a prior lending investment and carried as a cost method investment prior to redemption. As a result of the transaction, the Company recorded a note receivable of $44.2 million and an equal amount of income in "Other income" in the Company's Consolidated Statements of Operations.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consist of the following items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0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640" w:type="dxa"/>
            <w:vAlign w:val="bottom"/>
          </w:tcPr>
          <w:p>
            <w:pPr>
              <w:jc w:val="right"/>
              <w:ind w:right="312"/>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3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March 31, 2008</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December 31, 2007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47,593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Intangible assets, net(1)</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27,025</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net(2)</w:t>
            </w: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22,947</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Corporate furniture, fixtures and equipment, net(3)</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15,765</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Leasing costs, net(4)</w:t>
            </w: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assets</w:t>
            </w: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28,138</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156,647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105,274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-1300480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-1300480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-1300480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-1300480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-323215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-323215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152400</wp:posOffset>
            </wp:positionV>
            <wp:extent cx="105029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620" w:hanging="532"/>
        <w:spacing w:after="0"/>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Accumulated amortization on intangible assets was $7.7 million and $6.0 million as of March 31, 2008 and December 31, 2007, respectively.</w:t>
      </w:r>
    </w:p>
    <w:p>
      <w:pPr>
        <w:spacing w:after="0" w:line="122" w:lineRule="exact"/>
        <w:rPr>
          <w:rFonts w:ascii="Arial" w:cs="Arial" w:eastAsia="Arial" w:hAnsi="Arial"/>
          <w:sz w:val="14"/>
          <w:szCs w:val="14"/>
          <w:color w:val="auto"/>
        </w:rPr>
      </w:pPr>
    </w:p>
    <w:p>
      <w:pPr>
        <w:ind w:left="1620" w:hanging="532"/>
        <w:spacing w:after="0"/>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$29.8 million and $27.6 million as of March 31, 2008 and December 31, 2007, respectively.</w:t>
      </w:r>
    </w:p>
    <w:p>
      <w:pPr>
        <w:spacing w:after="0" w:line="122" w:lineRule="exact"/>
        <w:rPr>
          <w:rFonts w:ascii="Arial" w:cs="Arial" w:eastAsia="Arial" w:hAnsi="Arial"/>
          <w:sz w:val="14"/>
          <w:szCs w:val="14"/>
          <w:color w:val="auto"/>
        </w:rPr>
      </w:pPr>
    </w:p>
    <w:p>
      <w:pPr>
        <w:ind w:left="1620" w:hanging="532"/>
        <w:spacing w:after="0"/>
        <w:tabs>
          <w:tab w:leader="none" w:pos="16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Accumulated depreciation on corporate furniture, fixture and equipment was $5.3 million and $4.8 million as of March 31, 2008 and December 31, 2007, respectively.</w:t>
      </w:r>
    </w:p>
    <w:p>
      <w:pPr>
        <w:spacing w:after="0" w:line="145" w:lineRule="exact"/>
        <w:rPr>
          <w:rFonts w:ascii="Arial" w:cs="Arial" w:eastAsia="Arial" w:hAnsi="Arial"/>
          <w:sz w:val="12"/>
          <w:szCs w:val="12"/>
          <w:color w:val="auto"/>
        </w:rPr>
      </w:pPr>
    </w:p>
    <w:p>
      <w:pPr>
        <w:ind w:left="1620" w:hanging="532"/>
        <w:spacing w:after="0"/>
        <w:tabs>
          <w:tab w:leader="none" w:pos="1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Accumulated amortization on leasing costs was $7.9 million and $8.4 million as of March 31, 2008 and December 31, 2007, respectively.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2280" w:type="dxa"/>
            <w:vAlign w:val="bottom"/>
          </w:tcPr>
          <w:p>
            <w:pPr>
              <w:jc w:val="right"/>
              <w:ind w:right="932"/>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rPr>
              <w:t>March 31, 2008</w:t>
            </w:r>
          </w:p>
        </w:tc>
        <w:tc>
          <w:tcPr>
            <w:tcW w:w="260" w:type="dxa"/>
            <w:vAlign w:val="bottom"/>
          </w:tcPr>
          <w:p>
            <w:pPr>
              <w:spacing w:after="0"/>
              <w:rPr>
                <w:sz w:val="15"/>
                <w:szCs w:val="15"/>
                <w:color w:val="auto"/>
              </w:rPr>
            </w:pPr>
          </w:p>
        </w:tc>
        <w:tc>
          <w:tcPr>
            <w:tcW w:w="2280" w:type="dxa"/>
            <w:vAlign w:val="bottom"/>
          </w:tcPr>
          <w:p>
            <w:pPr>
              <w:jc w:val="right"/>
              <w:ind w:right="532"/>
              <w:spacing w:after="0"/>
              <w:rPr>
                <w:sz w:val="20"/>
                <w:szCs w:val="20"/>
                <w:color w:val="auto"/>
              </w:rPr>
            </w:pPr>
            <w:r>
              <w:rPr>
                <w:rFonts w:ascii="Arial" w:cs="Arial" w:eastAsia="Arial" w:hAnsi="Arial"/>
                <w:sz w:val="14"/>
                <w:szCs w:val="14"/>
                <w:b w:val="1"/>
                <w:bCs w:val="1"/>
                <w:color w:val="auto"/>
              </w:rPr>
              <w:t>December 31, 2007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Fremont participation payable (see Note 4)</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$286,606</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Dividends payable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118,715</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34,868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96,113</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Unearned operating lease income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22,053</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12,345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Security deposits from customers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19,776</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19,849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19,137</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liabilities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56,458</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46,779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2"/>
              </w:rPr>
              <w:t>Accounts payable, accrued expenses and other liabilities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$639,910</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$495,311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200" w:type="dxa"/>
            <w:vAlign w:val="bottom"/>
            <w:vMerge w:val="restart"/>
          </w:tcPr>
          <w:p>
            <w:pPr>
              <w:jc w:val="right"/>
              <w:ind w:right="672"/>
              <w:spacing w:after="0"/>
              <w:rPr>
                <w:sz w:val="20"/>
                <w:szCs w:val="20"/>
                <w:color w:val="auto"/>
              </w:rPr>
            </w:pPr>
            <w:r>
              <w:rPr>
                <w:rFonts w:ascii="Arial" w:cs="Arial" w:eastAsia="Arial" w:hAnsi="Arial"/>
                <w:sz w:val="18"/>
                <w:szCs w:val="18"/>
                <w:color w:val="auto"/>
              </w:rPr>
              <w:t>24</w:t>
            </w: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-2072640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-2072640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-2072640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-2072640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-820420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-820420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-820420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-820420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w:t>
      </w:r>
    </w:p>
    <w:p>
      <w:pPr>
        <w:spacing w:after="0" w:line="231"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As of March 31, 2008 and December 31, 2007, the Company has debt obligations under various arrangements with financial institutions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Carrying Value as of</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Maximum Amount</w:t>
            </w: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March 31, 2008</w:t>
            </w:r>
          </w:p>
        </w:tc>
        <w:tc>
          <w:tcPr>
            <w:tcW w:w="8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2007</w:t>
            </w:r>
          </w:p>
        </w:tc>
        <w:tc>
          <w:tcPr>
            <w:tcW w:w="1980" w:type="dxa"/>
            <w:vAlign w:val="bottom"/>
            <w:gridSpan w:val="2"/>
          </w:tcPr>
          <w:p>
            <w:pPr>
              <w:ind w:left="260"/>
              <w:spacing w:after="0"/>
              <w:rPr>
                <w:sz w:val="20"/>
                <w:szCs w:val="20"/>
                <w:color w:val="auto"/>
              </w:rPr>
            </w:pPr>
            <w:r>
              <w:rPr>
                <w:rFonts w:ascii="Arial" w:cs="Arial" w:eastAsia="Arial" w:hAnsi="Arial"/>
                <w:sz w:val="14"/>
                <w:szCs w:val="14"/>
                <w:b w:val="1"/>
                <w:bCs w:val="1"/>
                <w:color w:val="auto"/>
              </w:rPr>
              <w:t>Stated Interest Rates(1)</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8"/>
              </w:rPr>
              <w:t>Scheduled Maturity Date(1)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Secured revolving credit facility:</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Line of credit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244,718</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LIBOR + 1%-2%(2)</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6"/>
              </w:rPr>
              <w:t>September 2009(3)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Unsecured revolving credit facilities: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Line of credit(4)</w:t>
            </w:r>
          </w:p>
        </w:tc>
        <w:tc>
          <w:tcPr>
            <w:tcW w:w="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2,220,000</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1,988,203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1,485,286</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LIBOR + 0.525%(5)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Line of credit(6)</w:t>
            </w:r>
          </w:p>
        </w:tc>
        <w:tc>
          <w:tcPr>
            <w:tcW w:w="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1,200,000</w:t>
            </w: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834,184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1,195,888</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LIBOR + 0.525%(5)</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Total revolving credit facilities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3,920,000</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3,067,105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2,681,174</w:t>
            </w: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Interim financing facility</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1,289,811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1,289,811</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LIBOR + 0.50%</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Secured term loans: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Collateralized by CTL assets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121,386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122,690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7.44%</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tcPr>
          <w:p>
            <w:pPr>
              <w:ind w:left="200"/>
              <w:spacing w:after="0" w:line="138" w:lineRule="exact"/>
              <w:rPr>
                <w:sz w:val="20"/>
                <w:szCs w:val="20"/>
                <w:color w:val="auto"/>
              </w:rPr>
            </w:pPr>
            <w:r>
              <w:rPr>
                <w:rFonts w:ascii="Arial" w:cs="Arial" w:eastAsia="Arial" w:hAnsi="Arial"/>
                <w:sz w:val="14"/>
                <w:szCs w:val="14"/>
                <w:color w:val="auto"/>
              </w:rPr>
              <w:t>Collateralized by CTL assets</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246,140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8" w:lineRule="exact"/>
              <w:rPr>
                <w:sz w:val="20"/>
                <w:szCs w:val="20"/>
                <w:color w:val="auto"/>
              </w:rPr>
            </w:pPr>
            <w:r>
              <w:rPr>
                <w:rFonts w:ascii="Arial" w:cs="Arial" w:eastAsia="Arial" w:hAnsi="Arial"/>
                <w:sz w:val="14"/>
                <w:szCs w:val="14"/>
                <w:color w:val="auto"/>
              </w:rPr>
              <w:t>194,061</w:t>
            </w:r>
          </w:p>
        </w:tc>
        <w:tc>
          <w:tcPr>
            <w:tcW w:w="120" w:type="dxa"/>
            <w:vAlign w:val="bottom"/>
          </w:tcPr>
          <w:p>
            <w:pPr>
              <w:spacing w:after="0"/>
              <w:rPr>
                <w:sz w:val="11"/>
                <w:szCs w:val="11"/>
                <w:color w:val="auto"/>
              </w:rPr>
            </w:pPr>
          </w:p>
        </w:tc>
        <w:tc>
          <w:tcPr>
            <w:tcW w:w="19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LIBOR + 1.65%</w:t>
            </w:r>
          </w:p>
        </w:tc>
        <w:tc>
          <w:tcPr>
            <w:tcW w:w="2120" w:type="dxa"/>
            <w:vAlign w:val="bottom"/>
          </w:tcPr>
          <w:p>
            <w:pPr>
              <w:jc w:val="center"/>
              <w:spacing w:after="0" w:line="138" w:lineRule="exact"/>
              <w:rPr>
                <w:sz w:val="20"/>
                <w:szCs w:val="20"/>
                <w:color w:val="auto"/>
              </w:rPr>
            </w:pPr>
            <w:r>
              <w:rPr>
                <w:rFonts w:ascii="Arial" w:cs="Arial" w:eastAsia="Arial" w:hAnsi="Arial"/>
                <w:sz w:val="14"/>
                <w:szCs w:val="14"/>
                <w:color w:val="auto"/>
                <w:w w:val="88"/>
              </w:rPr>
              <w:t>Various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and</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9"/>
              </w:rPr>
              <w:t>2026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6.4%-8.4%</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Collateralized by investments in corporate debt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LIBOR + 2.5%</w:t>
            </w:r>
          </w:p>
        </w:tc>
        <w:tc>
          <w:tcPr>
            <w:tcW w:w="2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March 2009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980" w:type="dxa"/>
            <w:vAlign w:val="bottom"/>
            <w:gridSpan w:val="2"/>
            <w:vMerge w:val="continue"/>
            <w:shd w:val="clear" w:color="auto" w:fill="CCEEFF"/>
          </w:tcPr>
          <w:p>
            <w:pPr>
              <w:spacing w:after="0"/>
              <w:rPr>
                <w:sz w:val="10"/>
                <w:szCs w:val="10"/>
                <w:color w:val="auto"/>
              </w:rPr>
            </w:pPr>
          </w:p>
        </w:tc>
        <w:tc>
          <w:tcPr>
            <w:tcW w:w="2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w w:val="98"/>
              </w:rPr>
              <w:t>Collateralized by investments in corporate bonds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54,221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91,388</w:t>
            </w:r>
          </w:p>
        </w:tc>
        <w:tc>
          <w:tcPr>
            <w:tcW w:w="120" w:type="dxa"/>
            <w:vAlign w:val="bottom"/>
          </w:tcPr>
          <w:p>
            <w:pPr>
              <w:spacing w:after="0"/>
              <w:rPr>
                <w:sz w:val="14"/>
                <w:szCs w:val="14"/>
                <w:color w:val="auto"/>
              </w:rPr>
            </w:pPr>
          </w:p>
        </w:tc>
        <w:tc>
          <w:tcPr>
            <w:tcW w:w="1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LIBOR + 1.65%</w:t>
            </w:r>
          </w:p>
        </w:tc>
        <w:tc>
          <w:tcPr>
            <w:tcW w:w="2120" w:type="dxa"/>
            <w:vAlign w:val="bottom"/>
            <w:vMerge w:val="restart"/>
          </w:tcPr>
          <w:p>
            <w:pPr>
              <w:jc w:val="center"/>
              <w:spacing w:after="0"/>
              <w:rPr>
                <w:sz w:val="20"/>
                <w:szCs w:val="20"/>
                <w:color w:val="auto"/>
              </w:rPr>
            </w:pPr>
            <w:r>
              <w:rPr>
                <w:rFonts w:ascii="Arial" w:cs="Arial" w:eastAsia="Arial" w:hAnsi="Arial"/>
                <w:sz w:val="14"/>
                <w:szCs w:val="14"/>
                <w:color w:val="auto"/>
                <w:w w:val="95"/>
              </w:rPr>
              <w:t>April 2008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secured term loans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721,747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408,139</w:t>
            </w: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Debt premium</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5,543</w:t>
            </w: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secured term loans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727,155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413,682</w:t>
            </w: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Unsecured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LIBOR + 0.34%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LIBOR + 0.34%</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LIBOR + 0.35%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LIBOR + 0.35%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LIBOR + 0.39%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LIBOR + 0.39%</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LIBOR + 0.50%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LIBOR + 0.50%</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4"/>
              </w:rPr>
              <w:t>October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LIBOR + 0.55%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LIBOR + 0.55%</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4.875%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4.875%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5.125%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5.125%</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5.15%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5.375%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5.375%</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5.5%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5.65%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5.65%</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5.7%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367,022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367,022</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5.8%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5.85%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5.875%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5.875%</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5.95%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889,669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889,669</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4"/>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6%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December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6.05%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6.5% Senior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200"/>
              <w:spacing w:after="0" w:line="149" w:lineRule="exact"/>
              <w:rPr>
                <w:sz w:val="20"/>
                <w:szCs w:val="20"/>
                <w:color w:val="auto"/>
              </w:rPr>
            </w:pPr>
            <w:r>
              <w:rPr>
                <w:rFonts w:ascii="Arial" w:cs="Arial" w:eastAsia="Arial" w:hAnsi="Arial"/>
                <w:sz w:val="14"/>
                <w:szCs w:val="14"/>
                <w:color w:val="auto"/>
              </w:rPr>
              <w:t>7% Senior Notes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185,000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8.75%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50,331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50,331</w:t>
            </w:r>
          </w:p>
        </w:tc>
        <w:tc>
          <w:tcPr>
            <w:tcW w:w="12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8.75%</w:t>
            </w:r>
          </w:p>
        </w:tc>
        <w:tc>
          <w:tcPr>
            <w:tcW w:w="2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August 2008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180" w:type="dxa"/>
            <w:vAlign w:val="bottom"/>
          </w:tcPr>
          <w:p>
            <w:pPr>
              <w:ind w:left="420"/>
              <w:spacing w:after="0"/>
              <w:rPr>
                <w:sz w:val="20"/>
                <w:szCs w:val="20"/>
                <w:color w:val="auto"/>
              </w:rPr>
            </w:pPr>
            <w:r>
              <w:rPr>
                <w:rFonts w:ascii="Arial" w:cs="Arial" w:eastAsia="Arial" w:hAnsi="Arial"/>
                <w:sz w:val="14"/>
                <w:szCs w:val="14"/>
                <w:color w:val="auto"/>
              </w:rPr>
              <w:t>Total unsecured notes</w:t>
            </w: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7,432,022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8,002,022</w:t>
            </w: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discount</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(95,955)</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(102,168)</w:t>
            </w: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w w:val="90"/>
              </w:rPr>
              <w:t>Fair value adjustment to hedged items (see Note 10)</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48,729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16,999</w:t>
            </w: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unsecured notes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7,384,796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7,916,853</w:t>
            </w: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Other debt obligations</w:t>
            </w: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1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LIBOR + 1.5%</w:t>
            </w:r>
          </w:p>
        </w:tc>
        <w:tc>
          <w:tcPr>
            <w:tcW w:w="2120" w:type="dxa"/>
            <w:vAlign w:val="bottom"/>
          </w:tcPr>
          <w:p>
            <w:pPr>
              <w:jc w:val="center"/>
              <w:spacing w:after="0" w:line="149" w:lineRule="exact"/>
              <w:rPr>
                <w:sz w:val="20"/>
                <w:szCs w:val="20"/>
                <w:color w:val="auto"/>
              </w:rPr>
            </w:pPr>
            <w:r>
              <w:rPr>
                <w:rFonts w:ascii="Arial" w:cs="Arial" w:eastAsia="Arial" w:hAnsi="Arial"/>
                <w:sz w:val="14"/>
                <w:szCs w:val="14"/>
                <w:color w:val="auto"/>
                <w:w w:val="84"/>
              </w:rPr>
              <w:t>October 2035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discount</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(1,954)</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(1,962)</w:t>
            </w: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200" w:type="dxa"/>
            <w:vAlign w:val="bottom"/>
            <w:gridSpan w:val="2"/>
          </w:tcPr>
          <w:p>
            <w:pPr>
              <w:spacing w:after="0"/>
              <w:rPr>
                <w:sz w:val="20"/>
                <w:szCs w:val="20"/>
                <w:color w:val="auto"/>
              </w:rPr>
            </w:pPr>
            <w:r>
              <w:rPr>
                <w:rFonts w:ascii="Arial" w:cs="Arial" w:eastAsia="Arial" w:hAnsi="Arial"/>
                <w:sz w:val="14"/>
                <w:szCs w:val="14"/>
                <w:color w:val="auto"/>
              </w:rPr>
              <w:t>Total other debt obligations</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98,046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98,038</w:t>
            </w:r>
          </w:p>
        </w:tc>
        <w:tc>
          <w:tcPr>
            <w:tcW w:w="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debt obligations</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12,566,913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12,399,558</w:t>
            </w: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-6231890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-6231890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-5888990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-5888990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-5888990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-5888990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-5888990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-5888990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-5888990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-5888990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-5888990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-5888990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-5262880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-5262880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-5262880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-5262880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-5262880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-5262880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-4070350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-4070350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-4070350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-4070350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-3727450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-3727450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-3727450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-3727450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-1403350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-1403350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-1403350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-966470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-966470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-966470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-966470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-528955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-528955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-528955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-528955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-280035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-280035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-280035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-280035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20" w:hanging="532"/>
        <w:spacing w:after="0" w:line="278" w:lineRule="auto"/>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All interest rates and maturity dates are for debt outstanding as of March 31, 2008. Some variable-rate debt obligations are based on 30-day LIBOR and reprice monthly. Foreign variable-rate debt obligations are based on 30-day UK LIBOR for British pound borrowing, 30-day EURIBOR for euro borrowing and 30-day Canadian LIBOR for Canadian dollar borrowing. The 30-day LIBOR rate on March 31, 2008 was 2.70%. The 30-day UK LIBOR, EURIBOR and Canadian LIBOR rates on March 31, 2008 were 5.79%, 4.36% and 3.61%, respectively. Other variable-rate debt obligations are based on 90-day LIBOR and reprice every three months. The 90-day LIBOR rate on March 31, 2008 was 2.69%.</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facility has an unused commitment fee of 0.25% on any undrawn amounts.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Maturity date reflects one-year extension at the Company's option.</w:t>
      </w:r>
    </w:p>
    <w:p>
      <w:pPr>
        <w:spacing w:after="0" w:line="122" w:lineRule="exact"/>
        <w:rPr>
          <w:rFonts w:ascii="Arial" w:cs="Arial" w:eastAsia="Arial" w:hAnsi="Arial"/>
          <w:sz w:val="14"/>
          <w:szCs w:val="14"/>
          <w:color w:val="auto"/>
        </w:rPr>
      </w:pPr>
    </w:p>
    <w:p>
      <w:pPr>
        <w:ind w:left="540" w:right="20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March 31, 2008, the line of credit included foreign borrowings of £80.0 million, €238.0 million, and CAD 35.0 million bearing interest at weighted average rates of 6.19%, 4.82%, and 4.15%, respectively. Amounts in the table have been converted to U.S. dollars based on exchange rates in effect at March 31,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facilities have an annual commitment fee of 0.125%.</w:t>
      </w:r>
    </w:p>
    <w:p>
      <w:pPr>
        <w:spacing w:after="0" w:line="122" w:lineRule="exact"/>
        <w:rPr>
          <w:rFonts w:ascii="Arial" w:cs="Arial" w:eastAsia="Arial" w:hAnsi="Arial"/>
          <w:sz w:val="14"/>
          <w:szCs w:val="14"/>
          <w:color w:val="auto"/>
        </w:rPr>
      </w:pPr>
    </w:p>
    <w:p>
      <w:pPr>
        <w:ind w:left="540" w:right="40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March 31, 2008, the line of credit included foreign borrowings of £52.0 million, €1.5million and CAD 11.0 million bearing interest at weighted average rates of 6.24%, 4.73%, and 4.22%, respectively. Amounts in the table have been converted to U.S. dollars based on exchange rates in effect at March 31, 2008.</w:t>
      </w:r>
    </w:p>
    <w:p>
      <w:pPr>
        <w:spacing w:after="0" w:line="18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Unsecured/Secured Credit Facilities</w:t>
      </w:r>
      <w:r>
        <w:rPr>
          <w:rFonts w:ascii="Arial" w:cs="Arial" w:eastAsia="Arial" w:hAnsi="Arial"/>
          <w:sz w:val="16"/>
          <w:szCs w:val="16"/>
          <w:color w:val="auto"/>
        </w:rPr>
        <w:t>—The Company's primary source of short-term funds is an aggregate of $3.42 billion of available credit under its two</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unsecured revolving credit facilities, which includes the amended $2.22 billion facility, maturing in June 2011, as well as a $1.20 billion facility, maturing in June 2012, entered into during the second quarter of 2007. As of March 31, 2008, there was approximately $582.7 million which was immediately available to draw under these facilities at the Company's discretion. In addition, the Company has a $500.0 million secured revolving credit facility for which availability is based on percentage borrowing base calculations. There was $255.3 million undrawn under this secured credit facility as of March 31, 2008. During the three months ended March 31, 2008, the Company amended and restated its $500.0 million secured credit facility to allow it to extend the maturity from September 2008 to September 2009.</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Capital Markets Activity</w:t>
      </w:r>
      <w:r>
        <w:rPr>
          <w:rFonts w:ascii="Arial" w:cs="Arial" w:eastAsia="Arial" w:hAnsi="Arial"/>
          <w:sz w:val="16"/>
          <w:szCs w:val="16"/>
          <w:i w:val="1"/>
          <w:iCs w:val="1"/>
          <w:color w:val="auto"/>
        </w:rPr>
        <w:t>—</w:t>
      </w:r>
      <w:r>
        <w:rPr>
          <w:rFonts w:ascii="Arial" w:cs="Arial" w:eastAsia="Arial" w:hAnsi="Arial"/>
          <w:sz w:val="16"/>
          <w:szCs w:val="16"/>
          <w:color w:val="auto"/>
        </w:rPr>
        <w:t>In March 2008, the Company repaid $570 million aggregate principal amount of both fixed and floating rate Senior Notes.</w:t>
      </w:r>
    </w:p>
    <w:p>
      <w:pPr>
        <w:spacing w:after="0" w:line="248"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Other Financing Activity</w:t>
      </w:r>
      <w:r>
        <w:rPr>
          <w:rFonts w:ascii="Arial" w:cs="Arial" w:eastAsia="Arial" w:hAnsi="Arial"/>
          <w:sz w:val="16"/>
          <w:szCs w:val="16"/>
          <w:color w:val="auto"/>
        </w:rPr>
        <w:t>—In March 2008, the Company entered into a $300 million senior secured term loan maturing in March 2009. Borrowings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facility bear interest at a rate of LIBOR + 2.50% and are collateralized by investments included in our loans and other lending investments portfolio.</w:t>
      </w:r>
    </w:p>
    <w:p>
      <w:pPr>
        <w:spacing w:after="0" w:line="134"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Also during the three months ended March 31, 2008, the Company closed on a $53.3 million secured term note maturing in March 2011. This note is secured by four assets in our Corporate Tenant Lease portfolio and bears interest at LIBOR + 1.65%.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2008, future scheduled maturities of outstanding long-term debt obligations are as follows (in thousands)(1):</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nine months)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2009</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1,457,476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2011</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3,072,196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2,646,909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10,966,652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Unamortized debt discounts/premiums, net</w:t>
            </w:r>
          </w:p>
        </w:tc>
        <w:tc>
          <w:tcPr>
            <w:tcW w:w="5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to hedged items (see Note 10)</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24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40" w:type="dxa"/>
            <w:vAlign w:val="bottom"/>
            <w:gridSpan w:val="2"/>
          </w:tcPr>
          <w:p>
            <w:pPr>
              <w:spacing w:after="0"/>
              <w:rPr>
                <w:sz w:val="20"/>
                <w:szCs w:val="20"/>
                <w:color w:val="auto"/>
              </w:rPr>
            </w:pPr>
            <w:r>
              <w:rPr>
                <w:rFonts w:ascii="Arial" w:cs="Arial" w:eastAsia="Arial" w:hAnsi="Arial"/>
                <w:sz w:val="18"/>
                <w:szCs w:val="18"/>
                <w:color w:val="auto"/>
              </w:rPr>
              <w:t>Total long-term debt obligations</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10,922,880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-889000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-889000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65646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20" w:hanging="532"/>
        <w:spacing w:after="0"/>
        <w:tabs>
          <w:tab w:leader="none" w:pos="1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the Company's option.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w:t>
      </w:r>
    </w:p>
    <w:p>
      <w:pPr>
        <w:spacing w:after="0" w:line="225" w:lineRule="exact"/>
        <w:rPr>
          <w:sz w:val="20"/>
          <w:szCs w:val="20"/>
          <w:color w:val="auto"/>
        </w:rPr>
      </w:pPr>
    </w:p>
    <w:p>
      <w:pPr>
        <w:ind w:right="80" w:firstLine="351"/>
        <w:spacing w:after="0" w:line="339" w:lineRule="auto"/>
        <w:rPr>
          <w:sz w:val="20"/>
          <w:szCs w:val="20"/>
          <w:color w:val="auto"/>
        </w:rPr>
      </w:pPr>
      <w:r>
        <w:rPr>
          <w:rFonts w:ascii="Arial" w:cs="Arial" w:eastAsia="Arial" w:hAnsi="Arial"/>
          <w:sz w:val="15"/>
          <w:szCs w:val="15"/>
          <w:b w:val="1"/>
          <w:bCs w:val="1"/>
          <w:color w:val="auto"/>
        </w:rPr>
        <w:t>DRIP/Stock Purchase Plan</w:t>
      </w:r>
      <w:r>
        <w:rPr>
          <w:rFonts w:ascii="Arial" w:cs="Arial" w:eastAsia="Arial" w:hAnsi="Arial"/>
          <w:sz w:val="15"/>
          <w:szCs w:val="15"/>
          <w:color w:val="auto"/>
        </w:rPr>
        <w:t>—During the three months ended March 31, 2008 and 2007, the Company issued a total of approximately 25,100 shares and</w:t>
      </w:r>
      <w:r>
        <w:rPr>
          <w:rFonts w:ascii="Arial" w:cs="Arial" w:eastAsia="Arial" w:hAnsi="Arial"/>
          <w:sz w:val="15"/>
          <w:szCs w:val="15"/>
          <w:b w:val="1"/>
          <w:bCs w:val="1"/>
          <w:color w:val="auto"/>
        </w:rPr>
        <w:t xml:space="preserve"> </w:t>
      </w:r>
      <w:r>
        <w:rPr>
          <w:rFonts w:ascii="Arial" w:cs="Arial" w:eastAsia="Arial" w:hAnsi="Arial"/>
          <w:sz w:val="15"/>
          <w:szCs w:val="15"/>
          <w:color w:val="auto"/>
        </w:rPr>
        <w:t>7,400 shares of its Common Stock, respectively, through both plans. Net proceeds during the three months ended March 31, 2008 and 2007, were approximately $0.5 million and $0.4 million, respectively. There are approximately 2.1 million shares available for issuance under the plan as of March 31, 2008.</w:t>
      </w:r>
    </w:p>
    <w:p>
      <w:pPr>
        <w:spacing w:after="0" w:line="133" w:lineRule="exact"/>
        <w:rPr>
          <w:sz w:val="20"/>
          <w:szCs w:val="20"/>
          <w:color w:val="auto"/>
        </w:rPr>
      </w:pPr>
    </w:p>
    <w:p>
      <w:pPr>
        <w:jc w:val="both"/>
        <w:ind w:firstLine="351"/>
        <w:spacing w:after="0" w:line="310"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—During the three months ended March 31, 2008, the Company repurchased 100,000 shares of its outstanding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for a cost of approximately $1.5 million at an average cost per share of $15.39. There were no shares repurchased during the three months ended March 31, 2007. As of March 31, 2008, there were approximately 1.6 million shares available to purchase under the Company's 5.0 million share repurchase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w:t>
      </w:r>
    </w:p>
    <w:p>
      <w:pPr>
        <w:spacing w:after="0" w:line="22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Risk management</w:t>
      </w:r>
      <w:r>
        <w:rPr>
          <w:rFonts w:ascii="Arial" w:cs="Arial" w:eastAsia="Arial" w:hAnsi="Arial"/>
          <w:sz w:val="16"/>
          <w:szCs w:val="16"/>
          <w:color w:val="auto"/>
        </w:rPr>
        <w:t>—In the normal course of its on-going business operations, the Company encounters economic risk. There are three main components of</w:t>
      </w:r>
      <w:r>
        <w:rPr>
          <w:rFonts w:ascii="Arial" w:cs="Arial" w:eastAsia="Arial" w:hAnsi="Arial"/>
          <w:sz w:val="16"/>
          <w:szCs w:val="16"/>
          <w:b w:val="1"/>
          <w:bCs w:val="1"/>
          <w:color w:val="auto"/>
        </w:rPr>
        <w:t xml:space="preserve"> </w:t>
      </w:r>
      <w:r>
        <w:rPr>
          <w:rFonts w:ascii="Arial" w:cs="Arial" w:eastAsia="Arial" w:hAnsi="Arial"/>
          <w:sz w:val="16"/>
          <w:szCs w:val="16"/>
          <w:color w:val="auto"/>
        </w:rPr>
        <w:t>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and CTL investments that results from a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held by the Company and changes in foreign currency exchange rates.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 (Continued)</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Use of derivative financial instruments</w:t>
      </w:r>
      <w:r>
        <w:rPr>
          <w:rFonts w:ascii="Arial" w:cs="Arial" w:eastAsia="Arial" w:hAnsi="Arial"/>
          <w:sz w:val="16"/>
          <w:szCs w:val="16"/>
          <w:color w:val="auto"/>
        </w:rPr>
        <w:t>—As of March 31, 2008, the Company had forward-starting interest rate swaps to hedge variability in cash flows</w:t>
      </w:r>
      <w:r>
        <w:rPr>
          <w:rFonts w:ascii="Arial" w:cs="Arial" w:eastAsia="Arial" w:hAnsi="Arial"/>
          <w:sz w:val="16"/>
          <w:szCs w:val="16"/>
          <w:b w:val="1"/>
          <w:bCs w:val="1"/>
          <w:color w:val="auto"/>
        </w:rPr>
        <w:t xml:space="preserve"> </w:t>
      </w:r>
      <w:r>
        <w:rPr>
          <w:rFonts w:ascii="Arial" w:cs="Arial" w:eastAsia="Arial" w:hAnsi="Arial"/>
          <w:sz w:val="16"/>
          <w:szCs w:val="16"/>
          <w:color w:val="auto"/>
        </w:rPr>
        <w:t>on $250.0 million of debt forecasted and probable to be issued in 2008. The Company also had interest rate swaps that hedge the change in fair value associated with $1.25 billion of existing fixed-rate debt and foreign currency derivatives to hedge the exposure to foreign exchange rate movements related to a loan originated in Swedish Krona and an equity investment in Indian Rupee. The foreign exchange derivatives were not designated as hedges under Statement of Financial Accounting Standards No. 133 ("SFAS No. 133"), "Accounting for Derivative Instruments and Hedging Activities," therefore, changes in fair value are recorded in "Other income" on the Company's Consolidated Statements of Operations. As of March 31, 2008, no derivatives were designated as hedges of net investments in foreign operations.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4"/>
              <w:spacing w:after="0"/>
              <w:rPr>
                <w:sz w:val="20"/>
                <w:szCs w:val="20"/>
                <w:color w:val="auto"/>
              </w:rPr>
            </w:pPr>
            <w:r>
              <w:rPr>
                <w:rFonts w:ascii="Arial" w:cs="Arial" w:eastAsia="Arial" w:hAnsi="Arial"/>
                <w:sz w:val="14"/>
                <w:szCs w:val="14"/>
                <w:b w:val="1"/>
                <w:bCs w:val="1"/>
                <w:color w:val="auto"/>
                <w:w w:val="85"/>
              </w:rPr>
              <w:t>Notional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Notional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Fair Value</w:t>
            </w:r>
          </w:p>
        </w:tc>
        <w:tc>
          <w:tcPr>
            <w:tcW w:w="2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4"/>
              </w:rPr>
              <w:t>Amount as of</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Amount as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9"/>
              </w:rPr>
              <w:t>as of</w:t>
            </w:r>
          </w:p>
        </w:tc>
        <w:tc>
          <w:tcPr>
            <w:tcW w:w="26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Forward-starting interest rate swaps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(17,822)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47,476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swaps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-1026160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-1026160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-1026160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-1026160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-1026160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-1026160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-1026160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-323215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-323215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-323215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-323215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foreign currency derivatives outstanding as of March 31, 2008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Notional (USD</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Derivative Type</w:t>
            </w:r>
          </w:p>
        </w:tc>
        <w:tc>
          <w:tcPr>
            <w:tcW w:w="220" w:type="dxa"/>
            <w:vAlign w:val="bottom"/>
          </w:tcPr>
          <w:p>
            <w:pPr>
              <w:spacing w:after="0"/>
              <w:rPr>
                <w:sz w:val="15"/>
                <w:szCs w:val="15"/>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Notional Amount</w:t>
            </w:r>
          </w:p>
        </w:tc>
        <w:tc>
          <w:tcPr>
            <w:tcW w:w="1840" w:type="dxa"/>
            <w:vAlign w:val="bottom"/>
          </w:tcPr>
          <w:p>
            <w:pPr>
              <w:ind w:left="380"/>
              <w:spacing w:after="0"/>
              <w:rPr>
                <w:sz w:val="20"/>
                <w:szCs w:val="20"/>
                <w:color w:val="auto"/>
              </w:rPr>
            </w:pPr>
            <w:r>
              <w:rPr>
                <w:rFonts w:ascii="Arial" w:cs="Arial" w:eastAsia="Arial" w:hAnsi="Arial"/>
                <w:sz w:val="14"/>
                <w:szCs w:val="14"/>
                <w:b w:val="1"/>
                <w:bCs w:val="1"/>
                <w:color w:val="auto"/>
              </w:rPr>
              <w:t>Notional Currency</w:t>
            </w:r>
          </w:p>
        </w:tc>
        <w:tc>
          <w:tcPr>
            <w:tcW w:w="220" w:type="dxa"/>
            <w:vAlign w:val="bottom"/>
          </w:tcPr>
          <w:p>
            <w:pPr>
              <w:spacing w:after="0"/>
              <w:rPr>
                <w:sz w:val="15"/>
                <w:szCs w:val="15"/>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Equivalent)</w:t>
            </w:r>
          </w:p>
        </w:tc>
        <w:tc>
          <w:tcPr>
            <w:tcW w:w="2000" w:type="dxa"/>
            <w:vAlign w:val="bottom"/>
          </w:tcPr>
          <w:p>
            <w:pPr>
              <w:ind w:left="74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Buy USD/Sell INR forward</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INR 399,000</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Indian Rupee</w:t>
            </w:r>
          </w:p>
        </w:tc>
        <w:tc>
          <w:tcPr>
            <w:tcW w:w="1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November 2009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Buy SEK/Sell USD forward</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SEK 126,476</w:t>
            </w:r>
          </w:p>
        </w:tc>
        <w:tc>
          <w:tcPr>
            <w:tcW w:w="1840" w:type="dxa"/>
            <w:vAlign w:val="bottom"/>
          </w:tcPr>
          <w:p>
            <w:pPr>
              <w:spacing w:after="0"/>
              <w:rPr>
                <w:sz w:val="20"/>
                <w:szCs w:val="20"/>
                <w:color w:val="auto"/>
              </w:rPr>
            </w:pPr>
            <w:r>
              <w:rPr>
                <w:rFonts w:ascii="Arial" w:cs="Arial" w:eastAsia="Arial" w:hAnsi="Arial"/>
                <w:sz w:val="18"/>
                <w:szCs w:val="18"/>
                <w:color w:val="auto"/>
              </w:rPr>
              <w:t>Swedish Krona</w:t>
            </w:r>
          </w:p>
        </w:tc>
        <w:tc>
          <w:tcPr>
            <w:tcW w:w="1940" w:type="dxa"/>
            <w:vAlign w:val="bottom"/>
            <w:gridSpan w:val="3"/>
          </w:tcPr>
          <w:p>
            <w:pPr>
              <w:jc w:val="right"/>
              <w:ind w:right="220"/>
              <w:spacing w:after="0"/>
              <w:rPr>
                <w:sz w:val="20"/>
                <w:szCs w:val="20"/>
                <w:color w:val="auto"/>
              </w:rPr>
            </w:pPr>
            <w:r>
              <w:rPr>
                <w:rFonts w:ascii="Arial" w:cs="Arial" w:eastAsia="Arial" w:hAnsi="Arial"/>
                <w:sz w:val="18"/>
                <w:szCs w:val="18"/>
                <w:color w:val="auto"/>
              </w:rPr>
              <w:t>19,563</w:t>
            </w:r>
          </w:p>
        </w:tc>
        <w:tc>
          <w:tcPr>
            <w:tcW w:w="2000" w:type="dxa"/>
            <w:vAlign w:val="bottom"/>
          </w:tcPr>
          <w:p>
            <w:pPr>
              <w:spacing w:after="0"/>
              <w:rPr>
                <w:sz w:val="20"/>
                <w:szCs w:val="20"/>
                <w:color w:val="auto"/>
              </w:rPr>
            </w:pPr>
            <w:r>
              <w:rPr>
                <w:rFonts w:ascii="Arial" w:cs="Arial" w:eastAsia="Arial" w:hAnsi="Arial"/>
                <w:sz w:val="18"/>
                <w:szCs w:val="18"/>
                <w:color w:val="auto"/>
              </w:rPr>
              <w:t>April 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-359410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-359410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-359410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-359410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-359410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-359410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-359410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-359410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At March 31, 2008, derivatives with a fair value of $47.6 million were included in other assets and derivatives with a fair value of $19.1 million were included in other liabilities.</w:t>
      </w:r>
    </w:p>
    <w:p>
      <w:pPr>
        <w:spacing w:after="0" w:line="18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b w:val="1"/>
          <w:bCs w:val="1"/>
          <w:color w:val="auto"/>
        </w:rPr>
        <w:t>Credit risk concentrations</w:t>
      </w:r>
      <w:r>
        <w:rPr>
          <w:rFonts w:ascii="Arial" w:cs="Arial" w:eastAsia="Arial" w:hAnsi="Arial"/>
          <w:sz w:val="18"/>
          <w:szCs w:val="18"/>
          <w:color w:val="auto"/>
        </w:rPr>
        <w:t>—Concentrations of credit risks arise when a number of borrowers or customers related to the Company's investments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regularly monitors various segments of its portfolio to assess potential concentrations of credit risks. Management believes the current portfolio is reasonably well diversified and does not contain any unusual concentration of credit risks.</w:t>
      </w:r>
    </w:p>
    <w:p>
      <w:pPr>
        <w:spacing w:after="0" w:line="199"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Substantially all of the Company's CTL assets (including those held by joint ventures) and loans and other lending investments are collateralized by facilities located in the United States, with California (14.5%), Florida (11.8%) and New York (10.4%) representing the only significant concentration (greater than 10.0%) as of March 31, 2008. The Company's investments also contain significant concentrations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asset types as of March 31, 2008: apartment/residential (21.7%), land (14.0%), office-CTL (11.0%) and retail (10.0%).</w:t>
      </w:r>
    </w:p>
    <w:p>
      <w:pPr>
        <w:spacing w:after="0" w:line="225"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corporate customer lease assets are geographically 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Company's 2006 Long-Term Incentive Plan (the "LTIP Plan") is designed to provide equity-based incentive compensation for officers, key employees, directors, consultants and advisers of the Company. This Plan was effective May 31, 2006 and replaces the original 1996 Long-Term Incentive Plan. The Plan provides for awards of stock options, shares of restricted stock, phantom shares, dividend equivalent rights and other performance awards. There is a maximum of 4,550,000 shares of Common Stock available for awards under the Plan provided that the number of shares of Common Stock reserved for grants of options designated as incentive stock options is 1.0 million, subject to certain antidilution provisions in the Plan. All awards under the Plan are at the discretion of the Board of Directors or a committee of the Board of Directors. At March 31, 2008, options to purchase approximately 534,446 shares of Common Stock were outstanding and approximately 2.0 million shares of restricted stock were outstanding. Many of these options and shares of restricted stock were issued under the original 1996 Long-Term Incentive Plan. A total of approximately 2.6 million shares remain available for awards under the LTIP Plan as of March 31, 2008.</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made under the Incentive Plan will be limited to the number of shares of the Company's common stock available for award under the 2006 LTIP Plan.</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Changes in options outstanding during the three months ended March 31, 2008, are as follows (shares and aggregate intrinsic value in thousands, except for weighted average strike price):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vMerge w:val="restart"/>
          </w:tcPr>
          <w:p>
            <w:pPr>
              <w:jc w:val="center"/>
              <w:ind w:left="364"/>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restart"/>
          </w:tcPr>
          <w:p>
            <w:pPr>
              <w:jc w:val="center"/>
              <w:ind w:right="127"/>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Non-Employee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Employees</w:t>
            </w:r>
          </w:p>
        </w:tc>
        <w:tc>
          <w:tcPr>
            <w:tcW w:w="100" w:type="dxa"/>
            <w:vAlign w:val="bottom"/>
          </w:tcPr>
          <w:p>
            <w:pPr>
              <w:spacing w:after="0"/>
              <w:rPr>
                <w:sz w:val="15"/>
                <w:szCs w:val="15"/>
                <w:color w:val="auto"/>
              </w:rPr>
            </w:pPr>
          </w:p>
        </w:tc>
        <w:tc>
          <w:tcPr>
            <w:tcW w:w="1240" w:type="dxa"/>
            <w:vAlign w:val="bottom"/>
          </w:tcPr>
          <w:p>
            <w:pPr>
              <w:jc w:val="center"/>
              <w:ind w:left="192"/>
              <w:spacing w:after="0"/>
              <w:rPr>
                <w:sz w:val="20"/>
                <w:szCs w:val="20"/>
                <w:color w:val="auto"/>
              </w:rPr>
            </w:pPr>
            <w:r>
              <w:rPr>
                <w:rFonts w:ascii="Arial" w:cs="Arial" w:eastAsia="Arial" w:hAnsi="Arial"/>
                <w:sz w:val="14"/>
                <w:szCs w:val="14"/>
                <w:b w:val="1"/>
                <w:bCs w:val="1"/>
                <w:color w:val="auto"/>
                <w:w w:val="87"/>
              </w:rPr>
              <w:t>Directors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Strike Price</w:t>
            </w:r>
          </w:p>
        </w:tc>
        <w:tc>
          <w:tcPr>
            <w:tcW w:w="200" w:type="dxa"/>
            <w:vAlign w:val="bottom"/>
          </w:tcPr>
          <w:p>
            <w:pPr>
              <w:spacing w:after="0"/>
              <w:rPr>
                <w:sz w:val="15"/>
                <w:szCs w:val="15"/>
                <w:color w:val="auto"/>
              </w:rPr>
            </w:pPr>
          </w:p>
        </w:tc>
        <w:tc>
          <w:tcPr>
            <w:tcW w:w="1040" w:type="dxa"/>
            <w:vAlign w:val="bottom"/>
          </w:tcPr>
          <w:p>
            <w:pPr>
              <w:jc w:val="center"/>
              <w:ind w:right="127"/>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17.43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20"/>
              <w:spacing w:after="0"/>
              <w:rPr>
                <w:sz w:val="20"/>
                <w:szCs w:val="20"/>
                <w:color w:val="auto"/>
              </w:rPr>
            </w:pPr>
            <w:r>
              <w:rPr>
                <w:rFonts w:ascii="Arial" w:cs="Arial" w:eastAsia="Arial" w:hAnsi="Arial"/>
                <w:sz w:val="18"/>
                <w:szCs w:val="18"/>
                <w:color w:val="auto"/>
              </w:rPr>
              <w:t>Exercised in 2008</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(67)</w:t>
            </w:r>
          </w:p>
        </w:tc>
        <w:tc>
          <w:tcPr>
            <w:tcW w:w="10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14.72</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Cancelled in 2008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15.12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Outstanding, March 31, 2008</w:t>
            </w: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00" w:type="dxa"/>
            <w:vAlign w:val="bottom"/>
            <w:gridSpan w:val="2"/>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1060" w:type="dxa"/>
            <w:vAlign w:val="bottom"/>
          </w:tcPr>
          <w:p>
            <w:pPr>
              <w:jc w:val="right"/>
              <w:ind w:right="88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19.49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-1823720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-1823720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-1386205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-1386205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-1386205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-1386205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-1386205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-1386205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-1386205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-1386205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-1386205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-820420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-820420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-820420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-820420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-820420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-820420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-820420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options as of March 31, 2008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74"/>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28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and Exercisable</w:t>
            </w:r>
          </w:p>
        </w:tc>
        <w:tc>
          <w:tcPr>
            <w:tcW w:w="2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$16.88</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$17.38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$19.69</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$24.94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$26.97</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$27.00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$28.54</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$29.82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$55.39</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5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-1712595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-1712595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-1712595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-1712595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-1712595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-1712595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has not issued any options since 2003. Cash received from option exercises during the three months ended March 31, 2008 was approximately $7.2 million. The intrinsic value of options exercised during the three months ended March 31, 2008 was $2.0 million. Future charges may be taken to the extent of additional option grants, which are at the discretion of the Board of Directors.</w:t>
      </w:r>
    </w:p>
    <w:p>
      <w:pPr>
        <w:spacing w:after="0" w:line="194"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Changes in non-vested restricted stock units during the three months ended March 31, 2008, are as follows (shares and aggregate intrinsic value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center"/>
              <w:ind w:left="392"/>
              <w:spacing w:after="0"/>
              <w:rPr>
                <w:sz w:val="20"/>
                <w:szCs w:val="20"/>
                <w:color w:val="auto"/>
              </w:rPr>
            </w:pPr>
            <w:r>
              <w:rPr>
                <w:rFonts w:ascii="Arial" w:cs="Arial" w:eastAsia="Arial" w:hAnsi="Arial"/>
                <w:sz w:val="14"/>
                <w:szCs w:val="14"/>
                <w:b w:val="1"/>
                <w:bCs w:val="1"/>
                <w:color w:val="auto"/>
                <w:w w:val="85"/>
              </w:rPr>
              <w:t>Weighted Average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9"/>
              </w:rPr>
              <w:t>Grant Date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62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9"/>
              </w:rPr>
              <w:t>Fair Value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4"/>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Non-Vested Shares</w:t>
            </w:r>
          </w:p>
        </w:tc>
        <w:tc>
          <w:tcPr>
            <w:tcW w:w="22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5"/>
                <w:szCs w:val="15"/>
                <w:color w:val="auto"/>
              </w:rPr>
            </w:pPr>
          </w:p>
        </w:tc>
        <w:tc>
          <w:tcPr>
            <w:tcW w:w="1620" w:type="dxa"/>
            <w:vAlign w:val="bottom"/>
          </w:tcPr>
          <w:p>
            <w:pPr>
              <w:jc w:val="center"/>
              <w:ind w:left="392"/>
              <w:spacing w:after="0"/>
              <w:rPr>
                <w:sz w:val="20"/>
                <w:szCs w:val="20"/>
                <w:color w:val="auto"/>
              </w:rPr>
            </w:pPr>
            <w:r>
              <w:rPr>
                <w:rFonts w:ascii="Arial" w:cs="Arial" w:eastAsia="Arial" w:hAnsi="Arial"/>
                <w:sz w:val="14"/>
                <w:szCs w:val="14"/>
                <w:b w:val="1"/>
                <w:bCs w:val="1"/>
                <w:color w:val="auto"/>
                <w:w w:val="85"/>
              </w:rPr>
              <w:t>Per Share</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March 31, 2008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-1026160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-1026160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-1026160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-1026160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-1026160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-1026160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-323215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During the three months ended March 31, 2008, the Company granted 894,588 restricted stock units to employees that vest proportionately over periods of three to five years on the anniversary date of the initial grant of which 871,480 units remain outstanding as of March 31, 2008. As of March 31, 2008, there are 509,385 units, 120,740 units, and 11,133 units outstanding from restricted stock unit grants made in 2007, 2006, and 2005, respectively. The unvested restricted stock units granted after January 1, 2006 that are subject to service conditions, are paid dividends as dividends are paid on shares of the Company's Common Stock and these dividends are accounted for in a manner consistent with the Company's Common Stock dividends, as a reduction to retained earnings.</w:t>
      </w:r>
    </w:p>
    <w:p>
      <w:pPr>
        <w:spacing w:after="0" w:line="15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During the first quarter of 2008, the Company also granted 478,856 market condition-based restricted stock units to employees that cliff vest on December 31, 2010, only if the total shareholder return on the Company's common stock is at least 20% (compounded annually, including dividends) from the date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award through the end of the vesting period. No dividends will be paid on these units unless and until they are vested. All of these units remain outstanding as of March 31, 2008.</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For accounting purposes, the Company measures compensation costs for restricted stock units, not including any contingently issuable shares, as of the date of the grant and expenses such amounts against earnings, either at the grant date (if no vesting period exists) or ratably over the respective vesting/service period. The fair value of the market condition-based restricted stock is based on the grant-date market value of the awards utilizing a Monte Carlo simulation model to simulate a range of possible future stock prices for the Company's common stock. The following are the assumptions used to estimate the grant date fair value of these awards: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r>
    </w:tbl>
    <w:p>
      <w:pPr>
        <w:spacing w:after="0" w:line="20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recorded $4.8 million and $4.4 million of stock based compensation expense in "General and administrative" costs on the Company's Consolidated Statements of Operations for the three months ended March 31, 2008 and 2007, respectively. As of March 31, 2008 there was $45.0 million of total unrecognized compensation cost related to non-vested restricted stock units. That cost is expected to be recognized over the remaining vesting/service period for the respective grants.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High Performance Unit (HPU) program and Senior Executive HPU program are performance-based employee compensation plans that have significant value to the participants only if the Company provides superior returns to its shareholders. The programs are more fully described in the Company's annual proxy statement and in the Company's Annual Report on Form 10-K for the year ended December 31, 2007. If at the end of the three-year valuation period ending on December 31, 2008, the total rate of shareholder return on the Company's common stock exceeds certain performance thresholds, the HPU participants and Senior Executive HPU participants of the 2008 plans will receive cash distributions in the nature of dividends payable on a calculated equivalent amount of our common stock, as defined by the plan documents, after the respective valuation dates. However, if the total rate of shareholder return for the relevant valuation period does not exceed these performance thresholds, then the HPU shares only have a nominal value.</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2008 plan under the HPU Program has 5,000 shares of High Performance Common Stock and had an aggregate initial purchase price of $0.8 million. As of March 31, 2008, the Company had received net contributions of $0.8 million under the 2008 plan.</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2008 plan under the Senior Executive HPU Program has 5,000 shares of High Performance Common Stock and had an aggregate initial purchase price of $0.5 million. As of March 31, 2008, the Company had received net contributions of $0.5 million under the 2008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Company made gross contributions of approximately $0.9 million and $0.6 million for the three months ended March 31, 2008 and 2007, respectively.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EPS is calculated using the two-class method, pursuant to EITF 03-6. The two-class method is required as the Company's HPU shares each have the right to receive dividends should dividends be declared on the Company's Common Stock. HPU holders are Company employees or former employees who purchased high performance common stock units under the Company's High Performance Unit Program.</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a reconciliation of the numerators and denominators of the basic and diluted EPS calculations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2008 and 2007 for common shares (in thousands, except per share data):</w:t>
      </w:r>
    </w:p>
    <w:p>
      <w:pPr>
        <w:spacing w:after="0" w:line="21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w:t>
      </w:r>
    </w:p>
    <w:p>
      <w:pPr>
        <w:jc w:val="center"/>
        <w:ind w:left="820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58420</wp:posOffset>
            </wp:positionV>
            <wp:extent cx="18910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89103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(10,580)</w:t>
            </w:r>
          </w:p>
        </w:tc>
        <w:tc>
          <w:tcPr>
            <w:tcW w:w="3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income allocable to common shareholders and HPU holders before income from discontinued operations and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allocable to common shares:</w:t>
            </w: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gridSpan w:val="2"/>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earnings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w w:val="90"/>
              </w:rPr>
              <w:t>Income allocable to common shareholders before income from discontinued operations and gain from discontinued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operations, net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71,909</w:t>
            </w:r>
          </w:p>
        </w:tc>
        <w:tc>
          <w:tcPr>
            <w:tcW w:w="22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common shareholders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Numerator for diluted earnings per share:</w:t>
            </w: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gridSpan w:val="2"/>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w w:val="90"/>
              </w:rPr>
              <w:t>Income allocable to common shareholders before income from discontinued operations and gain from discontinued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operations, net(1)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320" w:type="dxa"/>
            <w:vAlign w:val="bottom"/>
            <w:gridSpan w:val="2"/>
          </w:tcPr>
          <w:p>
            <w:pPr>
              <w:spacing w:after="0"/>
              <w:rPr>
                <w:sz w:val="20"/>
                <w:szCs w:val="20"/>
                <w:color w:val="auto"/>
              </w:rPr>
            </w:pPr>
            <w:r>
              <w:rPr>
                <w:rFonts w:ascii="Arial" w:cs="Arial" w:eastAsia="Arial" w:hAnsi="Arial"/>
                <w:sz w:val="18"/>
                <w:szCs w:val="18"/>
                <w:color w:val="auto"/>
              </w:rPr>
              <w:t>Net income allocable to common shareholders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74,247</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81,729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Weighted average common shares outstanding for basic earnings per common share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134,262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w w:val="97"/>
              </w:rPr>
              <w:t>Add: effect of assumed shares issued under treasury stock method for stock options and restricted shares.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Add: effect of contingent shares</w:t>
            </w: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Add: effect of joint venture shares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3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for diluted earnings per common share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134,862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127,867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w w:val="90"/>
              </w:rPr>
              <w:t>Income allocable to common shareholders before income from discontinued operations and gain from discontinued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operations, net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common shareholders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gridSpan w:val="2"/>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3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w w:val="90"/>
              </w:rPr>
              <w:t>Income allocable to common shareholders before income from discontinued operations and gain from discontinued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operations, net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32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320" w:type="dxa"/>
            <w:vAlign w:val="bottom"/>
            <w:gridSpan w:val="2"/>
          </w:tcPr>
          <w:p>
            <w:pPr>
              <w:spacing w:after="0"/>
              <w:rPr>
                <w:sz w:val="20"/>
                <w:szCs w:val="20"/>
                <w:color w:val="auto"/>
              </w:rPr>
            </w:pPr>
            <w:r>
              <w:rPr>
                <w:rFonts w:ascii="Arial" w:cs="Arial" w:eastAsia="Arial" w:hAnsi="Arial"/>
                <w:sz w:val="18"/>
                <w:szCs w:val="18"/>
                <w:color w:val="auto"/>
              </w:rPr>
              <w:t>Net income allocable to common shareholders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-6772275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-6772275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-6772275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-6772275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-6343015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-6343015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-6343015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-6343015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-4919345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-4919345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-4919345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-4919345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-3770630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-3770630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-3770630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-3770630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-2621280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-2621280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-2621280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-2621280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-1471930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-1471930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-1471930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-1471930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months ended March 31, 2008 and 2007 includes the allocable portions of $1 and $28 of joint venture income, respectively.</w:t>
      </w:r>
    </w:p>
    <w:p>
      <w:pPr>
        <w:sectPr>
          <w:pgSz w:w="11900" w:h="16838" w:orient="portrait"/>
          <w:cols w:equalWidth="0" w:num="1">
            <w:col w:w="11420"/>
          </w:cols>
          <w:pgMar w:left="240" w:top="125" w:right="239" w:bottom="252"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52"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31" w:lineRule="exact"/>
        <w:rPr>
          <w:sz w:val="20"/>
          <w:szCs w:val="20"/>
          <w:color w:val="auto"/>
        </w:rPr>
      </w:pPr>
    </w:p>
    <w:p>
      <w:pPr>
        <w:ind w:right="140" w:firstLine="341"/>
        <w:spacing w:after="0" w:line="253" w:lineRule="auto"/>
        <w:rPr>
          <w:sz w:val="20"/>
          <w:szCs w:val="20"/>
          <w:color w:val="auto"/>
        </w:rPr>
      </w:pPr>
      <w:r>
        <w:rPr>
          <w:rFonts w:ascii="Arial" w:cs="Arial" w:eastAsia="Arial" w:hAnsi="Arial"/>
          <w:sz w:val="18"/>
          <w:szCs w:val="18"/>
          <w:color w:val="auto"/>
        </w:rPr>
        <w:t>As more fully described in Note 11, HPU shares are sold to employees as part of a performance-based employee compensation plan. As of March 31, 2008, the 2002-2007 HPU plans have vested, however, the 2005, 2006 and 2007 plans did not meet the required performance thresholds to fund. Therefore, the Company redeemed the HPU shares from its employees. The 2002-2004 plans each have 5,000 shares outstanding. The shares in each plan receive dividends based on a common stock equivalent that is separately determined for each plan depending on the Company's performance during a three-year valuation period. These HPU Shares are treated as a separate class of common stock under EITF 03-06. The following table presents a reconciliation of the numerators and denominators of the basic and diluted EPS calculations for the three months ended March 31, 2008 and 2007 for HPU shares (in thousands, except per share data):</w:t>
      </w:r>
    </w:p>
    <w:p>
      <w:pPr>
        <w:spacing w:after="0" w:line="19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For the</w:t>
      </w:r>
    </w:p>
    <w:p>
      <w:pPr>
        <w:jc w:val="center"/>
        <w:ind w:left="866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58420</wp:posOffset>
            </wp:positionV>
            <wp:extent cx="175387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5387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High Performance Units:</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Numerator for basic earnings per HPU share:</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allocable to high performance units before income from discontinued operations and gain from discontinued</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operations, net</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660" w:type="dxa"/>
            <w:vAlign w:val="bottom"/>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660" w:type="dxa"/>
            <w:vAlign w:val="bottom"/>
            <w:gridSpan w:val="2"/>
          </w:tcPr>
          <w:p>
            <w:pPr>
              <w:spacing w:after="0"/>
              <w:rPr>
                <w:sz w:val="20"/>
                <w:szCs w:val="20"/>
                <w:color w:val="auto"/>
              </w:rPr>
            </w:pPr>
            <w:r>
              <w:rPr>
                <w:rFonts w:ascii="Arial" w:cs="Arial" w:eastAsia="Arial" w:hAnsi="Arial"/>
                <w:sz w:val="18"/>
                <w:szCs w:val="18"/>
                <w:color w:val="auto"/>
              </w:rPr>
              <w:t>Net income allocable to high performance units</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4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Numerator for diluted earnings per HPU share:</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3"/>
              </w:rPr>
              <w:t>Income allocable to high performance units before income from discontinued operations and gain from discontinued</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operations, net(1)</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1,514</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high performance units</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60" w:type="dxa"/>
            <w:vAlign w:val="bottom"/>
            <w:gridSpan w:val="2"/>
            <w:vMerge w:val="continue"/>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6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High Performance Units outstanding for basic and diluted earnings per share</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HPU share:</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60" w:type="dxa"/>
            <w:vAlign w:val="bottom"/>
            <w:gridSpan w:val="2"/>
            <w:vMerge w:val="continue"/>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6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allocable to high performance units before income from discontinued operations and gain from discontinued</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101.26</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660" w:type="dxa"/>
            <w:vAlign w:val="bottom"/>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660" w:type="dxa"/>
            <w:vAlign w:val="bottom"/>
            <w:gridSpan w:val="2"/>
          </w:tcPr>
          <w:p>
            <w:pPr>
              <w:spacing w:after="0"/>
              <w:rPr>
                <w:sz w:val="20"/>
                <w:szCs w:val="20"/>
                <w:color w:val="auto"/>
              </w:rPr>
            </w:pPr>
            <w:r>
              <w:rPr>
                <w:rFonts w:ascii="Arial" w:cs="Arial" w:eastAsia="Arial" w:hAnsi="Arial"/>
                <w:sz w:val="18"/>
                <w:szCs w:val="18"/>
                <w:color w:val="auto"/>
              </w:rPr>
              <w:t>Net income allocable to high performance units</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104.60</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4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HPU share:</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w w:val="94"/>
              </w:rPr>
              <w:t>Income allocable to common shareholders before income from discontinued operations and gain from discontinued</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100.93</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7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high performance units</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104.20</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4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-5194300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-5194300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-5194300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-5194300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-4216400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-4216400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-4216400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-4216400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-3067050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-3067050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-3067050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-3067050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-1471930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-1471930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-1471930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-323215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months ended March 31, 2008 and 2007 includes the allocable portion of $1 and $28 of joint venture income, respectively.</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months ended March 31, 2008 and 2007, the following shares were antidilutive (in thousands):</w:t>
      </w:r>
    </w:p>
    <w:p>
      <w:pPr>
        <w:spacing w:after="0" w:line="22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For the</w:t>
      </w:r>
    </w:p>
    <w:p>
      <w:pPr>
        <w:jc w:val="center"/>
        <w:ind w:left="882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58420</wp:posOffset>
            </wp:positionV>
            <wp:extent cx="1659255"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-359410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-359410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-359410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13—Comprehensive Income</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Total comprehensive income was $74.5 million and $90.4 million for the three months ended March 31, 2008 and 2007, respectively. The primary components of comprehensive income, other than net income, consist of amounts attributable to the Company's cash flow hedges and changes in the fair value of the Company's available-for-sale investments. The statement of comprehensive income is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88"/>
              </w:rPr>
              <w:t>For the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51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86,389</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(gains)/losses on available-for-sale securities into earnings upon realization</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Reclassification of (gains)/losses on ineffective cash flow hedges into earnings</w:t>
            </w:r>
          </w:p>
        </w:tc>
        <w:tc>
          <w:tcPr>
            <w:tcW w:w="10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(gains)/losses on qualifying cash flow hedges into earnings</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10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cash flow hedges</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(11,278)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18"/>
        </w:trPr>
        <w:tc>
          <w:tcPr>
            <w:tcW w:w="7900" w:type="dxa"/>
            <w:vAlign w:val="bottom"/>
            <w:gridSpan w:val="2"/>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0" w:type="dxa"/>
            <w:vAlign w:val="bottom"/>
          </w:tcPr>
          <w:p>
            <w:pPr>
              <w:jc w:val="right"/>
              <w:ind w:right="84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74,457</w:t>
            </w:r>
          </w:p>
        </w:tc>
        <w:tc>
          <w:tcPr>
            <w:tcW w:w="340" w:type="dxa"/>
            <w:vAlign w:val="bottom"/>
          </w:tcPr>
          <w:p>
            <w:pPr>
              <w:spacing w:after="0"/>
              <w:rPr>
                <w:sz w:val="24"/>
                <w:szCs w:val="24"/>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80" w:type="dxa"/>
            <w:vAlign w:val="bottom"/>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-1686560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-1686560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-1437640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-1437640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-1437640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-1437640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-323215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Unrealized gains/(losses) on available-for-sale securities and cash flow hedges are recorded as adjustments to shareholders' equity through "Accumulated other comprehensive income (losses)" on the Company's Consolidated Balance Sheets and are not included in net income unless realized.</w:t>
      </w:r>
    </w:p>
    <w:p>
      <w:pPr>
        <w:spacing w:after="0" w:line="139"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of March 31, 2008 and 2007, accumulated other comprehensive income (losses) reflected in the Company's shareholders' equity is comprised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40" w:type="dxa"/>
            <w:vAlign w:val="bottom"/>
          </w:tcPr>
          <w:p>
            <w:pPr>
              <w:jc w:val="center"/>
              <w:ind w:left="512"/>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40" w:type="dxa"/>
            <w:vAlign w:val="bottom"/>
          </w:tcPr>
          <w:p>
            <w:pPr>
              <w:jc w:val="center"/>
              <w:ind w:left="512"/>
              <w:spacing w:after="0" w:line="149" w:lineRule="exact"/>
              <w:rPr>
                <w:sz w:val="20"/>
                <w:szCs w:val="20"/>
                <w:color w:val="auto"/>
              </w:rPr>
            </w:pPr>
            <w:r>
              <w:rPr>
                <w:rFonts w:ascii="Arial" w:cs="Arial" w:eastAsia="Arial" w:hAnsi="Arial"/>
                <w:sz w:val="14"/>
                <w:szCs w:val="14"/>
                <w:b w:val="1"/>
                <w:bCs w:val="1"/>
                <w:color w:val="auto"/>
                <w:w w:val="89"/>
              </w:rPr>
              <w:t>March 31,</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660" w:type="dxa"/>
            <w:vAlign w:val="bottom"/>
            <w:gridSpan w:val="2"/>
          </w:tcPr>
          <w:p>
            <w:pPr>
              <w:jc w:val="center"/>
              <w:ind w:left="2917"/>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tcPr>
          <w:p>
            <w:pPr>
              <w:jc w:val="center"/>
              <w:ind w:right="321"/>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366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(4,813)</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Unrealized losses on hedges held by joint venture</w:t>
            </w: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(3,141)</w:t>
            </w:r>
          </w:p>
        </w:tc>
        <w:tc>
          <w:tcPr>
            <w:tcW w:w="38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(losses)/gains on cash flow hedges</w:t>
            </w:r>
          </w:p>
        </w:tc>
        <w:tc>
          <w:tcPr>
            <w:tcW w:w="2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(6,273)</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20" w:type="dxa"/>
            <w:vAlign w:val="bottom"/>
            <w:gridSpan w:val="2"/>
          </w:tcPr>
          <w:p>
            <w:pPr>
              <w:spacing w:after="0"/>
              <w:rPr>
                <w:sz w:val="10"/>
                <w:szCs w:val="10"/>
                <w:color w:val="auto"/>
              </w:rPr>
            </w:pPr>
          </w:p>
        </w:tc>
        <w:tc>
          <w:tcPr>
            <w:tcW w:w="24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(losses)</w:t>
            </w:r>
          </w:p>
        </w:tc>
        <w:tc>
          <w:tcPr>
            <w:tcW w:w="366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(14,227)</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420" w:type="dxa"/>
            <w:vAlign w:val="bottom"/>
            <w:vMerge w:val="restart"/>
          </w:tcPr>
          <w:p>
            <w:pPr>
              <w:jc w:val="right"/>
              <w:ind w:right="1157"/>
              <w:spacing w:after="0"/>
              <w:rPr>
                <w:sz w:val="20"/>
                <w:szCs w:val="20"/>
                <w:color w:val="auto"/>
              </w:rPr>
            </w:pPr>
            <w:r>
              <w:rPr>
                <w:rFonts w:ascii="Arial" w:cs="Arial" w:eastAsia="Arial" w:hAnsi="Arial"/>
                <w:sz w:val="18"/>
                <w:szCs w:val="18"/>
                <w:color w:val="auto"/>
              </w:rPr>
              <w:t>34</w:t>
            </w: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-1386205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-1386205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-1386205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-820420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-820420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-820420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14—Dividends</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and must distribute 100% of its taxable income to avoid paying corporate federal income taxes. The Company anticipates it will distribute all of its taxable income to its shareholders. Because taxable income differs from cash flow from operations due to non-cash revenues and expenses (such as depreciation), in certain circumstances, the Company may generate operating cash flow in excess of its dividends or, alternatively, may be required to borrow to make sufficient dividend payments.</w:t>
      </w:r>
    </w:p>
    <w:p>
      <w:pPr>
        <w:spacing w:after="0" w:line="197" w:lineRule="exact"/>
        <w:rPr>
          <w:sz w:val="20"/>
          <w:szCs w:val="20"/>
          <w:color w:val="auto"/>
        </w:rPr>
      </w:pPr>
    </w:p>
    <w:p>
      <w:pPr>
        <w:jc w:val="both"/>
        <w:ind w:right="180" w:firstLine="348"/>
        <w:spacing w:after="0" w:line="298" w:lineRule="auto"/>
        <w:rPr>
          <w:sz w:val="20"/>
          <w:szCs w:val="20"/>
          <w:color w:val="auto"/>
        </w:rPr>
      </w:pPr>
      <w:r>
        <w:rPr>
          <w:rFonts w:ascii="Arial" w:cs="Arial" w:eastAsia="Arial" w:hAnsi="Arial"/>
          <w:sz w:val="16"/>
          <w:szCs w:val="16"/>
          <w:color w:val="auto"/>
        </w:rPr>
        <w:t>Total dividends declared by the Company aggregated $116.0 million or $0.87 per share of Common Stock during the three months ended March 31, 2008 and were payable on April 30, 2008 to shareholders of record and holders of certain share equivalents on March 17, 2008. The Company also declared and paid dividends aggregating $2.0 million, $2.8 million, $2.0 million, $1.5 million and $2.3 million on its Series D, E, F, G, and I preferred stock, respectively, during the three months ended March 31, 2008. There are no dividend arrearages on any of the preferred shares currently outstanding.</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pays dividends to the unit holders in the 2002, 2003, and 2004 HPU Plans in the same amount per equivalent share and on the same distribution dates as the Company's common stock, based on 819,254 shares, 987,149 shares and 1,031,875 shares, respectively. Therefore, in connection with the common dividend declared during the three months ended March 31, 2008, the Company paid dividends on April 30, 2008 of $0.7 million, $0.9 million and $0.9 million to the unit holders in the 2002, 2003 and 2004 HPU Plans, respectively.</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also pays dividends on outstanding restricted stock units with service conditions that were granted to employees after January 1, 2006, in the same amount per unit and on the same distribution dates as the Company's common stock. Therefore, in connection with the common dividends declared during the three months ended March 31, 2008, the Company paid dividends on April 30, 2008 of $1.3 million to employees based on 1,501,605 restricted stock units outstanding as of March 17,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adopted SFAS No. 157 effective January 1, 2008 for financial assets and liabilities and for nonfinancial assets and nonfinancial liabilities that are recognized or disclosed at fair value in the financial statements on a recurring basis (at least annually). SFAS No. 157 applies to all financial assets and financial liabilities that are being measured and reported on a fair value basis. SFAS No. 157 establishes a framework for measuring fair value and expands disclosure about fair value measurements. The statement requires fair value measurement be classified and disclosed in one of the following three categories: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summarizes the valuation of our financial instruments recorded at fair value on a recurring or nonrecurring basis by the above SFAS No. 157 categories as of March 31, 2008 (in thousands):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85"/>
              </w:rPr>
              <w:t>Quoted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1"/>
              </w:rPr>
              <w:t>market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6"/>
              </w:rPr>
              <w:t>prices in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5"/>
              </w:rPr>
              <w:t>active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3"/>
              </w:rPr>
              <w:t>observable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5"/>
              </w:rPr>
              <w:t>markets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5"/>
              </w:rPr>
              <w:t>inputs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61"/>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Recurring basis: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Derivative assets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80"/>
              <w:spacing w:after="0"/>
              <w:rPr>
                <w:sz w:val="20"/>
                <w:szCs w:val="20"/>
                <w:color w:val="auto"/>
              </w:rPr>
            </w:pPr>
            <w:r>
              <w:rPr>
                <w:rFonts w:ascii="Arial" w:cs="Arial" w:eastAsia="Arial" w:hAnsi="Arial"/>
                <w:sz w:val="18"/>
                <w:szCs w:val="18"/>
                <w:color w:val="auto"/>
                <w:w w:val="98"/>
              </w:rPr>
              <w:t>Other lending investments—available-for-sale</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Marketable securities—available-for-sale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80"/>
              <w:spacing w:after="0"/>
              <w:rPr>
                <w:sz w:val="20"/>
                <w:szCs w:val="20"/>
                <w:color w:val="auto"/>
              </w:rPr>
            </w:pPr>
            <w:r>
              <w:rPr>
                <w:rFonts w:ascii="Arial" w:cs="Arial" w:eastAsia="Arial" w:hAnsi="Arial"/>
                <w:sz w:val="18"/>
                <w:szCs w:val="18"/>
                <w:color w:val="auto"/>
              </w:rPr>
              <w:t>Warrants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1,163</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80"/>
              <w:spacing w:after="0"/>
              <w:rPr>
                <w:sz w:val="20"/>
                <w:szCs w:val="20"/>
                <w:color w:val="auto"/>
              </w:rPr>
            </w:pPr>
            <w:r>
              <w:rPr>
                <w:rFonts w:ascii="Arial" w:cs="Arial" w:eastAsia="Arial" w:hAnsi="Arial"/>
                <w:sz w:val="18"/>
                <w:szCs w:val="18"/>
                <w:color w:val="auto"/>
              </w:rPr>
              <w:t>Derivative liabilities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19,137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19,137</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Nonrecurring basis: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Impaired loans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303,860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-1590040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-1590040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-1590040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-1590040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-1590040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-1590040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-1590040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-1590040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Currently, the Company uses interest rate swaps and foreign currency derivatives to manage its interest rate and foreign currency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To comply with the provisions of SFAS No. 157,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72"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2008,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Other lending investments, marketable securities and warrants are all securities traded actively in the secondary market and have been valued using quoted market prices.</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of the Company's loans identified as being impaired under the provisions of SFAS No. 114 are collateral dependent loans and are evaluated for impairment by comparing the fair value of the underlying collateral less costs to sell to the carrying value of each loan. Due to the unique nature of the individual property collateralizing the Company's loans, the Company uses the income approach through internally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developed valuation models to estimate the fair value of the collateral. This approach requires the Company to make significant judgments in respect to discount rates and the timing and amounts of estimated future cash flows that are considered Level 3 inputs in accordance with SFAS No. 157. These cash flows include costs of completion, operating costs, and lot and unit sale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Company has determined that it has two reportable operating segments: Real Estate and Corporate Lending and Corporate Tenant Leasing. The reportable segments were determined based on the management approach, which looks to the Company's internal organizational structure. These two lines of business require different support infrastructures.</w:t>
      </w:r>
    </w:p>
    <w:p>
      <w:pPr>
        <w:spacing w:after="0" w:line="194"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Real Estate and Corporate Lending segment includes all of the Company's activities related to senior and mezzanine real estate debt and senior and mezzanine corporate capital investment activities and the financing thereof. These include a dedicated management team for real estate and corporate lending origination, acquisition and servicing.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Corporate Tenant Leasing segment includes all of the Company's activities related to the ownership and leasing of corporate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Corporate</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375"/>
              <w:spacing w:after="0" w:line="149" w:lineRule="exact"/>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475"/>
              <w:spacing w:after="0"/>
              <w:rPr>
                <w:sz w:val="20"/>
                <w:szCs w:val="20"/>
                <w:color w:val="auto"/>
              </w:rPr>
            </w:pPr>
            <w:r>
              <w:rPr>
                <w:rFonts w:ascii="Arial" w:cs="Arial" w:eastAsia="Arial" w:hAnsi="Arial"/>
                <w:sz w:val="14"/>
                <w:szCs w:val="14"/>
                <w:b w:val="1"/>
                <w:bCs w:val="1"/>
                <w:color w:val="auto"/>
              </w:rPr>
              <w:t>Lending</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Leasing</w:t>
            </w:r>
          </w:p>
        </w:tc>
        <w:tc>
          <w:tcPr>
            <w:tcW w:w="2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Three months ended March 31, 2008</w:t>
            </w:r>
          </w:p>
        </w:tc>
        <w:tc>
          <w:tcPr>
            <w:tcW w:w="1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Total revenues(2)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332,856</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86,489</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3,084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422,429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(loss) from equity method investments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Total operating and interest expense(3)</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95,431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209,286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operating income(4)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(209,450)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Three months ended March 31, 2007</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202,677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Earnings (loss) from equity method investments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and interest expense(3)</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158,623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Net operating income(4)</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194,569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(154,054)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As of March 31, 2008</w:t>
            </w:r>
          </w:p>
        </w:tc>
        <w:tc>
          <w:tcPr>
            <w:tcW w:w="248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Total long-lived assets(5)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10,878,095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3,328,210</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126,790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14,333,095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11,433,962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3,691,303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987,030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16,112,295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As of December 31, 2007</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long-lived assets(5)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10,949,354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128,720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11,282,121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3,686,941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879,236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15,848,298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-2280285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-2280285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-2280285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-2280285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-2280285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-2280285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-2280285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-2280285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140" w:hanging="532"/>
        <w:spacing w:after="0" w:line="233"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Corporate and Other represents all corporate level items, including general and administrative expenses and any intercompany eliminations necessary to reconcile to the consolidated Company totals. This caption also includes the Company's timber operations, non-CTL related joint venture investments, strategic investments and marketable securities, which are not considered material separate segments.</w:t>
      </w:r>
    </w:p>
    <w:p>
      <w:pPr>
        <w:spacing w:after="0" w:line="111" w:lineRule="exact"/>
        <w:rPr>
          <w:rFonts w:ascii="Arial" w:cs="Arial" w:eastAsia="Arial" w:hAnsi="Arial"/>
          <w:sz w:val="14"/>
          <w:szCs w:val="14"/>
          <w:color w:val="auto"/>
        </w:rPr>
      </w:pPr>
    </w:p>
    <w:p>
      <w:pPr>
        <w:ind w:left="540" w:right="200" w:hanging="532"/>
        <w:spacing w:after="0" w:line="239"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111" w:lineRule="exact"/>
        <w:rPr>
          <w:rFonts w:ascii="Arial" w:cs="Arial" w:eastAsia="Arial" w:hAnsi="Arial"/>
          <w:sz w:val="14"/>
          <w:szCs w:val="14"/>
          <w:color w:val="auto"/>
        </w:rPr>
      </w:pPr>
    </w:p>
    <w:p>
      <w:pPr>
        <w:ind w:left="540" w:right="280" w:hanging="532"/>
        <w:spacing w:after="0" w:line="239"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operating and interest expense includes provision for loan losses for the Real Estate Lending business and operating costs on CTL assets for the Corporate Tenant Leasing business, as well as interest expense and loss on early extinguishment of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 (Continued)</w:t>
      </w:r>
    </w:p>
    <w:p>
      <w:pPr>
        <w:spacing w:after="0" w:line="229" w:lineRule="exact"/>
        <w:rPr>
          <w:sz w:val="20"/>
          <w:szCs w:val="20"/>
          <w:color w:val="auto"/>
        </w:rPr>
      </w:pPr>
    </w:p>
    <w:p>
      <w:pPr>
        <w:ind w:left="540" w:right="20"/>
        <w:spacing w:after="0" w:line="318" w:lineRule="auto"/>
        <w:rPr>
          <w:sz w:val="20"/>
          <w:szCs w:val="20"/>
          <w:color w:val="auto"/>
        </w:rPr>
      </w:pPr>
      <w:r>
        <w:rPr>
          <w:rFonts w:ascii="Arial" w:cs="Arial" w:eastAsia="Arial" w:hAnsi="Arial"/>
          <w:sz w:val="12"/>
          <w:szCs w:val="12"/>
          <w:color w:val="auto"/>
        </w:rPr>
        <w:t>specifically related to each segment. Interest expense on unsecured notes and the unsecured and secured revolving credit facilities and general and administrative expense is included in Corporate/Other for all periods. Depreciation and amortization of $25.9 million and $19.9 million for the three months ended March 31, 2008 and 2007, respectively, are included in the amounts presented above.</w:t>
      </w:r>
    </w:p>
    <w:p>
      <w:pPr>
        <w:spacing w:after="0" w:line="134"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operating income represents income before minority interest, income from discontinued operations and gain from discontinued operations.</w:t>
      </w:r>
    </w:p>
    <w:p>
      <w:pPr>
        <w:spacing w:after="0" w:line="122" w:lineRule="exact"/>
        <w:rPr>
          <w:rFonts w:ascii="Arial" w:cs="Arial" w:eastAsia="Arial" w:hAnsi="Arial"/>
          <w:sz w:val="14"/>
          <w:szCs w:val="14"/>
          <w:color w:val="auto"/>
        </w:rPr>
      </w:pPr>
    </w:p>
    <w:p>
      <w:pPr>
        <w:ind w:left="540" w:right="300" w:hanging="532"/>
        <w:spacing w:after="0" w:line="239"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long-lived assets are comprised of Loans and other lending investments, net, Corporate tenant lease assets, net, and timber and timberlands, net for the Real Estate Lending, Corporate Tenant Leasing and Corporate/Other segments,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231" w:lineRule="exact"/>
        <w:rPr>
          <w:sz w:val="20"/>
          <w:szCs w:val="20"/>
          <w:color w:val="auto"/>
        </w:rPr>
      </w:pPr>
    </w:p>
    <w:p>
      <w:pPr>
        <w:jc w:val="both"/>
        <w:ind w:right="460" w:firstLine="351"/>
        <w:spacing w:after="0" w:line="306" w:lineRule="auto"/>
        <w:rPr>
          <w:sz w:val="20"/>
          <w:szCs w:val="20"/>
          <w:color w:val="auto"/>
        </w:rPr>
      </w:pPr>
      <w:r>
        <w:rPr>
          <w:rFonts w:ascii="Arial" w:cs="Arial" w:eastAsia="Arial" w:hAnsi="Arial"/>
          <w:sz w:val="16"/>
          <w:szCs w:val="16"/>
          <w:color w:val="auto"/>
        </w:rPr>
        <w:t>On April 1, 2008, the Company closed on the sale of its TimberStar Southwest joint venture and the venture's approximately 900,000-acre portfolio of forestland and related assets for a gross sales price of $1.71 billion, including the assumption of debt. The Company received net proceeds of approximately $400 million for its interest in the venture, representing an estimated gain of approximately $250 million, net of minority interests.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 2008, the Company entered into a $960 million first mortgage financing transaction collateralized by 34 CTL properties, representing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$1.09 billion of net book value and an appraised value of $1.66 billion. The Company has received approximately $810 million of proceeds from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closing of the financing and expects to receive the balance of proceeds prior to the end of the second quarter, subject to the satisfaction of certain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The three-year financing is being provided by a major financial institution, will bear interest at LIBOR + 3.40% and is pre-payable in 20 months.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used the net proceeds from the initial closing of this financing, together with other available corporate funds, to extinguish the interim financing facility.</w:t>
      </w:r>
    </w:p>
    <w:p>
      <w:pPr>
        <w:spacing w:after="0" w:line="242"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Subsequent to March 31, 2008, an issuer of a security held by the Company, which had an aggregate carrying value of $73.9 million as of March 31, 2008, ceased making current interest payments and declared bankruptcy. The Company will continue to evaluate this security for impairment in future periods.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 xml:space="preserve">This discussion summarizes the significant factors affecting our consolidated operating results, financial condition and liquidity and should be read in conjunction with our consolidated financial statements and related notes in this quarterly report on form 10-Q and our annual report on Form 10-K for the year ended December 31, 2007 (the "2007 Annual Report"). These historical financial statements may not be indicative of our future performance. We reclassified certain items in our consolidated financial statements of prior periods to conform to our current financial statements presentation. This Management's Discussion and Analysis of Financial Condition and Results of Operations contains a number of forward-looking statements, all of which are based on our current expectations and could be affected by the uncertainties and risks described in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in our 2007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iStar Financial Inc. is a leading publicly-traded finance company focused on the commercial real estate industry. We primarily provide custom-tailored financing to high-end private and corporate owners of real estate, including senior and mezzanine real estate debt, senior and mezzanine corporate capital, corporate net lease financing and equity. Our company, which is taxed as a real estate investment trust ("REIT"), seeks to deliver strong dividends and superior risk-adjusted returns on equity to shareholders by providing innovative and value added financing solutions to our customers. Our two primary lines of business are lending and corporate tenant leasing.</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primary sources of revenues are interest income, which is the interest that our borrowers pay on our loans, and operating lease income, which is the rent that our corporate customers pay us to lease our CTL properties. A smaller and more variable source of revenue is other income, which consists primarily of prepayment penalties and realized gains that occur when our borrowers repay their loans before the maturity date. We primarily generate income through the "spread" or "margin," which is the difference between the revenues generated from our loans and leases and our interest expense and the cost of our CTL operations. We generally seek to match-fund our revenue generating assets with either fixed or floating rate debt of a similar maturity so that changes in interest rates or the shape of the yield curve will have a minimal impact on our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credit crisis, which began in earnest in mid-2007, has significantly impacted corporate credit spreads, increasing our cost of funds and limiting our access to the unsecured debt markets—our primary source of debt financing. The current financial turmoil has also started to impact our borrowers' ability to service their debt and refinance their loans as they mature. In addition, a large percentage of the Fremont portfolio is residential condominium construction loans. Some of these borrowers are experiencing a slow down in residential sales due to falling home prices and reduced availability in the single family mortgage market. The proceeds from residential condominium sales are generally used to repay principal on our loans.</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generated $86.4 million of net income on over $422.4 million of revenue resulting in $0.55 of diluted earnings per common share and $0.87 of adjusted diluted earnings per common share.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new commitments for the first quarter totaled just $101.2 million in four separate transactions and we funded $20.7 million of these commitments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However, we also funded $921.4 million of pre-existing commitments during the quarter and received repayments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$1.32 billion, for net asset growth of $184.1 million during the first quarter. We ended the quarter with $16.12 billion in total assets and $18.47 billion in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management (including participated assets).</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results of operations continue to be impacted by the credit crisis. It has also had a negative impact on the value of some of our investments. Based on increased risks in our loan portfolio, including those associated with the Fremont acquired loans, as well as the deterioration in economic and financial conditions, we had provisions for loan losses of $89.5 million this quarter, versus $5.0 million in the first quarter of 2007. Since the addition of the Fremont portfolio, we have had material increases in our watch list and non-performing loans. While the aggregate book value of our OREO, non-performing loans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right="400"/>
        <w:spacing w:after="0" w:line="268" w:lineRule="auto"/>
        <w:rPr>
          <w:sz w:val="20"/>
          <w:szCs w:val="20"/>
          <w:color w:val="auto"/>
        </w:rPr>
      </w:pPr>
      <w:r>
        <w:rPr>
          <w:rFonts w:ascii="Arial" w:cs="Arial" w:eastAsia="Arial" w:hAnsi="Arial"/>
          <w:sz w:val="18"/>
          <w:szCs w:val="18"/>
          <w:color w:val="auto"/>
        </w:rPr>
        <w:t>watch list assets has decreased from the prior quarter, we do not believe this improvement represents the beginning of a trend and do not yet see a systematic improvement across our challenged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metrics to measure our profitability:</w:t>
      </w:r>
    </w:p>
    <w:p>
      <w:pPr>
        <w:spacing w:after="0" w:line="239" w:lineRule="exact"/>
        <w:rPr>
          <w:sz w:val="20"/>
          <w:szCs w:val="20"/>
          <w:color w:val="auto"/>
        </w:rPr>
      </w:pPr>
    </w:p>
    <w:p>
      <w:pPr>
        <w:ind w:left="1080" w:right="2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Diluted EPS, calculated as adjusted diluted earnings allocable to common shareholders divided by diluted weighted average common shares outstanding. (See section captioned "Adjusted Earnings" for more information on this metric).</w:t>
      </w:r>
    </w:p>
    <w:p>
      <w:pPr>
        <w:spacing w:after="0" w:line="212"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Finance Margin, calculated as the rate of return on assets less the cost of debt. The rate of return on assets is the sum of interest income and operating lease income, divided by the sum of the average book value of gross corporate tenant lease assets, loans and other lending investments, purchased intangibles and assets held for sale over the period. The cost of debt is the sum of interest expense and operating costs for corporate tenant lease assets, divided by the average book value of gross debt obligations during the period.</w:t>
      </w:r>
    </w:p>
    <w:p>
      <w:pPr>
        <w:spacing w:after="0" w:line="180"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Average Common Book Equity, calculated as net income allocable to common shareholders and HPU holders divided by average common book equity.</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Return on Average Common Book Equity, calculated as adjusted basic earnings allocable to common shareholders and HPU holders divided by average common book equity.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these key metrics:</w:t>
      </w:r>
    </w:p>
    <w:p>
      <w:pPr>
        <w:spacing w:after="0" w:line="221"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For the</w:t>
      </w:r>
    </w:p>
    <w:p>
      <w:pPr>
        <w:jc w:val="center"/>
        <w:ind w:left="642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6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58420</wp:posOffset>
            </wp:positionV>
            <wp:extent cx="150495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504950" cy="215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2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0.87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Finance Margin(1)(2)</w:t>
            </w: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Book Equity</w:t>
            </w: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Adjusted Return on Average Common Book Equity</w:t>
            </w:r>
          </w:p>
        </w:tc>
        <w:tc>
          <w:tcPr>
            <w:tcW w:w="1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-633730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-633730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-633730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-633730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149860</wp:posOffset>
            </wp:positionV>
            <wp:extent cx="105029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1620" w:right="120" w:hanging="532"/>
        <w:spacing w:after="0" w:line="260" w:lineRule="auto"/>
        <w:tabs>
          <w:tab w:leader="none" w:pos="16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three months ended March 31, 2008 and 2007, operating lease income used to calculate the net finance margin includes amounts from discontinued operations of $334 and $980, respectively. For the three months ended March 31, 2008 and 2007, operating costs—corporate tenant lease assets used to calculate the net finance margin includes amounts from discontinued operations of $(70) and $133, respectively.</w:t>
      </w:r>
    </w:p>
    <w:p>
      <w:pPr>
        <w:spacing w:after="0" w:line="192" w:lineRule="exact"/>
        <w:rPr>
          <w:rFonts w:ascii="Arial" w:cs="Arial" w:eastAsia="Arial" w:hAnsi="Arial"/>
          <w:sz w:val="14"/>
          <w:szCs w:val="14"/>
          <w:color w:val="auto"/>
        </w:rPr>
      </w:pPr>
    </w:p>
    <w:p>
      <w:pPr>
        <w:ind w:left="1620" w:right="160" w:hanging="532"/>
        <w:spacing w:after="0" w:line="239" w:lineRule="auto"/>
        <w:tabs>
          <w:tab w:leader="none" w:pos="16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finance margin for the three months ended March 31, 2008 includes the amortization of the Fremont loan purchase discount of $28.3 million. Excluding this amortization, the net finance margin would have been 3.4% for the three months ended March 31, 2008.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2008 compared to the Three Months Ended March 31,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8"/>
              </w:rPr>
              <w:t>For the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center"/>
              <w:ind w:left="463"/>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3"/>
          </w:tcPr>
          <w:p>
            <w:pPr>
              <w:jc w:val="center"/>
              <w:ind w:left="443"/>
              <w:spacing w:after="0"/>
              <w:rPr>
                <w:sz w:val="20"/>
                <w:szCs w:val="20"/>
                <w:color w:val="auto"/>
              </w:rPr>
            </w:pPr>
            <w:r>
              <w:rPr>
                <w:rFonts w:ascii="Arial" w:cs="Arial" w:eastAsia="Arial" w:hAnsi="Arial"/>
                <w:sz w:val="14"/>
                <w:szCs w:val="14"/>
                <w:b w:val="1"/>
                <w:bCs w:val="1"/>
                <w:color w:val="auto"/>
                <w:w w:val="92"/>
              </w:rPr>
              <w:t>March 31,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8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476"/>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23"/>
                <w:szCs w:val="2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4"/>
              </w:rPr>
              <w:t>(in thousands)</w:t>
            </w: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276,100</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180,860</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Operating lease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86,439</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75,942</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28,472</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422,429</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285,274</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-1386205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-1386205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-1137920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-1137920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-1137920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-1137920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-1137920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-1137920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41" w:name="page42"/>
    <w:bookmarkEnd w:id="41"/>
    <w:p>
      <w:pPr>
        <w:ind w:left="360"/>
        <w:spacing w:after="0"/>
        <w:rPr>
          <w:sz w:val="20"/>
          <w:szCs w:val="20"/>
          <w:color w:val="auto"/>
        </w:rPr>
      </w:pPr>
      <w:r>
        <w:rPr>
          <w:rFonts w:ascii="Arial" w:cs="Arial" w:eastAsia="Arial" w:hAnsi="Arial"/>
          <w:sz w:val="16"/>
          <w:szCs w:val="16"/>
          <w:color w:val="auto"/>
        </w:rPr>
        <w:t>The increase in total revenue in the first quarter of 2008 compared to the first quarter of 2007 was primarily due to additional interest income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$86.0 million resulting from the Fremont acquisition. Included in this interest on the acquired loans was $28.3 million of discount amortization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purchase discount that we recorded on the Fremont acquisition. Interest income also increased $9.3 million due to a $1.41 billion increase in the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balance of loans and other lending investments in our core portfolio, excluding the loans acquired from Fremont. This increase was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 decrease in interest income on the Company's variable-rate lending investments as a result of lower average one-month LIBOR rates of 3.3% in the first quarter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2008, compared to 5.3% in the first quarter of 2007.</w:t>
      </w:r>
    </w:p>
    <w:p>
      <w:pPr>
        <w:spacing w:after="0" w:line="21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Other income in the first quarter of 2008 includes a $44.2 million gain resulting from the redemption of a participation interest that was received as part of a prior lending investment. In the first quarter of 2007, that same investment generated other income of $19.0 million due to the participation feature. In addition, there was an increase in income from prepayment penalties of approximately $8.2 million in the first quarter of 2008 as compared to the first quarter of 2007. Operating lease income also contributed to the increase in total revenue primarily due to increased income from properties acquired in 2007 and in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left="469"/>
              <w:spacing w:after="0"/>
              <w:rPr>
                <w:sz w:val="20"/>
                <w:szCs w:val="20"/>
                <w:color w:val="auto"/>
              </w:rPr>
            </w:pPr>
            <w:r>
              <w:rPr>
                <w:rFonts w:ascii="Arial" w:cs="Arial" w:eastAsia="Arial" w:hAnsi="Arial"/>
                <w:sz w:val="14"/>
                <w:szCs w:val="14"/>
                <w:b w:val="1"/>
                <w:bCs w:val="1"/>
                <w:color w:val="auto"/>
                <w:w w:val="92"/>
              </w:rPr>
              <w:t>For the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center"/>
              <w:ind w:left="469"/>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center"/>
              <w:ind w:left="469"/>
              <w:spacing w:after="0"/>
              <w:rPr>
                <w:sz w:val="20"/>
                <w:szCs w:val="20"/>
                <w:color w:val="auto"/>
              </w:rPr>
            </w:pPr>
            <w:r>
              <w:rPr>
                <w:rFonts w:ascii="Arial" w:cs="Arial" w:eastAsia="Arial" w:hAnsi="Arial"/>
                <w:sz w:val="14"/>
                <w:szCs w:val="14"/>
                <w:b w:val="1"/>
                <w:bCs w:val="1"/>
                <w:color w:val="auto"/>
                <w:w w:val="92"/>
              </w:rPr>
              <w:t>March 31,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69"/>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jc w:val="right"/>
              <w:ind w:right="482"/>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gridSpan w:val="3"/>
          </w:tcPr>
          <w:p>
            <w:pPr>
              <w:jc w:val="center"/>
              <w:ind w:left="449"/>
              <w:spacing w:after="0"/>
              <w:rPr>
                <w:sz w:val="20"/>
                <w:szCs w:val="20"/>
                <w:color w:val="auto"/>
              </w:rPr>
            </w:pPr>
            <w:r>
              <w:rPr>
                <w:rFonts w:ascii="Arial" w:cs="Arial" w:eastAsia="Arial" w:hAnsi="Arial"/>
                <w:sz w:val="14"/>
                <w:szCs w:val="14"/>
                <w:b w:val="1"/>
                <w:bCs w:val="1"/>
                <w:color w:val="auto"/>
                <w:w w:val="84"/>
              </w:rPr>
              <w:t>(in thousands)</w:t>
            </w: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168,215</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128,527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-715645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-715645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-466725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-466725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-466725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-466725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-466725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During the first quarter of 2008, our average outstanding debt balance was $4.54 billion higher than it was during the same period in 2007. The increase in borrowings was primarily due to additional borrowings on both our unsecured and secured credit facilities as well as the remaining $1.3 billion outstanding on the interim financing facility that was used to finance the Fremont acquisition in July 2007. Higher borrowings were partially offset by lower average rates, which decreased to 5.25% during the first quarter of 2008 as compared to 5.86% during the same period in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left="741"/>
              <w:spacing w:after="0"/>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3"/>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9"/>
              </w:rPr>
              <w:t>March 31,</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481"/>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355"/>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23"/>
                <w:szCs w:val="23"/>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center"/>
              <w:ind w:left="341"/>
              <w:spacing w:after="0"/>
              <w:rPr>
                <w:sz w:val="20"/>
                <w:szCs w:val="20"/>
                <w:color w:val="auto"/>
              </w:rPr>
            </w:pPr>
            <w:r>
              <w:rPr>
                <w:rFonts w:ascii="Arial" w:cs="Arial" w:eastAsia="Arial" w:hAnsi="Arial"/>
                <w:sz w:val="14"/>
                <w:szCs w:val="14"/>
                <w:b w:val="1"/>
                <w:bCs w:val="1"/>
                <w:color w:val="auto"/>
                <w:w w:val="84"/>
              </w:rPr>
              <w:t>(in thousands)</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25,931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19,921</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3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Total other costs and expenses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167,403</w:t>
            </w:r>
          </w:p>
        </w:tc>
        <w:tc>
          <w:tcPr>
            <w:tcW w:w="22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68,932</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-1661160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-1661160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-1412240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-1412240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-1412240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-1412240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-1412240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-1412240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-323215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Total other costs and expenses increased by $98.5 million primarily due to the increase in our provision for loan losses. The $84.5 million increase in our provision for loan losses was attributed to the addition of asset-specific reserves as well as negative trends in the overall economy, growth in our historical portfolio and our newly acquired loan portfolio, as further described in the "Risk Management" section. Also contributing to the increase in total other costs and expenses were increases in both depreciation and amortization and general administrative expenses. Depreciation and amortization increased $6.0 million primarily due to the acquisitions and improvements of new CTL assets. General and administrative increased $5.3 million primarily due to higher payroll related costs resulting from increased headcount as a result of the Fremont acquisition in July 2007.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Losses from equity method investments</w:t>
      </w:r>
      <w:r>
        <w:rPr>
          <w:rFonts w:ascii="Arial" w:cs="Arial" w:eastAsia="Arial" w:hAnsi="Arial"/>
          <w:sz w:val="18"/>
          <w:szCs w:val="18"/>
          <w:color w:val="auto"/>
        </w:rPr>
        <w:t>—Losses from equity method investments were $2.6 million for the first quarter of 2008 as compared to $1.4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2007. Increased losses were primarily attributable to weaker market performance that affected certain of our strategic investments during the first quarter of 2008.</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Income from discontinued operations</w:t>
      </w:r>
      <w:r>
        <w:rPr>
          <w:rFonts w:ascii="Arial" w:cs="Arial" w:eastAsia="Arial" w:hAnsi="Arial"/>
          <w:sz w:val="16"/>
          <w:szCs w:val="16"/>
          <w:color w:val="auto"/>
        </w:rPr>
        <w:t>—For the three months ended March 31, 2008 and 2007, operating income earned on CTL assets sold (prior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assets held for sale of approximately $0.3 million and $5.7 million, respectively, is classified as discontinued operations.</w:t>
      </w:r>
    </w:p>
    <w:p>
      <w:pPr>
        <w:spacing w:after="0" w:line="139"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i w:val="1"/>
          <w:iCs w:val="1"/>
          <w:color w:val="auto"/>
        </w:rPr>
        <w:t>Gain from discontinued operations, net</w:t>
      </w:r>
      <w:r>
        <w:rPr>
          <w:rFonts w:ascii="Arial" w:cs="Arial" w:eastAsia="Arial" w:hAnsi="Arial"/>
          <w:sz w:val="18"/>
          <w:szCs w:val="18"/>
          <w:color w:val="auto"/>
        </w:rPr>
        <w:t>—We sold two CTL assets for net proceeds of $8.2 million during the three months ended March 31, 2008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gains of approximately $2.1 million. During the three months ended March 31, 2007, we sold two CTL assets for net proceeds of approximately $34.8 million and recognized a gain of approximately $1.4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measure our performance using adjusted earnings in addition to net income. Adjusted earnings represent net income allocable to common shareholders and HPU holders computed in accordance with GAAP, before depreciation, depletion, amortization, gain from discontinued operations, ineffectiveness on interest rate hedges, extraordinary items and cumulative effect of change in accounting principle. Adjustments for joint ventures reflect our share of adjusted earnings calculated on the same basis.</w:t>
      </w:r>
    </w:p>
    <w:p>
      <w:pPr>
        <w:spacing w:after="0" w:line="197"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and amortization, which are typically non-cash charges. As a commercial finance company that focuses on real estate and corporate lending and corporate tenant leasing, we record significant depreciation on our real estate assets and amortization of deferred financing costs associated with our borrowings. We also record depletion on our timber assets.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 interests on the same basis) and excluding gains or losses from the sale of assets that will no longer be part of continuing operations.</w:t>
      </w:r>
    </w:p>
    <w:p>
      <w:pPr>
        <w:spacing w:after="0" w:line="174"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operating liquidity or funds available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right="140"/>
        <w:spacing w:after="0" w:line="268" w:lineRule="auto"/>
        <w:rPr>
          <w:sz w:val="20"/>
          <w:szCs w:val="20"/>
          <w:color w:val="auto"/>
        </w:rPr>
      </w:pPr>
      <w:r>
        <w:rPr>
          <w:rFonts w:ascii="Arial" w:cs="Arial" w:eastAsia="Arial" w:hAnsi="Arial"/>
          <w:sz w:val="18"/>
          <w:szCs w:val="18"/>
          <w:color w:val="auto"/>
        </w:rPr>
        <w:t>for our cash needs or for distribution to our shareholders. In addition, we may not calculate adjusted earnings in the same manner as other companies that use a similarly titled measure.</w:t>
      </w:r>
    </w:p>
    <w:p>
      <w:pPr>
        <w:spacing w:after="0" w:line="182"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For the</w:t>
      </w:r>
    </w:p>
    <w:p>
      <w:pPr>
        <w:jc w:val="center"/>
        <w:ind w:left="614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61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58420</wp:posOffset>
            </wp:positionV>
            <wp:extent cx="178816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88160" cy="215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gridSpan w:val="2"/>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(In thousands) (Unaudited)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Arial" w:cs="Arial" w:eastAsia="Arial" w:hAnsi="Arial"/>
                <w:sz w:val="18"/>
                <w:szCs w:val="18"/>
                <w:color w:val="auto"/>
              </w:rPr>
              <w:t>Net income before preferred dividend requirement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86,389</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 Joint venture income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Arial" w:cs="Arial" w:eastAsia="Arial" w:hAnsi="Arial"/>
                <w:sz w:val="18"/>
                <w:szCs w:val="18"/>
                <w:color w:val="auto"/>
              </w:rPr>
              <w:t>Add: Depreciation, depletion and amortization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 Joint venture depreciation, depletion and amortization</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Arial" w:cs="Arial" w:eastAsia="Arial" w:hAnsi="Arial"/>
                <w:sz w:val="18"/>
                <w:szCs w:val="18"/>
                <w:color w:val="auto"/>
              </w:rPr>
              <w:t>Add: Amortization of deferred financing costs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 Hedge ineffectiveness, net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Arial" w:cs="Arial" w:eastAsia="Arial" w:hAnsi="Arial"/>
                <w:sz w:val="18"/>
                <w:szCs w:val="18"/>
                <w:color w:val="auto"/>
              </w:rPr>
              <w:t>Less: Preferred dividend requirement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Gain from discontinued operations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118"/>
        </w:trPr>
        <w:tc>
          <w:tcPr>
            <w:tcW w:w="598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gridSpan w:val="2"/>
          </w:tcPr>
          <w:p>
            <w:pPr>
              <w:spacing w:after="0"/>
              <w:rPr>
                <w:sz w:val="20"/>
                <w:szCs w:val="20"/>
                <w:color w:val="auto"/>
              </w:rPr>
            </w:pPr>
            <w:r>
              <w:rPr>
                <w:rFonts w:ascii="Arial" w:cs="Arial" w:eastAsia="Arial" w:hAnsi="Arial"/>
                <w:sz w:val="18"/>
                <w:szCs w:val="18"/>
                <w:color w:val="auto"/>
                <w:w w:val="92"/>
              </w:rPr>
              <w:t>Adjusted diluted earnings allocable to common shareholders and HPU holders(1)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119,861</w:t>
            </w:r>
          </w:p>
        </w:tc>
        <w:tc>
          <w:tcPr>
            <w:tcW w:w="14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121,290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-2269490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-2269490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-2269490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-2269490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-631825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-631825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-631825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-631825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hanging="532"/>
        <w:spacing w:after="0" w:line="233" w:lineRule="auto"/>
        <w:tabs>
          <w:tab w:leader="none" w:pos="1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For the three months ended March 31, 2008 and 2007 adjusted diluted earnings allocable to common shareholders and HPU holders includes $2,471 and $2,634 of adjusted earnings allocable to HPU holders, respectively.</w:t>
      </w:r>
    </w:p>
    <w:p>
      <w:pPr>
        <w:spacing w:after="0" w:line="19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decrease in adjusted earnings is driven primarily by the decrease in our net income as explained in the Results of Operations section above. Offsetting that decrease are increases in certain non-cash charges that are added back to net income to arrive at adjusted earnings. Specifically, depreciation, depletion and amortization increased $5.8 million from the first quarter of 2007 to the first quarter of 2008 as described above in Results of Operations.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i w:val="1"/>
          <w:iCs w:val="1"/>
          <w:color w:val="auto"/>
        </w:rPr>
        <w:t xml:space="preserve">Loan Credit Statistics </w:t>
      </w:r>
      <w:r>
        <w:rPr>
          <w:rFonts w:ascii="Arial" w:cs="Arial" w:eastAsia="Arial" w:hAnsi="Arial"/>
          <w:sz w:val="18"/>
          <w:szCs w:val="18"/>
          <w:color w:val="auto"/>
        </w:rPr>
        <w:t>The table below summarizes our non-performing loans and details the reserve for loan losses associated with our loans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As of March 31, 2008</w:t>
            </w:r>
          </w:p>
        </w:tc>
        <w:tc>
          <w:tcPr>
            <w:tcW w:w="180" w:type="dxa"/>
            <w:vAlign w:val="bottom"/>
          </w:tcPr>
          <w:p>
            <w:pPr>
              <w:spacing w:after="0"/>
              <w:rPr>
                <w:sz w:val="15"/>
                <w:szCs w:val="15"/>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As of December 31, 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Carrying value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796,919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719,366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256,002</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474,303</w:t>
            </w:r>
          </w:p>
        </w:tc>
        <w:tc>
          <w:tcPr>
            <w:tcW w:w="0" w:type="dxa"/>
            <w:vAlign w:val="bottom"/>
          </w:tcPr>
          <w:p>
            <w:pPr>
              <w:spacing w:after="0"/>
              <w:rPr>
                <w:sz w:val="1"/>
                <w:szCs w:val="1"/>
                <w:color w:val="auto"/>
              </w:rPr>
            </w:pPr>
          </w:p>
        </w:tc>
      </w:tr>
      <w:tr>
        <w:trPr>
          <w:trHeight w:val="118"/>
        </w:trPr>
        <w:tc>
          <w:tcPr>
            <w:tcW w:w="708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80" w:type="dxa"/>
            <w:vAlign w:val="bottom"/>
            <w:gridSpan w:val="2"/>
          </w:tcPr>
          <w:p>
            <w:pPr>
              <w:spacing w:after="0"/>
              <w:rPr>
                <w:sz w:val="20"/>
                <w:szCs w:val="20"/>
                <w:color w:val="auto"/>
              </w:rPr>
            </w:pPr>
            <w:r>
              <w:rPr>
                <w:rFonts w:ascii="Arial" w:cs="Arial" w:eastAsia="Arial" w:hAnsi="Arial"/>
                <w:sz w:val="18"/>
                <w:szCs w:val="18"/>
                <w:color w:val="auto"/>
              </w:rPr>
              <w:t>Gross Loan Value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1,052,921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1,193,669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gross loan value</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57"/>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Watch list loans</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1,027,937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1,240,228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Participated portion</w:t>
            </w:r>
          </w:p>
        </w:tc>
        <w:tc>
          <w:tcPr>
            <w:tcW w:w="22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172,128</w:t>
            </w:r>
          </w:p>
        </w:tc>
        <w:tc>
          <w:tcPr>
            <w:tcW w:w="18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375,179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Loan Value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1,200,065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1,615,407</w:t>
            </w:r>
          </w:p>
        </w:tc>
        <w:tc>
          <w:tcPr>
            <w:tcW w:w="0" w:type="dxa"/>
            <w:vAlign w:val="bottom"/>
          </w:tcPr>
          <w:p>
            <w:pPr>
              <w:spacing w:after="0"/>
              <w:rPr>
                <w:sz w:val="1"/>
                <w:szCs w:val="1"/>
                <w:color w:val="auto"/>
              </w:rPr>
            </w:pPr>
          </w:p>
        </w:tc>
      </w:tr>
      <w:tr>
        <w:trPr>
          <w:trHeight w:val="457"/>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Reserve for loan losses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252,884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217,910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gross loan value</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As a percentage of non-performing loans(1)</w:t>
            </w:r>
          </w:p>
        </w:tc>
        <w:tc>
          <w:tcPr>
            <w:tcW w:w="22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real estate owned</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Carrying value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284,134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128,558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-2777490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-2777490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-2777490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-2777490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-2211705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-2211705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-2211705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-2211705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-1216660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-1216660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-1216660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-1216660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149860</wp:posOffset>
            </wp:positionV>
            <wp:extent cx="105029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20" w:hanging="532"/>
        <w:spacing w:after="0"/>
        <w:tabs>
          <w:tab w:leader="none" w:pos="1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Non-performing loans includes our carrying value and the Fremont CRE participation interest on the associated assets.</w:t>
      </w:r>
    </w:p>
    <w:p>
      <w:pPr>
        <w:spacing w:after="0" w:line="20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i w:val="1"/>
          <w:iCs w:val="1"/>
          <w:color w:val="auto"/>
        </w:rPr>
        <w:t>Non-Performing Loans</w:t>
      </w:r>
      <w:r>
        <w:rPr>
          <w:rFonts w:ascii="Arial" w:cs="Arial" w:eastAsia="Arial" w:hAnsi="Arial"/>
          <w:sz w:val="18"/>
          <w:szCs w:val="18"/>
          <w:color w:val="auto"/>
        </w:rPr>
        <w:t>—All non-performing loans are placed on non-accrual status and income is recognized only upon actual cash receipt. We designate</w:t>
      </w:r>
      <w:r>
        <w:rPr>
          <w:rFonts w:ascii="Arial" w:cs="Arial" w:eastAsia="Arial" w:hAnsi="Arial"/>
          <w:sz w:val="18"/>
          <w:szCs w:val="18"/>
          <w:i w:val="1"/>
          <w:iCs w:val="1"/>
          <w:color w:val="auto"/>
        </w:rPr>
        <w:t xml:space="preserve"> </w:t>
      </w:r>
      <w:r>
        <w:rPr>
          <w:rFonts w:ascii="Arial" w:cs="Arial" w:eastAsia="Arial" w:hAnsi="Arial"/>
          <w:sz w:val="18"/>
          <w:szCs w:val="18"/>
          <w:color w:val="auto"/>
        </w:rPr>
        <w:t>loans as non-performing at such time as: (1) management determines the borrower is incapable of, or has ceased efforts towards, curing the cause of an impairment; (2) the loan becomes 90 days delinquent; or (3) the loan has a maturity default. As of March 31, 2008, we had 30 non-performing loans with an aggregate carrying value of $796.9 million and an aggregate gross loan value of $1.05 billion, or 6.5% of total assets. Management believes there is adequate collateral and reserves to support the book values of the loans.</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Watch List Assets</w:t>
      </w:r>
      <w:r>
        <w:rPr>
          <w:rFonts w:ascii="Arial" w:cs="Arial" w:eastAsia="Arial" w:hAnsi="Arial"/>
          <w:sz w:val="16"/>
          <w:szCs w:val="16"/>
          <w:color w:val="auto"/>
        </w:rPr>
        <w:t>—We conduct a quarterly comprehensive credit review, resulting in an individual risk rating being assigned to each asset. This review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enable management to evaluate and proactively manage asset-specific credit issues and identify credit trends on a portfolio-wide basis as an "early warning system." As of March 31, 2008, we had 30 assets on the credit watch list, excluding those assets included in non-performing loans above, with an aggregate carrying value of $1.03 billion and an aggregate gross loan value of $1.20 billion, or 9.2% of total gross loan value.</w:t>
      </w:r>
    </w:p>
    <w:p>
      <w:pPr>
        <w:spacing w:after="0" w:line="167"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i w:val="1"/>
          <w:iCs w:val="1"/>
          <w:color w:val="auto"/>
        </w:rPr>
        <w:t>Reserve For Loan Losses</w:t>
      </w:r>
      <w:r>
        <w:rPr>
          <w:rFonts w:ascii="Arial" w:cs="Arial" w:eastAsia="Arial" w:hAnsi="Arial"/>
          <w:sz w:val="18"/>
          <w:szCs w:val="18"/>
          <w:color w:val="auto"/>
        </w:rPr>
        <w:t>—During the three months ended March 31, 2008, we added $35.0 million to the reserve for loan losses, which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$89.5 million of provisioning for loan losses reduced by $54.5 million of charge-offs. The reserve is generally increased through the provision for loan losses, which reduces income in the period recorded and reduced through actual charge-offs.</w:t>
      </w:r>
    </w:p>
    <w:p>
      <w:pPr>
        <w:spacing w:after="0" w:line="194" w:lineRule="exact"/>
        <w:rPr>
          <w:sz w:val="20"/>
          <w:szCs w:val="20"/>
          <w:color w:val="auto"/>
        </w:rPr>
      </w:pPr>
    </w:p>
    <w:p>
      <w:pPr>
        <w:jc w:val="both"/>
        <w:ind w:right="320" w:firstLine="348"/>
        <w:spacing w:after="0" w:line="306" w:lineRule="auto"/>
        <w:rPr>
          <w:sz w:val="20"/>
          <w:szCs w:val="20"/>
          <w:color w:val="auto"/>
        </w:rPr>
      </w:pPr>
      <w:r>
        <w:rPr>
          <w:rFonts w:ascii="Arial" w:cs="Arial" w:eastAsia="Arial" w:hAnsi="Arial"/>
          <w:sz w:val="16"/>
          <w:szCs w:val="16"/>
          <w:color w:val="auto"/>
        </w:rPr>
        <w:t>The reserve for loan losses includes an asset-specific component and a formula-based component. As of March 31, 2008, we had $89.9 million of asset-specific reserves related to twelve non-performing loans. A reserve is established for a non-performing loan when the estimated fair value of the loan is lower than the carrying value of the loan. All of our non-performing loans were tested for impairment as of March 31, 2008.</w:t>
      </w:r>
    </w:p>
    <w:p>
      <w:pPr>
        <w:spacing w:after="0" w:line="16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formula-based general reserve was $163.0 million on March 31, 2008. During the three months ended March 31, 2008, we have increased reserves on our historical portfolio to reflect the continued deterioration in the overall credit markets and its impact on our portfolio. Reserves have also been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right="120"/>
        <w:spacing w:after="0" w:line="298" w:lineRule="auto"/>
        <w:rPr>
          <w:sz w:val="20"/>
          <w:szCs w:val="20"/>
          <w:color w:val="auto"/>
        </w:rPr>
      </w:pPr>
      <w:r>
        <w:rPr>
          <w:rFonts w:ascii="Arial" w:cs="Arial" w:eastAsia="Arial" w:hAnsi="Arial"/>
          <w:sz w:val="16"/>
          <w:szCs w:val="16"/>
          <w:color w:val="auto"/>
        </w:rPr>
        <w:t>provisioned for growth in the portfolio and for newly funded commitments in the recently acquired loan portfolio. Required balances for this reserve are derived from probabilities of principal loss and loss given default estimates assigned to the portfolio during the Company's quarterly internal risk rating assessment. Probabilities of principal loss and severity factors are based on industry and/or internal experience and may be adjusted for significant factors that, based on the Company's judgment, impact the collectibility of the loans as of the balance sheet date.</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Other Real Estate Owned</w:t>
      </w:r>
      <w:r>
        <w:rPr>
          <w:rFonts w:ascii="Arial" w:cs="Arial" w:eastAsia="Arial" w:hAnsi="Arial"/>
          <w:sz w:val="18"/>
          <w:szCs w:val="18"/>
          <w:color w:val="auto"/>
        </w:rPr>
        <w:t>—During the three months ended March 31, 2008, we acquired by foreclosure, or by deed-in-lieu of foreclosure, property valued at</w:t>
      </w:r>
      <w:r>
        <w:rPr>
          <w:rFonts w:ascii="Arial" w:cs="Arial" w:eastAsia="Arial" w:hAnsi="Arial"/>
          <w:sz w:val="18"/>
          <w:szCs w:val="18"/>
          <w:i w:val="1"/>
          <w:iCs w:val="1"/>
          <w:color w:val="auto"/>
        </w:rPr>
        <w:t xml:space="preserve"> </w:t>
      </w:r>
      <w:r>
        <w:rPr>
          <w:rFonts w:ascii="Arial" w:cs="Arial" w:eastAsia="Arial" w:hAnsi="Arial"/>
          <w:sz w:val="18"/>
          <w:szCs w:val="18"/>
          <w:color w:val="auto"/>
        </w:rPr>
        <w:t>$155.1 million. The carrying value of the three loans that these properties collateralized at the time we took title was $191.6 million. The transfer of these assets from loans to OREO resulted in $36.5 million in charge-offs against the reserve for loan losses.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Gross Loan Value</w:t>
      </w:r>
      <w:r>
        <w:rPr>
          <w:rFonts w:ascii="Arial" w:cs="Arial" w:eastAsia="Arial" w:hAnsi="Arial"/>
          <w:sz w:val="18"/>
          <w:szCs w:val="18"/>
          <w:color w:val="auto"/>
        </w:rPr>
        <w:t>—Gross Loan Value of a loan is computed by adding iStar's carrying value of the loan and the portion of the loan that is owned by Fremont</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loan participation agreement. It represents what the carrying value of the loan would have been if the loan participation had not occurred. Under the terms of the participation, Fremont will receive 70% of all loan principal payments, including principal that iStar has funded. Therefore, iStar is in the first loss position and we believe that presentation of the Gross Loan Value is more relevant than a presentation of our carrying value when discussing our risk of loss on the loans in the Fremont CRE Portfolio.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require significant capital to fund our investment activities and operating expenses. While the distribution requirements under the REIT provisions of the Code limit our ability to retain earnings and thereby replenish or increase capital committed to our operations, we believe we have sufficient access to capital resources to fund our existing business plan, which includes our real estate and corporate lending and corporate tenant leasing businesses. Our capital sources include cash flow from operations, borrowings under lines of credit, additional term borrowings, unsecured corporate debt financing, financings secured by our assets, trust preferred debt, and the issuance of common, convertible and/or preferred equity securities. Further, we may acquire other businesses or assets using our capital stock, cash or a combination thereof.</w:t>
      </w:r>
    </w:p>
    <w:p>
      <w:pPr>
        <w:spacing w:after="0" w:line="174"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Recently, liquidity in the capital markets has been constrained, increasing our cost of funds and limiting our access to the unsecured debt markets—our primary source of debt financing. Over the next several years, we have unfunded commitments related to our loans totaling $5.00 billion. We expect to fund approximately $2.19 billion of this amount throughout the remainder of 2008.</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During the quarter, we completed $353.3 million of secured financings. In addition, subsequent to quarter end, we completed the sale of our TimberStar Southwest venture, in which we received approximately $400 million of net proceeds and we entered into a $960 million secured financing, from which we received approximately $810 million in proceeds. We used proceeds from both transactions to repay the $1.29 billion balance outstanding on the interim facility we used to acquire Fremont and as a result our only remaining long-term debt obligation in 2008 is $50.3 million of senior notes maturing on August 15, 2008.</w:t>
      </w:r>
    </w:p>
    <w:p>
      <w:pPr>
        <w:spacing w:after="0" w:line="16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expect the proceeds from the financings we have completed so far this year, as well as amounts available under our unsecured and secured credit facilities, amounts we receive from repayments of our existing loan assets and proceeds we receive from certain asset sales, will be sufficient to meet our near-term liquidity needs. However, we will continue to assess the market and consider raising additional liquidity through the issuance of unsecured debt or equity, at a higher cost of funds than our secured financing alternatives, if necessary.</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ability to meet our short and long-term (i.e., beyond one year) liquidity requirements is subject to obtaining additional debt and equity financing. Any decision by our lenders and investors to provide us with financing will depend upon a number of factors, such as our compliance with the terms of existing credit arrangements, our financial performance, our credit rating,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6" w:name="page47"/>
    <w:bookmarkEnd w:id="46"/>
    <w:p>
      <w:pPr>
        <w:ind w:right="180" w:firstLine="348"/>
        <w:spacing w:after="0" w:line="268" w:lineRule="auto"/>
        <w:rPr>
          <w:sz w:val="20"/>
          <w:szCs w:val="20"/>
          <w:color w:val="auto"/>
        </w:rPr>
      </w:pPr>
      <w:r>
        <w:rPr>
          <w:rFonts w:ascii="Arial" w:cs="Arial" w:eastAsia="Arial" w:hAnsi="Arial"/>
          <w:sz w:val="18"/>
          <w:szCs w:val="18"/>
          <w:color w:val="auto"/>
        </w:rPr>
        <w:t>The following table outlines the contractual obligations related to our long-term debt agreements and operating lease obligations as of March 31, 2008. We have no other long-term liabilities that would constitute a contractual obligation.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88"/>
              </w:rPr>
              <w:t>Principal And Interest Payments Due By Period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2-3 Years</w:t>
            </w:r>
          </w:p>
        </w:tc>
        <w:tc>
          <w:tcPr>
            <w:tcW w:w="26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4-5 Years</w:t>
            </w:r>
          </w:p>
        </w:tc>
        <w:tc>
          <w:tcPr>
            <w:tcW w:w="240" w:type="dxa"/>
            <w:vAlign w:val="bottom"/>
          </w:tcPr>
          <w:p>
            <w:pPr>
              <w:spacing w:after="0"/>
              <w:rPr>
                <w:sz w:val="15"/>
                <w:szCs w:val="15"/>
                <w:color w:val="auto"/>
              </w:rPr>
            </w:pP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rPr>
              <w:t>6-10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10 Years</w:t>
            </w: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ind w:left="520"/>
              <w:spacing w:after="0"/>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Long-Term Debt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Obligations(1)</w:t>
            </w: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Unsecured notes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6,632,022</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625,331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1,850,000</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1,750,000</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2,406,691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20"/>
                <w:szCs w:val="20"/>
                <w:color w:val="auto"/>
              </w:rPr>
            </w:pPr>
            <w:r>
              <w:rPr>
                <w:rFonts w:ascii="Arial" w:cs="Arial" w:eastAsia="Arial" w:hAnsi="Arial"/>
                <w:sz w:val="18"/>
                <w:szCs w:val="18"/>
                <w:color w:val="auto"/>
              </w:rPr>
              <w:t>Unsecured revolving credit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facilities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2,822,387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2,822,387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term loans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20"/>
                <w:szCs w:val="20"/>
                <w:color w:val="auto"/>
              </w:rPr>
            </w:pPr>
            <w:r>
              <w:rPr>
                <w:rFonts w:ascii="Arial" w:cs="Arial" w:eastAsia="Arial" w:hAnsi="Arial"/>
                <w:sz w:val="18"/>
                <w:szCs w:val="18"/>
                <w:color w:val="auto"/>
              </w:rPr>
              <w:t>Secured revolving credit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facilities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244,718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244,718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 preferred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2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10,966,653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625,331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2,306,376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5,445,602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2,419,894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169,450</w:t>
            </w:r>
          </w:p>
        </w:tc>
        <w:tc>
          <w:tcPr>
            <w:tcW w:w="0" w:type="dxa"/>
            <w:vAlign w:val="bottom"/>
          </w:tcPr>
          <w:p>
            <w:pPr>
              <w:spacing w:after="0"/>
              <w:rPr>
                <w:sz w:val="1"/>
                <w:szCs w:val="1"/>
                <w:color w:val="auto"/>
              </w:rPr>
            </w:pPr>
          </w:p>
        </w:tc>
      </w:tr>
      <w:tr>
        <w:trPr>
          <w:trHeight w:val="218"/>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Payable(2)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2,613,556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1,018,753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b w:val="1"/>
                <w:bCs w:val="1"/>
                <w:color w:val="auto"/>
              </w:rPr>
              <w:t>Operating Lease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20"/>
                <w:szCs w:val="20"/>
                <w:color w:val="auto"/>
              </w:rPr>
            </w:pPr>
            <w:r>
              <w:rPr>
                <w:rFonts w:ascii="Arial" w:cs="Arial" w:eastAsia="Arial" w:hAnsi="Arial"/>
                <w:sz w:val="18"/>
                <w:szCs w:val="18"/>
                <w:b w:val="1"/>
                <w:bCs w:val="1"/>
                <w:color w:val="auto"/>
              </w:rPr>
              <w:t>Obligations(3)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286,771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103,444</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Total(4)</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13,866,980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1,219,647</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3,366,697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6,041,867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2,836,726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-2990215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-2990215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-2647315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-2647315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-2647315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-2647315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-2647315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-2647315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-2647315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-2647315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-2647315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-2647315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-2647315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-2647315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-1026160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-1026160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-1026160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-1026160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-1026160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-1026160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-1026160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-1026160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-1026160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-1026160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-1026160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-323215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-323215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-323215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-323215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-323215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-323215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-323215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our option.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All variable rate debt assumes a 30-day LIBOR rate of 2.70% (the 30-day LIBOR rate at March 31,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also have a $1.0 million letter of credit outstanding as security for a corporate office lease.</w:t>
      </w:r>
    </w:p>
    <w:p>
      <w:pPr>
        <w:spacing w:after="0" w:line="122" w:lineRule="exact"/>
        <w:rPr>
          <w:rFonts w:ascii="Arial" w:cs="Arial" w:eastAsia="Arial" w:hAnsi="Arial"/>
          <w:sz w:val="14"/>
          <w:szCs w:val="14"/>
          <w:color w:val="auto"/>
        </w:rPr>
      </w:pPr>
    </w:p>
    <w:p>
      <w:pPr>
        <w:ind w:left="540" w:right="220" w:hanging="532"/>
        <w:spacing w:after="0" w:line="239"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also have letters of credit outstanding totaling $13.9 million as additional collateral for two of our investments. See "Off-Balance Sheet Transactions" below, for a discussion of certain unfunded commitments related to our lending and CTL business.</w:t>
      </w:r>
    </w:p>
    <w:p>
      <w:pPr>
        <w:spacing w:after="0" w:line="19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primary source of short-term funds is an aggregate of $3.42 billion of available credit under our two committed unsecured revolving credit facilities, which includes the amended $2.22 billion facility, maturing in June 2011, as well as a $1.20 billion facility, maturing in June 2012, entered into during the second quarter of 2007. As of March 31, 2008, there was approximately $582.7 million which was immediately available to draw under these facilities at our discretion. In addition, we have a $500.0 million secured revolving credit facility for which availability is based on percentage borrowing base calculations. There was $255.3 million undrawn under the secured credit facility as of March 31, 2008. During the three months ended March 31, 2008, we amended and restated our $500.0 million secured credit facility to allow us to extend the maturity from September 2008 to September 2009.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ind w:left="360"/>
        <w:spacing w:after="0"/>
        <w:rPr>
          <w:sz w:val="20"/>
          <w:szCs w:val="20"/>
          <w:color w:val="auto"/>
        </w:rPr>
      </w:pPr>
      <w:r>
        <w:rPr>
          <w:rFonts w:ascii="Arial" w:cs="Arial" w:eastAsia="Arial" w:hAnsi="Arial"/>
          <w:sz w:val="16"/>
          <w:szCs w:val="16"/>
          <w:i w:val="1"/>
          <w:iCs w:val="1"/>
          <w:color w:val="auto"/>
        </w:rPr>
        <w:t>Unencumbered Assets/Unsecured Debt</w:t>
      </w:r>
      <w:r>
        <w:rPr>
          <w:rFonts w:ascii="Arial" w:cs="Arial" w:eastAsia="Arial" w:hAnsi="Arial"/>
          <w:sz w:val="16"/>
          <w:szCs w:val="16"/>
          <w:color w:val="auto"/>
        </w:rPr>
        <w:t>—The following table shows the ratio of unencumbered assets to unsecured debt at March 31,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(in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42"/>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center"/>
              <w:ind w:right="202"/>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15,028,153</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15,769,061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Unsecured Debt(1)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11,644,219</w:t>
            </w:r>
          </w:p>
        </w:tc>
        <w:tc>
          <w:tcPr>
            <w:tcW w:w="2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12,073,007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-492760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-492760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-492760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-492760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149860</wp:posOffset>
            </wp:positionV>
            <wp:extent cx="65646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20" w:hanging="532"/>
        <w:spacing w:after="0"/>
        <w:tabs>
          <w:tab w:leader="none" w:pos="1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Note 8 to our Consolidated Financial Statements for a more detailed description of our unsecured debt.</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Capital Markets Activity</w:t>
      </w:r>
      <w:r>
        <w:rPr>
          <w:rFonts w:ascii="Arial" w:cs="Arial" w:eastAsia="Arial" w:hAnsi="Arial"/>
          <w:sz w:val="18"/>
          <w:szCs w:val="18"/>
          <w:color w:val="auto"/>
        </w:rPr>
        <w:t>—In March 2008, we repaid $570 million aggregate principal amount of both fixed and floating rate Senior Notes.</w:t>
      </w:r>
    </w:p>
    <w:p>
      <w:pPr>
        <w:spacing w:after="0" w:line="225"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Other Financing Activity</w:t>
      </w:r>
      <w:r>
        <w:rPr>
          <w:rFonts w:ascii="Arial" w:cs="Arial" w:eastAsia="Arial" w:hAnsi="Arial"/>
          <w:sz w:val="16"/>
          <w:szCs w:val="16"/>
          <w:color w:val="auto"/>
        </w:rPr>
        <w:t>—In March 2008, we entered into a $300 million senior secured term loan maturing in March 2009. Borrowings under this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bear interest at a rate of LIBOR + 2.50% and are collateralized by investments included in our loans and other lending investments portfolio.</w:t>
      </w:r>
    </w:p>
    <w:p>
      <w:pPr>
        <w:spacing w:after="0" w:line="134"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Also during the three months ended March 31, 2008, we closed on a $53.3 million secured term note maturing in March 2011. This note is secured by four assets in our Corporate Tenant Lease portfolio and bears interest at LIBOR + 1.65%.</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2008, future scheduled maturities of outstanding long-term debt obligations are as follows (in thousands)(1):</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nine months)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2009</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1,457,476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2011</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3,072,196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2,646,909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10,966,652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Unamortized debt discounts/premiums, net</w:t>
            </w:r>
          </w:p>
        </w:tc>
        <w:tc>
          <w:tcPr>
            <w:tcW w:w="5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to hedged items (see Note 10)</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24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40" w:type="dxa"/>
            <w:vAlign w:val="bottom"/>
            <w:gridSpan w:val="2"/>
          </w:tcPr>
          <w:p>
            <w:pPr>
              <w:spacing w:after="0"/>
              <w:rPr>
                <w:sz w:val="20"/>
                <w:szCs w:val="20"/>
                <w:color w:val="auto"/>
              </w:rPr>
            </w:pPr>
            <w:r>
              <w:rPr>
                <w:rFonts w:ascii="Arial" w:cs="Arial" w:eastAsia="Arial" w:hAnsi="Arial"/>
                <w:sz w:val="18"/>
                <w:szCs w:val="18"/>
                <w:color w:val="auto"/>
              </w:rPr>
              <w:t>Total long-term debt obligations</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10,922,880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-889000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-889000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149860</wp:posOffset>
            </wp:positionV>
            <wp:extent cx="105029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20" w:hanging="532"/>
        <w:spacing w:after="0"/>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our option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firstLine="351"/>
        <w:spacing w:after="0" w:line="311" w:lineRule="auto"/>
        <w:rPr>
          <w:sz w:val="20"/>
          <w:szCs w:val="20"/>
          <w:color w:val="auto"/>
        </w:rPr>
      </w:pPr>
      <w:r>
        <w:rPr>
          <w:rFonts w:ascii="Arial" w:cs="Arial" w:eastAsia="Arial" w:hAnsi="Arial"/>
          <w:sz w:val="15"/>
          <w:szCs w:val="15"/>
          <w:b w:val="1"/>
          <w:bCs w:val="1"/>
          <w:color w:val="auto"/>
        </w:rPr>
        <w:t>Hedging Activities</w:t>
      </w:r>
      <w:r>
        <w:rPr>
          <w:rFonts w:ascii="Arial" w:cs="Arial" w:eastAsia="Arial" w:hAnsi="Arial"/>
          <w:sz w:val="15"/>
          <w:szCs w:val="15"/>
          <w:color w:val="auto"/>
        </w:rPr>
        <w:t>—We have variable-rate lending assets and variable-rate debt obligations. These assets and liabilities create a natural hedge against</w:t>
      </w:r>
      <w:r>
        <w:rPr>
          <w:rFonts w:ascii="Arial" w:cs="Arial" w:eastAsia="Arial" w:hAnsi="Arial"/>
          <w:sz w:val="15"/>
          <w:szCs w:val="15"/>
          <w:b w:val="1"/>
          <w:bCs w:val="1"/>
          <w:color w:val="auto"/>
        </w:rPr>
        <w:t xml:space="preserve"> </w:t>
      </w:r>
      <w:r>
        <w:rPr>
          <w:rFonts w:ascii="Arial" w:cs="Arial" w:eastAsia="Arial" w:hAnsi="Arial"/>
          <w:sz w:val="15"/>
          <w:szCs w:val="15"/>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the amount of our variable-rate debt obligations exceeds the amount of our variable-rate lending assets, we use derivative instruments to limit the impact of changing interest rates on our net income. We have a policy in place, that is administered by the Audit Committee, which requires us to enter into hedging transactions to mitigate the impact of rising interest rates on our earnings. The policy states that a 100 basis point increase in short-term rates, excluding the impact of interest rate floors and ceilings in certain loan assets, cannot have a greater than 2.5% impact on quarterly earnings. We do not use derivative instruments for speculative purposes. The derivative instruments we use are typically in the form of interest rate swaps and interest rate caps. Interest rate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40"/>
        <w:spacing w:after="0" w:line="259" w:lineRule="auto"/>
        <w:rPr>
          <w:sz w:val="20"/>
          <w:szCs w:val="20"/>
          <w:color w:val="auto"/>
        </w:rPr>
      </w:pPr>
      <w:r>
        <w:rPr>
          <w:rFonts w:ascii="Arial" w:cs="Arial" w:eastAsia="Arial" w:hAnsi="Arial"/>
          <w:sz w:val="18"/>
          <w:szCs w:val="18"/>
          <w:color w:val="auto"/>
        </w:rPr>
        <w:t>swaps effectively can either convert variable-rate debt obligations to fixed-rate debt obligations or convert fixed-rate debt obligations into variable-rate debt obligations. Interest rate caps effectively limit the maximum interest rate payable on variable-rate debt obligations. In addition, we also use derivative instruments to manage our exposure to foreign exchange rate movements.</w:t>
      </w:r>
    </w:p>
    <w:p>
      <w:pPr>
        <w:spacing w:after="0" w:line="194"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primary risks related to our use of derivative instruments are the risks that a counterparty to a hedging arrangement could default on its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 Our hedging strategy is approved and monitored by our Audit Committee on behalf of the Board of Directors and may be changed by the Board of Directors without shareholder approval.</w:t>
      </w:r>
    </w:p>
    <w:p>
      <w:pPr>
        <w:spacing w:after="0" w:line="197"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At March 31, 2008, derivatives with a fair value of $47.6 million were included in other assets and derivatives with a fair value of $19.1 million were included in other liabilities.</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Off-Balance Sheet Transactions</w:t>
      </w:r>
      <w:r>
        <w:rPr>
          <w:rFonts w:ascii="Arial" w:cs="Arial" w:eastAsia="Arial" w:hAnsi="Arial"/>
          <w:sz w:val="16"/>
          <w:szCs w:val="16"/>
          <w:color w:val="auto"/>
        </w:rPr>
        <w:t>—We are not dependent on the use of any off-balance sheet financing arrangements for liquidity. As of March 31, 2008, we</w:t>
      </w:r>
      <w:r>
        <w:rPr>
          <w:rFonts w:ascii="Arial" w:cs="Arial" w:eastAsia="Arial" w:hAnsi="Arial"/>
          <w:sz w:val="16"/>
          <w:szCs w:val="16"/>
          <w:i w:val="1"/>
          <w:iCs w:val="1"/>
          <w:color w:val="auto"/>
        </w:rPr>
        <w:t xml:space="preserve"> </w:t>
      </w:r>
      <w:r>
        <w:rPr>
          <w:rFonts w:ascii="Arial" w:cs="Arial" w:eastAsia="Arial" w:hAnsi="Arial"/>
          <w:sz w:val="16"/>
          <w:szCs w:val="16"/>
          <w:color w:val="auto"/>
        </w:rPr>
        <w:t>had a 46.7% interest in one joint venture accounted for under the equity method that had third-party debt. The TimberStar Southwest joint venture had $1.60 billion of debt outstanding as of March 31, 2008 that has no recourse to us (see Note 6 of the Consolidated Financial Statements).</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March 31, 2008, we had 232 loans with unfunded commitments totaling $4.68 billion, of which $3.86 billion was non-discretionary. In addition, we had $49.8 million of non-discretionary unfunded commitments related to six CTL investments. These commitments generally fall into two categories: (1) pre-approved capital improvement projects; and (2) new or additional construction costs. Upon completion of the improvements or construction, we would receive additional operating lease income from the customers. In addition, we have $12.2 million of non-discretionary unfunded commitments related to 14 existing customers in the form of tenant improvements which were negotiated between the Company and the customers at the commencement of the leases. Further, we had 11 strategic investments with unfunded non-discretionary commitments of $257.4 million.</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Ratings Triggers</w:t>
      </w:r>
      <w:r>
        <w:rPr>
          <w:rFonts w:ascii="Arial" w:cs="Arial" w:eastAsia="Arial" w:hAnsi="Arial"/>
          <w:sz w:val="18"/>
          <w:szCs w:val="18"/>
          <w:color w:val="auto"/>
        </w:rPr>
        <w:t>—The two commited unsecured revolving credit facilities aggregating $3.42 billion that we had in place at March 31, 2008, bear interest at</w:t>
      </w:r>
      <w:r>
        <w:rPr>
          <w:rFonts w:ascii="Arial" w:cs="Arial" w:eastAsia="Arial" w:hAnsi="Arial"/>
          <w:sz w:val="18"/>
          <w:szCs w:val="18"/>
          <w:i w:val="1"/>
          <w:iCs w:val="1"/>
          <w:color w:val="auto"/>
        </w:rPr>
        <w:t xml:space="preserve"> </w:t>
      </w:r>
      <w:r>
        <w:rPr>
          <w:rFonts w:ascii="Arial" w:cs="Arial" w:eastAsia="Arial" w:hAnsi="Arial"/>
          <w:sz w:val="18"/>
          <w:szCs w:val="18"/>
          <w:color w:val="auto"/>
        </w:rPr>
        <w:t>LIBOR + 0.525% per annum based on our senior unsecured credit ratings of BBB from S&amp;P, Baa2 from Moody's and BBB from Fitch Ratings. Our ability to borrow under our unsecured revolving credit facilities is not dependent on our credit ratings.</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Based on our current senior unsecured debt ratings by S&amp;P, Moody's and Fitch, the financial covenants in most series of our publicly held debt securities, including limitations on incurrence of indebtedness and maintenance of unencumbered assets compared to unsecured indebtedness, are not operative. If we were to be downgraded from our current ratings by two of these three rating agencies, these financial covenants would become operative again. However, as of March 31, 2008, we would be in full compliance with these covenants if they were operative.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described above, there are no other ratings triggers in any of our debt instruments or other operating or financial agreements at March 31, 2008.</w:t>
      </w:r>
    </w:p>
    <w:p>
      <w:pPr>
        <w:spacing w:after="0" w:line="24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Transactions with Related Parties</w:t>
      </w:r>
      <w:r>
        <w:rPr>
          <w:rFonts w:ascii="Arial" w:cs="Arial" w:eastAsia="Arial" w:hAnsi="Arial"/>
          <w:sz w:val="18"/>
          <w:szCs w:val="18"/>
          <w:color w:val="auto"/>
        </w:rPr>
        <w:t>—We have substantial investments in minority interests of Oak Hill Advisors, L.P., Oak Hill Credit Alpha MGP, OHSF GP</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II, LLC, Oak Hill Credit Opportunities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right="20"/>
        <w:spacing w:after="0" w:line="298" w:lineRule="auto"/>
        <w:rPr>
          <w:sz w:val="20"/>
          <w:szCs w:val="20"/>
          <w:color w:val="auto"/>
        </w:rPr>
      </w:pPr>
      <w:r>
        <w:rPr>
          <w:rFonts w:ascii="Arial" w:cs="Arial" w:eastAsia="Arial" w:hAnsi="Arial"/>
          <w:sz w:val="16"/>
          <w:szCs w:val="16"/>
          <w:color w:val="auto"/>
        </w:rPr>
        <w:t>MGP, LLC, OHSF GP Partners (Investors), LLC, OHA Finance MGP, LLC, OHA Capital Solutions MGP, LLC and OHA Strategic Credit Fund. (see Note 6 to the Consolidated Financial Statements for more detail). In relation to our investment in these entities, we appointed to our Board of Directors a member that holds a substantial investment in these same eight entities. As of March 31, 2008, the carrying value in these ventures was $183.5 million. We have also invested in eight funds managed by Oak Hill Advisors, L.P., which have a carrying value of $9.4 million as of March 31, 2008.</w:t>
      </w:r>
    </w:p>
    <w:p>
      <w:pPr>
        <w:spacing w:after="0" w:line="167"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i w:val="1"/>
          <w:iCs w:val="1"/>
          <w:color w:val="auto"/>
        </w:rPr>
        <w:t>DRIP/Stock Purchase Plans</w:t>
      </w:r>
      <w:r>
        <w:rPr>
          <w:rFonts w:ascii="Arial" w:cs="Arial" w:eastAsia="Arial" w:hAnsi="Arial"/>
          <w:sz w:val="18"/>
          <w:szCs w:val="18"/>
          <w:color w:val="auto"/>
        </w:rPr>
        <w:t>—During the three months ended March 31, 2008 and 2007, we issued a total of approximately 25,100 shares and 7,400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respectively, through the dividend reinvestment and direct stock purchase plans. Net proceeds during the three months ended March 31, 2008 and 2007 were approximately $0.5 million and $0.4 million, respectively. There are approximately 2.1 million shares available for issuance under the plan as of March 31, 2008</w:t>
      </w:r>
    </w:p>
    <w:p>
      <w:pPr>
        <w:spacing w:after="0" w:line="197"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i w:val="1"/>
          <w:iCs w:val="1"/>
          <w:color w:val="auto"/>
        </w:rPr>
        <w:t>Stock Repurchase Program</w:t>
      </w:r>
      <w:r>
        <w:rPr>
          <w:rFonts w:ascii="Arial" w:cs="Arial" w:eastAsia="Arial" w:hAnsi="Arial"/>
          <w:sz w:val="16"/>
          <w:szCs w:val="16"/>
          <w:color w:val="auto"/>
        </w:rPr>
        <w:t>—During the three months ended March 31, 2008, the Company repurchased 100,00 shares of its outstanding common stock for</w:t>
      </w:r>
      <w:r>
        <w:rPr>
          <w:rFonts w:ascii="Arial" w:cs="Arial" w:eastAsia="Arial" w:hAnsi="Arial"/>
          <w:sz w:val="16"/>
          <w:szCs w:val="16"/>
          <w:i w:val="1"/>
          <w:iCs w:val="1"/>
          <w:color w:val="auto"/>
        </w:rPr>
        <w:t xml:space="preserve"> </w:t>
      </w:r>
      <w:r>
        <w:rPr>
          <w:rFonts w:ascii="Arial" w:cs="Arial" w:eastAsia="Arial" w:hAnsi="Arial"/>
          <w:sz w:val="16"/>
          <w:szCs w:val="16"/>
          <w:color w:val="auto"/>
        </w:rPr>
        <w:t>a cost of approximately $1.5 million at an average cost per share of $15.39. There were no shares repurchased during the three months ended March 31, 2007. As of March 31, 2008, there were approximately 1.6 million shares available to purchase under our 5.0 million share repurchase program.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70"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 summary of our critical accounting policies is included in our Annual Report on Form 10-K for the year ended December 31, 2007 in Management's Discussion and Analysis of Financial Condition. There have been no significant changes to our policies during 2008 except for the adoption of SFAS No. 157, as noted below. Management has reviewed and evaluated these critical accounting estimates and believes they are appropriate.</w:t>
      </w:r>
    </w:p>
    <w:p>
      <w:pPr>
        <w:spacing w:after="0" w:line="155"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Fair Value of Assets and Liabilities</w:t>
      </w:r>
      <w:r>
        <w:rPr>
          <w:rFonts w:ascii="Arial" w:cs="Arial" w:eastAsia="Arial" w:hAnsi="Arial"/>
          <w:sz w:val="16"/>
          <w:szCs w:val="16"/>
          <w:color w:val="auto"/>
        </w:rPr>
        <w:t>—On January 1, 2008, we adopted SFAS No. 157 which defines fair value as the price that would be received to sell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 or paid to transfer the financial liability in an orderly transaction between market participants at the measurement date.</w:t>
      </w:r>
    </w:p>
    <w:p>
      <w:pPr>
        <w:spacing w:after="0" w:line="134"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 degree of management judgment involved in determining the fair value of assets and liabilities is dependent upon the availability of quoted market prices or observable market parameters. For financial instruments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15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See Note 15 to the Consolidated Financial Statements for a complete discussion on our use of fair valuation of financial assets and financial liabilities and the related measurement techniques.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There have been no material changes in Quantitative and Qualitative Disclosures About Market Risk for the first quarter of 2008 as compared to the disclosures included in our Annual Report on Form 10-K for the year ended December 31, 2007. See discussion of quantitative and qualitative disclosures about market risk under "</w:t>
      </w:r>
      <w:r>
        <w:rPr>
          <w:rFonts w:ascii="Arial" w:cs="Arial" w:eastAsia="Arial" w:hAnsi="Arial"/>
          <w:sz w:val="16"/>
          <w:szCs w:val="16"/>
          <w:i w:val="1"/>
          <w:iCs w:val="1"/>
          <w:color w:val="auto"/>
        </w:rPr>
        <w:t>Item 2—Management's Discussion and Analysis of Financial Condition and Results of Operations—Quantitative and Qualitative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Market Risk</w:t>
      </w:r>
      <w:r>
        <w:rPr>
          <w:rFonts w:ascii="Arial" w:cs="Arial" w:eastAsia="Arial" w:hAnsi="Arial"/>
          <w:sz w:val="16"/>
          <w:szCs w:val="16"/>
          <w:color w:val="auto"/>
        </w:rPr>
        <w:t>" included in our Annual Report on Form 10-K for the year ended December 31, 2007.</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1" w:name="page52"/>
    <w:bookmarkEnd w:id="51"/>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17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 Based upon that evaluation, the Chief Executive Officer and Chief Financial Officer concluded that the Company's disclosure controls and procedures are effective to ensure that the information required to be disclosed by the Company in the reports that it files or submits under the Securities Exchange Act of 1934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72"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(This page has been left blank intentionally.)</w:t>
      </w:r>
    </w:p>
    <w:p>
      <w:pPr>
        <w:sectPr>
          <w:pgSz w:w="11900" w:h="16838" w:orient="portrait"/>
          <w:cols w:equalWidth="0" w:num="1">
            <w:col w:w="9019"/>
          </w:cols>
          <w:pgMar w:left="1440" w:top="13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53" w:name="page54"/>
    <w:bookmarkEnd w:id="53"/>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Arnold v. iStar Financial Inc., et al.</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April 16, 2008, Lee Arnold, filed a Verified Shareholder Derivative Complaint in the United States District Court for the Southern District of New York against the Company, as nominal defendant, and current and former members of the Board of Directors and several current executive officers alleging breach of fiduciary duties, waste of corporate assets, unjust enrichment and violations of the Securities Exchange Act of 1934, as amended, resulting from an alleged failure to disclose the impact of the Company's acquisition of the commercial real estate business and portfolio of Fremont Investment and Loan. Plaintiff alleges that this conduct has caused substantial monetary losses to the Company and seeks restitution. The Company and the individual defendants believe these claims have no merit and intend to defend themselves vigorously against the 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 Litigations</w:t>
      </w:r>
    </w:p>
    <w:p>
      <w:pPr>
        <w:spacing w:after="0" w:line="225"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Two purported class action lawsuits are pending in the United States District Court for the Southern District of New York making substantially similar claims. On April 14, 2008, Citiline Holdings, Inc. filed suit on behalf of purchasers of common stock in our December 13, 2007 public offering. The complaint names the Company and certain of its current executive officers as defendants. The complaint alleges violations of the Securities Act of 1933, as amended, in connection with the December 2007 public offering. The plaintiff seeks compensatory damages plus interest and attorneys fees and rescission of the public offering.</w:t>
      </w:r>
    </w:p>
    <w:p>
      <w:pPr>
        <w:spacing w:after="0" w:line="197"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On April 24, 2008, Dennis Christenson filed suit on behalf of purchasers of our common stock on our December 13, 2007 public offering. The complaint names the Company and certain of its current executive officers as defendants. The complaint alleges violations of the Securities Act of 1933, as amended, in connection with the December 2007 public offering. The plaintiff seeks compensatory damages plus interest and attorneys fees and rescission of the public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and the individual defendants believe these suits have no merit and intend to defend themselves vigorously against the actions.</w:t>
      </w:r>
    </w:p>
    <w:p>
      <w:pPr>
        <w:spacing w:after="0" w:line="24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changes from those disclosed in the Company's Annual Report on Form 10-K for the fiscal year ended December 31, 2007.</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quarterly period ended March 31, 2008: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220" w:type="dxa"/>
            <w:vAlign w:val="bottom"/>
          </w:tcPr>
          <w:p>
            <w:pPr>
              <w:spacing w:after="0"/>
              <w:rPr>
                <w:sz w:val="12"/>
                <w:szCs w:val="12"/>
                <w:color w:val="auto"/>
              </w:rPr>
            </w:pPr>
          </w:p>
        </w:tc>
        <w:tc>
          <w:tcPr>
            <w:tcW w:w="2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220" w:type="dxa"/>
            <w:vAlign w:val="bottom"/>
          </w:tcPr>
          <w:p>
            <w:pPr>
              <w:spacing w:after="0"/>
              <w:rPr>
                <w:sz w:val="12"/>
                <w:szCs w:val="12"/>
                <w:color w:val="auto"/>
              </w:rPr>
            </w:pPr>
          </w:p>
        </w:tc>
        <w:tc>
          <w:tcPr>
            <w:tcW w:w="2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(or Units)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 Price 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220" w:type="dxa"/>
            <w:vAlign w:val="bottom"/>
          </w:tcPr>
          <w:p>
            <w:pPr>
              <w:spacing w:after="0"/>
              <w:rPr>
                <w:sz w:val="12"/>
                <w:szCs w:val="12"/>
                <w:color w:val="auto"/>
              </w:rPr>
            </w:pPr>
          </w:p>
        </w:tc>
        <w:tc>
          <w:tcPr>
            <w:tcW w:w="21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per Share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220" w:type="dxa"/>
            <w:vAlign w:val="bottom"/>
          </w:tcPr>
          <w:p>
            <w:pPr>
              <w:spacing w:after="0"/>
              <w:rPr>
                <w:sz w:val="12"/>
                <w:szCs w:val="12"/>
                <w:color w:val="auto"/>
              </w:rPr>
            </w:pPr>
          </w:p>
        </w:tc>
        <w:tc>
          <w:tcPr>
            <w:tcW w:w="2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(or Unit)</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220" w:type="dxa"/>
            <w:vAlign w:val="bottom"/>
          </w:tcPr>
          <w:p>
            <w:pPr>
              <w:spacing w:after="0"/>
              <w:rPr>
                <w:sz w:val="15"/>
                <w:szCs w:val="15"/>
                <w:color w:val="auto"/>
              </w:rPr>
            </w:pP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Plans or Programs(1)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March 1, 2008–March 31, 2008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Explanatory Note:</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-457835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-457835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-457835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-457835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-457835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-457835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-457835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-457835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wp:posOffset>
            </wp:positionV>
            <wp:extent cx="105029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right="140" w:hanging="532"/>
        <w:spacing w:after="0" w:line="239"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1999, the Company's Board of Directors authorized the repurchase, from time to time, on the open market or otherwise, of up to 5.0 million shares of its Common Stock at prevailing market prices or at negotiated prices. There is no fixed expiration date to this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25"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10.1 Form of restricted stock unit award agreement.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31.0 Certifications pursuant to Section 302 of the Sarbanes-Oxley 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32.0 Certifications pursuant to Section 906 of the Sarbanes-Oxley Act.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Registrant</w:t>
      </w:r>
    </w:p>
    <w:p>
      <w:pPr>
        <w:spacing w:after="0" w:line="219" w:lineRule="exact"/>
        <w:rPr>
          <w:sz w:val="20"/>
          <w:szCs w:val="20"/>
          <w:color w:val="auto"/>
        </w:rPr>
      </w:pPr>
    </w:p>
    <w:p>
      <w:pPr>
        <w:spacing w:after="0"/>
        <w:tabs>
          <w:tab w:leader="none" w:pos="7660" w:val="left"/>
        </w:tabs>
        <w:rPr>
          <w:sz w:val="20"/>
          <w:szCs w:val="20"/>
          <w:color w:val="auto"/>
        </w:rPr>
      </w:pPr>
      <w:r>
        <w:rPr>
          <w:rFonts w:ascii="Arial" w:cs="Arial" w:eastAsia="Arial" w:hAnsi="Arial"/>
          <w:sz w:val="18"/>
          <w:szCs w:val="18"/>
          <w:color w:val="auto"/>
        </w:rPr>
        <w:t>Date May 9, 2008</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77470</wp:posOffset>
            </wp:positionV>
            <wp:extent cx="35547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6"/>
          <w:szCs w:val="16"/>
          <w:i w:val="1"/>
          <w:iCs w:val="1"/>
          <w:color w:val="auto"/>
        </w:rPr>
        <w:t>Chairman of the Board of Directors and Chief Executive Officer (Principal</w:t>
      </w:r>
    </w:p>
    <w:p>
      <w:pPr>
        <w:spacing w:after="0" w:line="32"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executive officer)</w:t>
      </w:r>
    </w:p>
    <w:p>
      <w:pPr>
        <w:spacing w:after="0" w:line="219"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Date: May 9, 2008</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77470</wp:posOffset>
            </wp:positionV>
            <wp:extent cx="35547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Catherine D. Rice</w:t>
      </w:r>
    </w:p>
    <w:p>
      <w:pPr>
        <w:spacing w:after="0" w:line="15"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Financial Officer (Principal</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financial and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iStar Financial Inc. Index to Form 10-Q</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1. CONSOLIDATED FINANCIAL INFORMATION</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I. Financial Statements</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iStar Financial Inc. Consolidated Balance Sheets (In thousands, except per share data) (unaudited)</w:t>
        </w:r>
      </w:hyperlink>
    </w:p>
    <w:p>
      <w:pPr>
        <w:spacing w:after="0" w:line="38" w:lineRule="exact"/>
        <w:rPr>
          <w:sz w:val="20"/>
          <w:szCs w:val="20"/>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iStar Financial Inc. Consolidated Statements of Operations (In thousands, except per share data) (unaudited)</w:t>
        </w:r>
      </w:hyperlink>
    </w:p>
    <w:p>
      <w:pPr>
        <w:spacing w:after="0" w:line="44"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iStar Financial Inc. Consolidated Statements of Cash Flows (In thousands)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iStar Financial Inc. Notes to Consolidated Financial Statements</w:t>
        </w:r>
      </w:hyperlink>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Item 2. Management's Discussion and Analysis of Financial Condition and Results of Operations</w:t>
        </w:r>
      </w:hyperlink>
    </w:p>
    <w:p>
      <w:pPr>
        <w:spacing w:after="0" w:line="248" w:lineRule="exact"/>
        <w:rPr>
          <w:sz w:val="20"/>
          <w:szCs w:val="20"/>
          <w:color w:val="auto"/>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3.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4. CONTROLS AND PROCEDURES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PART II. OTHER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1A. RISK FACTORS</w:t>
        </w:r>
      </w:hyperlink>
    </w:p>
    <w:p>
      <w:pPr>
        <w:spacing w:after="0" w:line="9" w:lineRule="exact"/>
        <w:rPr>
          <w:sz w:val="20"/>
          <w:szCs w:val="20"/>
          <w:color w:val="auto"/>
        </w:rPr>
      </w:pPr>
    </w:p>
    <w:p>
      <w:pPr>
        <w:ind w:left="540" w:right="3099"/>
        <w:spacing w:after="0" w:line="250"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ITEM 2. UNREGISTERED SALES OF EQUITY SECURITIES AND USE OF PROCEEDS</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ITEM 3. DEFAULTS UPON SENIOR SECURITIES</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 SUBMISSION OF MATTERS TO A VOTE OF SECURITY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5. OTHER INFORMATION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6.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SIGNATURES</w:t>
        </w:r>
      </w:hyperlink>
    </w:p>
    <w:p>
      <w:pPr>
        <w:sectPr>
          <w:pgSz w:w="11900" w:h="16838" w:orient="portrait"/>
          <w:cols w:equalWidth="0" w:num="1">
            <w:col w:w="10219"/>
          </w:cols>
          <w:pgMar w:left="240" w:top="820"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VESTING)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RESTRICTED STOCK UNIT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iStar Financial Inc.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and the Participant identified on the Notice of Grant of Award attached hereto (the “</w:t>
      </w:r>
      <w:r>
        <w:rPr>
          <w:rFonts w:ascii="Arial" w:cs="Arial" w:eastAsia="Arial" w:hAnsi="Arial"/>
          <w:sz w:val="17"/>
          <w:szCs w:val="17"/>
          <w:u w:val="single" w:color="auto"/>
          <w:color w:val="auto"/>
        </w:rPr>
        <w:t>Notice</w:t>
      </w:r>
      <w:r>
        <w:rPr>
          <w:rFonts w:ascii="Arial" w:cs="Arial" w:eastAsia="Arial" w:hAnsi="Arial"/>
          <w:sz w:val="17"/>
          <w:szCs w:val="17"/>
          <w:color w:val="auto"/>
        </w:rPr>
        <w:t>”), effective as of January 18, 2008 (the “</w:t>
      </w:r>
      <w:r>
        <w:rPr>
          <w:rFonts w:ascii="Arial" w:cs="Arial" w:eastAsia="Arial" w:hAnsi="Arial"/>
          <w:sz w:val="17"/>
          <w:szCs w:val="17"/>
          <w:u w:val="single" w:color="auto"/>
          <w:color w:val="auto"/>
        </w:rPr>
        <w:t>Award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Date</w:t>
      </w:r>
      <w:r>
        <w:rPr>
          <w:rFonts w:ascii="Arial" w:cs="Arial" w:eastAsia="Arial" w:hAnsi="Arial"/>
          <w:sz w:val="16"/>
          <w:szCs w:val="16"/>
          <w:color w:val="auto"/>
        </w:rPr>
        <w:t>”), and sets forth the general terms and conditions of an award of restricted stock units (“</w:t>
      </w:r>
      <w:r>
        <w:rPr>
          <w:rFonts w:ascii="Arial" w:cs="Arial" w:eastAsia="Arial" w:hAnsi="Arial"/>
          <w:sz w:val="16"/>
          <w:szCs w:val="16"/>
          <w:u w:val="single" w:color="auto"/>
          <w:color w:val="auto"/>
        </w:rPr>
        <w:t>Units</w:t>
      </w:r>
      <w:r>
        <w:rPr>
          <w:rFonts w:ascii="Arial" w:cs="Arial" w:eastAsia="Arial" w:hAnsi="Arial"/>
          <w:sz w:val="16"/>
          <w:szCs w:val="16"/>
          <w:color w:val="auto"/>
        </w:rPr>
        <w:t>”) relating to shares of Common Stock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Shares</w:t>
      </w:r>
      <w:r>
        <w:rPr>
          <w:rFonts w:ascii="Arial" w:cs="Arial" w:eastAsia="Arial" w:hAnsi="Arial"/>
          <w:sz w:val="17"/>
          <w:szCs w:val="17"/>
          <w:color w:val="auto"/>
        </w:rPr>
        <w:t>”) made to the Participant, pursuant to the iStar Financial Inc. 2006 Long-Term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Except as otherwise defined herein,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used in this Agreement have the respective meanings set forth in the Plan. The Plan is hereby incorporated herein by reference as though 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forth herein in its entirety.</w:t>
      </w:r>
    </w:p>
    <w:p>
      <w:pPr>
        <w:spacing w:after="0" w:line="211" w:lineRule="exact"/>
        <w:rPr>
          <w:sz w:val="20"/>
          <w:szCs w:val="20"/>
          <w:color w:val="auto"/>
        </w:rPr>
      </w:pPr>
    </w:p>
    <w:p>
      <w:pPr>
        <w:ind w:left="1320" w:hanging="664"/>
        <w:spacing w:after="0"/>
        <w:tabs>
          <w:tab w:leader="none" w:pos="132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Award</w:t>
      </w:r>
      <w:r>
        <w:rPr>
          <w:rFonts w:ascii="Arial" w:cs="Arial" w:eastAsia="Arial" w:hAnsi="Arial"/>
          <w:sz w:val="17"/>
          <w:szCs w:val="17"/>
          <w:color w:val="auto"/>
        </w:rPr>
        <w:t>. The number of Units, representing the right to receive an equivalent number of Shares, is set forth in the attached Notice.</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67"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Units shall vest on the Vesting Date if (i) the Total Shareholder Return on the Shares during the Measurement Period equals or exceeds the Threshold Return, and (ii) the Participant’s employment with an iStar Entity has not terminated before the Vesting Date. Any Units that do not vest on the Vesting Date shall be forfeited.</w:t>
      </w:r>
    </w:p>
    <w:p>
      <w:pPr>
        <w:spacing w:after="0" w:line="181" w:lineRule="exact"/>
        <w:rPr>
          <w:rFonts w:ascii="Arial" w:cs="Arial" w:eastAsia="Arial" w:hAnsi="Arial"/>
          <w:sz w:val="18"/>
          <w:szCs w:val="18"/>
          <w:color w:val="auto"/>
        </w:rPr>
      </w:pPr>
    </w:p>
    <w:p>
      <w:pPr>
        <w:ind w:left="660" w:right="60" w:firstLine="645"/>
        <w:spacing w:after="0" w:line="257" w:lineRule="auto"/>
        <w:tabs>
          <w:tab w:leader="none" w:pos="1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Upon the vesting of Units, but in no event later than the March 15th following the year in which the Vesting Date occurs, the Company shall deliver to the Participant a number of Shares equal to the number of vested Units. The Company shall withhold Shares in an amount necessary to satisfy any applicable income taxes and other withholding obligations due in connection with the vesting of the Units. Promptly following the Vesting Date, the net amount of Shares shall be issued and delivered to Participant, free of any restrictive legend or other restrictions, in certificated form or otherwise as Participant may direct.</w:t>
      </w:r>
    </w:p>
    <w:p>
      <w:pPr>
        <w:spacing w:after="0" w:line="188" w:lineRule="exact"/>
        <w:rPr>
          <w:rFonts w:ascii="Arial" w:cs="Arial" w:eastAsia="Arial" w:hAnsi="Arial"/>
          <w:sz w:val="18"/>
          <w:szCs w:val="18"/>
          <w:color w:val="auto"/>
        </w:rPr>
      </w:pPr>
    </w:p>
    <w:p>
      <w:pPr>
        <w:ind w:left="660" w:right="20" w:firstLine="645"/>
        <w:spacing w:after="0" w:line="264" w:lineRule="auto"/>
        <w:tabs>
          <w:tab w:leader="none" w:pos="1967"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the event that Participant voluntarily terminates employment with an iStar Entity, or Participant’s employment is terminated by an iStar Entity either (i) for Cause at any time or (ii) without Cause prior to January 1, 2010, any unvested Units shall be forfeited automatically as of the date of termination of employment.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terms shall have the following meanings: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2600" w:right="20" w:hanging="647"/>
        <w:spacing w:after="0" w:line="259" w:lineRule="auto"/>
        <w:tabs>
          <w:tab w:leader="none" w:pos="2621"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Any actions or omissions representing fraudulent or willful misconduct against the Company, any of its affiliates or any iStar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act or failure to act shall be considered “willful” unless it is done, or omitted to be done, without reasonable belief that such action or omission was in the best interest of the Company or the iStar Entity that then employs Participant;</w:t>
      </w:r>
    </w:p>
    <w:p>
      <w:pPr>
        <w:spacing w:after="0" w:line="186" w:lineRule="exact"/>
        <w:rPr>
          <w:rFonts w:ascii="Arial" w:cs="Arial" w:eastAsia="Arial" w:hAnsi="Arial"/>
          <w:sz w:val="18"/>
          <w:szCs w:val="18"/>
          <w:color w:val="auto"/>
        </w:rPr>
      </w:pPr>
    </w:p>
    <w:p>
      <w:pPr>
        <w:ind w:left="2600" w:right="140" w:hanging="647"/>
        <w:spacing w:after="0" w:line="277" w:lineRule="auto"/>
        <w:tabs>
          <w:tab w:leader="none" w:pos="2631"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conviction of a felony (unless such felony solely involves traffic violations or unless such felony is reversed, overturned or vacated on appeal);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2600" w:right="380" w:hanging="647"/>
        <w:spacing w:after="0" w:line="312" w:lineRule="auto"/>
        <w:tabs>
          <w:tab w:leader="none" w:pos="26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any grossly negligent action or omission or action or omission representing reckless disregard of any of Participant’s duties and obligations as an employee or otherwise to the Company, its affiliates or any iStar Entity if such action or omission results in materially adverse consequences for the Company, its affiliates or any iStar Entity;</w:t>
      </w:r>
    </w:p>
    <w:p>
      <w:pPr>
        <w:spacing w:after="0" w:line="146" w:lineRule="exact"/>
        <w:rPr>
          <w:rFonts w:ascii="Arial" w:cs="Arial" w:eastAsia="Arial" w:hAnsi="Arial"/>
          <w:sz w:val="16"/>
          <w:szCs w:val="16"/>
          <w:color w:val="auto"/>
        </w:rPr>
      </w:pPr>
    </w:p>
    <w:p>
      <w:pPr>
        <w:ind w:left="2600" w:right="120" w:hanging="647"/>
        <w:spacing w:after="0" w:line="257" w:lineRule="auto"/>
        <w:tabs>
          <w:tab w:leader="none" w:pos="2617"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a knowing action or knowing omission to take any action which would place the Company or any iStar Entity that employs Participant in material default in the performance of any of its contractual or legal duties or obligations to other persons or entities;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act or failure to act shall be considered “knowing” unless it is done, or omitted to be done, without reasonable belief that such action or omission was in the best interest of the Company or any iStar Entity that employs Participant;</w:t>
      </w:r>
    </w:p>
    <w:p>
      <w:pPr>
        <w:spacing w:after="0" w:line="188" w:lineRule="exact"/>
        <w:rPr>
          <w:rFonts w:ascii="Arial" w:cs="Arial" w:eastAsia="Arial" w:hAnsi="Arial"/>
          <w:sz w:val="18"/>
          <w:szCs w:val="18"/>
          <w:color w:val="auto"/>
        </w:rPr>
      </w:pPr>
    </w:p>
    <w:p>
      <w:pPr>
        <w:ind w:left="2600" w:hanging="647"/>
        <w:spacing w:after="0" w:line="257" w:lineRule="auto"/>
        <w:tabs>
          <w:tab w:leader="none" w:pos="2607"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failure by Participant to substantially perform his or her duties to the Company, its affiliates or any iStar Entity that employs Participant (excluding, however, any failure to meet any performance targets), which failure remains uncured after not less than thirty (30) days prior written notice from the Company or any iStar Entity that employs Participant specifying in reasonable detail the failure complained of, except where such failure results from incapacity due to physical or mental illness; or</w:t>
      </w:r>
    </w:p>
    <w:p>
      <w:pPr>
        <w:spacing w:after="0" w:line="188" w:lineRule="exact"/>
        <w:rPr>
          <w:rFonts w:ascii="Arial" w:cs="Arial" w:eastAsia="Arial" w:hAnsi="Arial"/>
          <w:sz w:val="18"/>
          <w:szCs w:val="18"/>
          <w:color w:val="auto"/>
        </w:rPr>
      </w:pPr>
    </w:p>
    <w:p>
      <w:pPr>
        <w:ind w:left="2600" w:right="200" w:hanging="647"/>
        <w:spacing w:after="0" w:line="302" w:lineRule="auto"/>
        <w:tabs>
          <w:tab w:leader="none" w:pos="2617" w:val="left"/>
        </w:tabs>
        <w:numPr>
          <w:ilvl w:val="2"/>
          <w:numId w:val="23"/>
        </w:numPr>
        <w:rPr>
          <w:rFonts w:ascii="Arial" w:cs="Arial" w:eastAsia="Arial" w:hAnsi="Arial"/>
          <w:sz w:val="16"/>
          <w:szCs w:val="16"/>
          <w:color w:val="auto"/>
        </w:rPr>
      </w:pPr>
      <w:r>
        <w:rPr>
          <w:rFonts w:ascii="Arial" w:cs="Arial" w:eastAsia="Arial" w:hAnsi="Arial"/>
          <w:sz w:val="16"/>
          <w:szCs w:val="16"/>
          <w:color w:val="auto"/>
        </w:rPr>
        <w:t>any dereliction of duty or negligent misconduct in respect of Participant’s duties and obligations as an employee or otherwise to the Company, its affiliates or any iStar Entity which results in a breach by the Company or any iStar Entity that employs Participant of any contractual agreement binding upon the Company or any iStar Entity that employs Participant and which breach causes material adverse consequences for the Company, its affiliates or any iStar Entity.</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ascribed to such term under the Plan.</w:t>
      </w:r>
    </w:p>
    <w:p>
      <w:pPr>
        <w:spacing w:after="0" w:line="225" w:lineRule="exact"/>
        <w:rPr>
          <w:rFonts w:ascii="Arial" w:cs="Arial" w:eastAsia="Arial" w:hAnsi="Arial"/>
          <w:sz w:val="18"/>
          <w:szCs w:val="18"/>
          <w:color w:val="auto"/>
        </w:rPr>
      </w:pPr>
    </w:p>
    <w:p>
      <w:pPr>
        <w:ind w:left="660" w:right="80" w:firstLine="645"/>
        <w:spacing w:after="0" w:line="259" w:lineRule="auto"/>
        <w:tabs>
          <w:tab w:leader="none" w:pos="1967"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means the per annum compound rate of increase in the Share Price of an investment in Shares on the first day of the Measurement Period (assuming purchase of Shares at their Share Price on such day) through the last day of the Measurement Period, plus all dividends or distributions paid with respect to Shares during the Measurement Period, and assuming reinvestment in Shares of all such dividends and distributions, as adjusted to give effect to Section 5 hereof.</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iStar Entity</w:t>
      </w:r>
      <w:r>
        <w:rPr>
          <w:rFonts w:ascii="Arial" w:cs="Arial" w:eastAsia="Arial" w:hAnsi="Arial"/>
          <w:sz w:val="18"/>
          <w:szCs w:val="18"/>
          <w:color w:val="auto"/>
        </w:rPr>
        <w:t>” means the Company and any entity controlled by, controlling or under common control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-4351655</wp:posOffset>
            </wp:positionV>
            <wp:extent cx="72675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bookmarkStart w:id="58" w:name="page59"/>
    <w:bookmarkEnd w:id="58"/>
    <w:p>
      <w:pPr>
        <w:spacing w:after="0" w:line="80" w:lineRule="exact"/>
        <w:rPr>
          <w:sz w:val="20"/>
          <w:szCs w:val="20"/>
          <w:color w:val="auto"/>
        </w:rPr>
      </w:pPr>
    </w:p>
    <w:p>
      <w:pPr>
        <w:ind w:left="1940" w:hanging="655"/>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the period from and including the Award Date to and including the Vesting Date.</w:t>
      </w:r>
    </w:p>
    <w:p>
      <w:pPr>
        <w:spacing w:after="0" w:line="225" w:lineRule="exact"/>
        <w:rPr>
          <w:rFonts w:ascii="Arial" w:cs="Arial" w:eastAsia="Arial" w:hAnsi="Arial"/>
          <w:sz w:val="18"/>
          <w:szCs w:val="18"/>
          <w:color w:val="auto"/>
        </w:rPr>
      </w:pPr>
    </w:p>
    <w:p>
      <w:pPr>
        <w:jc w:val="both"/>
        <w:ind w:left="640" w:right="320" w:firstLine="645"/>
        <w:spacing w:after="0" w:line="286" w:lineRule="auto"/>
        <w:tabs>
          <w:tab w:leader="none" w:pos="19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Price</w:t>
      </w:r>
      <w:r>
        <w:rPr>
          <w:rFonts w:ascii="Arial" w:cs="Arial" w:eastAsia="Arial" w:hAnsi="Arial"/>
          <w:sz w:val="17"/>
          <w:szCs w:val="17"/>
          <w:color w:val="auto"/>
        </w:rPr>
        <w:t xml:space="preserve">” means the average of the closing prices for the Shares, as reported on the principal stock exchange or automated quotation system on which the Shares are traded or listed, for the 20 trading days ended on the trading date immediately preceding the date as of which the Share Price is being determined;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Shares are not publicly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traded, then the Share Price shall be equal to the fair market value of the Shares as determined by the Board of Directors of the Company.</w:t>
      </w:r>
    </w:p>
    <w:p>
      <w:pPr>
        <w:spacing w:after="0" w:line="237" w:lineRule="exact"/>
        <w:rPr>
          <w:sz w:val="20"/>
          <w:szCs w:val="20"/>
          <w:color w:val="auto"/>
        </w:rPr>
      </w:pPr>
    </w:p>
    <w:p>
      <w:pPr>
        <w:ind w:left="640" w:right="280" w:firstLine="645"/>
        <w:spacing w:after="0" w:line="264" w:lineRule="auto"/>
        <w:tabs>
          <w:tab w:leader="none" w:pos="1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Return</w:t>
      </w:r>
      <w:r>
        <w:rPr>
          <w:rFonts w:ascii="Arial" w:cs="Arial" w:eastAsia="Arial" w:hAnsi="Arial"/>
          <w:sz w:val="18"/>
          <w:szCs w:val="18"/>
          <w:color w:val="auto"/>
        </w:rPr>
        <w:t xml:space="preserve">” means Twenty Percent (20%);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Vesting Date occurs prior to December 31, 2010, the Threshold Return of 20% shall be adjusted downward on a pro rata basis based upon the actual number of days that have elapsed in the Measurement Period.</w:t>
      </w:r>
    </w:p>
    <w:p>
      <w:pPr>
        <w:spacing w:after="0" w:line="181" w:lineRule="exact"/>
        <w:rPr>
          <w:rFonts w:ascii="Arial" w:cs="Arial" w:eastAsia="Arial" w:hAnsi="Arial"/>
          <w:sz w:val="18"/>
          <w:szCs w:val="18"/>
          <w:color w:val="auto"/>
        </w:rPr>
      </w:pPr>
    </w:p>
    <w:p>
      <w:pPr>
        <w:ind w:left="1940" w:hanging="655"/>
        <w:spacing w:after="0"/>
        <w:tabs>
          <w:tab w:leader="none" w:pos="1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Vesting Date</w:t>
      </w:r>
      <w:r>
        <w:rPr>
          <w:rFonts w:ascii="Arial" w:cs="Arial" w:eastAsia="Arial" w:hAnsi="Arial"/>
          <w:sz w:val="17"/>
          <w:szCs w:val="17"/>
          <w:color w:val="auto"/>
        </w:rPr>
        <w:t>” means the earliest to occur of (i) December 31, 2010, (ii) the date of the occurrence of a Change in Control, or</w:t>
      </w:r>
    </w:p>
    <w:p>
      <w:pPr>
        <w:spacing w:after="0" w:line="34" w:lineRule="exact"/>
        <w:rPr>
          <w:rFonts w:ascii="Arial" w:cs="Arial" w:eastAsia="Arial" w:hAnsi="Arial"/>
          <w:sz w:val="17"/>
          <w:szCs w:val="17"/>
          <w:color w:val="auto"/>
        </w:rPr>
      </w:pPr>
    </w:p>
    <w:p>
      <w:pPr>
        <w:ind w:left="640" w:right="80" w:hanging="4"/>
        <w:spacing w:after="0" w:line="261"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Participant’s employment with an iStar Entity terminates by reason of death or disability, or Participant’s employment is terminated by an iStar Entity without Cause on or after January 1, 2010, the date Participant’s employment terminates.</w:t>
      </w:r>
    </w:p>
    <w:p>
      <w:pPr>
        <w:spacing w:after="0" w:line="184" w:lineRule="exact"/>
        <w:rPr>
          <w:sz w:val="20"/>
          <w:szCs w:val="20"/>
          <w:color w:val="auto"/>
        </w:rPr>
      </w:pPr>
    </w:p>
    <w:p>
      <w:pPr>
        <w:ind w:left="1300" w:hanging="66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Restrictions 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55"/>
        <w:spacing w:after="0"/>
        <w:tabs>
          <w:tab w:leader="none" w:pos="19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with respect to each installment of Units is the period commencing on the Award Date and ending on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Vesting Date.</w:t>
      </w:r>
    </w:p>
    <w:p>
      <w:pPr>
        <w:spacing w:after="0" w:line="210" w:lineRule="exact"/>
        <w:rPr>
          <w:rFonts w:ascii="Arial" w:cs="Arial" w:eastAsia="Arial" w:hAnsi="Arial"/>
          <w:sz w:val="16"/>
          <w:szCs w:val="16"/>
          <w:color w:val="auto"/>
        </w:rPr>
      </w:pPr>
    </w:p>
    <w:p>
      <w:pPr>
        <w:ind w:left="640" w:right="100" w:firstLine="645"/>
        <w:spacing w:after="0" w:line="255" w:lineRule="auto"/>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the Restricted Period, Units that are not vested (and the Shares represented by such Units) are not transferable except as designated by Participant by will or by the laws of descent and distribution or, subject to such procedures as the Administrator may establish, to or for the benefit of Participant’s family. Except as permitted by the foregoing, Units that are not vested (and the Shares represented by such Units) may not be sold, assigned, transferred, pledged, hypothecated, encumbered or otherwise disposed of (whether by operation of law and otherwise) or be subject to execution, attachment or similar process. Any attempt to so sell, transfer, assign, pledge, hypothecate, voluntarily encumber or otherwise dispose of Units or Shares shall be null and void. Upon the vesting of Units, the Shares that are delivered to Participant shall be fully transferable by Participant.</w:t>
      </w:r>
    </w:p>
    <w:p>
      <w:pPr>
        <w:spacing w:after="0" w:line="189" w:lineRule="exact"/>
        <w:rPr>
          <w:rFonts w:ascii="Arial" w:cs="Arial" w:eastAsia="Arial" w:hAnsi="Arial"/>
          <w:sz w:val="18"/>
          <w:szCs w:val="18"/>
          <w:color w:val="auto"/>
        </w:rPr>
      </w:pPr>
    </w:p>
    <w:p>
      <w:pPr>
        <w:ind w:left="640" w:right="400" w:firstLine="645"/>
        <w:spacing w:after="0" w:line="277" w:lineRule="auto"/>
        <w:tabs>
          <w:tab w:leader="none" w:pos="19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the Restricted Period, Units that are not vested (and the Shares represented by such Units) shall not be evidenced by a certificate registered in the name of Participant.</w:t>
      </w:r>
    </w:p>
    <w:p>
      <w:pPr>
        <w:spacing w:after="0" w:line="170" w:lineRule="exact"/>
        <w:rPr>
          <w:rFonts w:ascii="Arial" w:cs="Arial" w:eastAsia="Arial" w:hAnsi="Arial"/>
          <w:sz w:val="18"/>
          <w:szCs w:val="18"/>
          <w:color w:val="auto"/>
        </w:rPr>
      </w:pPr>
    </w:p>
    <w:p>
      <w:pPr>
        <w:ind w:left="640" w:right="280" w:firstLine="645"/>
        <w:spacing w:after="0" w:line="264" w:lineRule="auto"/>
        <w:tabs>
          <w:tab w:leader="none" w:pos="1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the Restricted Period, Participant shall not be entitled to vote with respect to Shares represented by Units that are not vested. Upon the vesting of Units, Participant shall have full rights as a shareholder with respect to the Shares to be delivered to Participant upon vesting, including the right to vote such Shares.</w:t>
      </w:r>
    </w:p>
    <w:p>
      <w:pPr>
        <w:spacing w:after="0" w:line="181" w:lineRule="exact"/>
        <w:rPr>
          <w:rFonts w:ascii="Arial" w:cs="Arial" w:eastAsia="Arial" w:hAnsi="Arial"/>
          <w:sz w:val="18"/>
          <w:szCs w:val="18"/>
          <w:color w:val="auto"/>
        </w:rPr>
      </w:pPr>
    </w:p>
    <w:p>
      <w:pPr>
        <w:ind w:left="640" w:right="380" w:firstLine="645"/>
        <w:spacing w:after="0" w:line="277" w:lineRule="auto"/>
        <w:tabs>
          <w:tab w:leader="none" w:pos="19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the Restricted Period, Participant shall not be entitled to receive any dividend equivalent payments with respect to any Units that are not vested.</w:t>
      </w:r>
    </w:p>
    <w:p>
      <w:pPr>
        <w:spacing w:after="0" w:line="170" w:lineRule="exact"/>
        <w:rPr>
          <w:rFonts w:ascii="Arial" w:cs="Arial" w:eastAsia="Arial" w:hAnsi="Arial"/>
          <w:sz w:val="18"/>
          <w:szCs w:val="18"/>
          <w:color w:val="auto"/>
        </w:rPr>
      </w:pPr>
    </w:p>
    <w:p>
      <w:pPr>
        <w:ind w:left="-20" w:firstLine="656"/>
        <w:spacing w:after="0" w:line="259" w:lineRule="auto"/>
        <w:tabs>
          <w:tab w:leader="none" w:pos="129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Adjustments to Number of Units and Shares</w:t>
      </w:r>
      <w:r>
        <w:rPr>
          <w:rFonts w:ascii="Arial" w:cs="Arial" w:eastAsia="Arial" w:hAnsi="Arial"/>
          <w:sz w:val="18"/>
          <w:szCs w:val="18"/>
          <w:color w:val="auto"/>
        </w:rPr>
        <w:t>. In the event of any change in the Company’s outstanding Shares by reason of any stock dividend, split, spinoff, recapitalization or other similar change, the terms and the number of any outstanding Units (and the Shares represented by such Units) shall be equitably adjusted by the Administrator in its discretion to the extent the Administrator determines that such adjustment is necessary to preserve the benefit of this Agreement for Participant and the Company.</w:t>
      </w:r>
    </w:p>
    <w:p>
      <w:pPr>
        <w:spacing w:after="0" w:line="186" w:lineRule="exact"/>
        <w:rPr>
          <w:rFonts w:ascii="Arial" w:cs="Arial" w:eastAsia="Arial" w:hAnsi="Arial"/>
          <w:sz w:val="18"/>
          <w:szCs w:val="18"/>
          <w:color w:val="auto"/>
        </w:rPr>
      </w:pPr>
    </w:p>
    <w:p>
      <w:pPr>
        <w:ind w:left="-20" w:right="120" w:firstLine="656"/>
        <w:spacing w:after="0" w:line="277" w:lineRule="auto"/>
        <w:tabs>
          <w:tab w:leader="none" w:pos="129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Agreement Not Contract of Employment</w:t>
      </w:r>
      <w:r>
        <w:rPr>
          <w:rFonts w:ascii="Arial" w:cs="Arial" w:eastAsia="Arial" w:hAnsi="Arial"/>
          <w:sz w:val="18"/>
          <w:szCs w:val="18"/>
          <w:color w:val="auto"/>
        </w:rPr>
        <w:t>. This Agreement does not constitute a contract of employment, and does not give Participant the right to be retained in the employ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200" w:firstLine="656"/>
        <w:spacing w:after="0" w:line="342" w:lineRule="auto"/>
        <w:tabs>
          <w:tab w:leader="none" w:pos="129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Company, its successors and assigns, and any person acquiring, whether by merger, consolidation, purchase of assets or otherwise, all or substantially all of the Company’s assets and business.</w:t>
      </w:r>
    </w:p>
    <w:p>
      <w:pPr>
        <w:spacing w:after="0" w:line="123" w:lineRule="exact"/>
        <w:rPr>
          <w:rFonts w:ascii="Arial" w:cs="Arial" w:eastAsia="Arial" w:hAnsi="Arial"/>
          <w:sz w:val="16"/>
          <w:szCs w:val="16"/>
          <w:color w:val="auto"/>
        </w:rPr>
      </w:pPr>
    </w:p>
    <w:p>
      <w:pPr>
        <w:ind w:left="-20" w:right="120" w:firstLine="656"/>
        <w:spacing w:after="0" w:line="264" w:lineRule="auto"/>
        <w:tabs>
          <w:tab w:leader="none" w:pos="129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administer and interpret this Agreement shall be vested in the Administrator, and the Administrator shall have all the powers with respect to this Agreement as it has with respect to the Plan. Any interpretation of the Agreement by the Administrator and any decision made by it with respect to the Agreement are final and binding on all persons.</w:t>
      </w:r>
    </w:p>
    <w:p>
      <w:pPr>
        <w:spacing w:after="0" w:line="181" w:lineRule="exact"/>
        <w:rPr>
          <w:rFonts w:ascii="Arial" w:cs="Arial" w:eastAsia="Arial" w:hAnsi="Arial"/>
          <w:sz w:val="18"/>
          <w:szCs w:val="18"/>
          <w:color w:val="auto"/>
        </w:rPr>
      </w:pPr>
    </w:p>
    <w:p>
      <w:pPr>
        <w:ind w:left="-20" w:firstLine="656"/>
        <w:spacing w:after="0" w:line="279" w:lineRule="auto"/>
        <w:tabs>
          <w:tab w:leader="none" w:pos="129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The Shares represented by the Units are currently registered under the Securities Act of 1933, as amended (the “</w:t>
      </w: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and any applicable state securities laws, pursuant to an effective registration statement. Participant hereby represents and covenants that any subsequent sale of any such Shares shall be made either pursuant to an effective registration statement under the Securities Act and any applicable state securities laws, or pursuant to an exemption from registration under the Securities Act and such state securities laws.</w:t>
      </w:r>
    </w:p>
    <w:p>
      <w:pPr>
        <w:spacing w:after="0" w:line="171" w:lineRule="exact"/>
        <w:rPr>
          <w:rFonts w:ascii="Arial" w:cs="Arial" w:eastAsia="Arial" w:hAnsi="Arial"/>
          <w:sz w:val="17"/>
          <w:szCs w:val="17"/>
          <w:color w:val="auto"/>
        </w:rPr>
      </w:pPr>
    </w:p>
    <w:p>
      <w:pPr>
        <w:ind w:left="-20" w:right="100" w:firstLine="656"/>
        <w:spacing w:after="0" w:line="277" w:lineRule="auto"/>
        <w:tabs>
          <w:tab w:leader="none" w:pos="129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The terms of this Agreement shall be subject to the terms of the Plan, a copy of which may be obtained by Participant from the office of the Secretary of the Company.</w:t>
      </w:r>
    </w:p>
    <w:p>
      <w:pPr>
        <w:spacing w:after="0" w:line="170" w:lineRule="exact"/>
        <w:rPr>
          <w:rFonts w:ascii="Arial" w:cs="Arial" w:eastAsia="Arial" w:hAnsi="Arial"/>
          <w:sz w:val="18"/>
          <w:szCs w:val="18"/>
          <w:color w:val="auto"/>
        </w:rPr>
      </w:pPr>
    </w:p>
    <w:p>
      <w:pPr>
        <w:ind w:left="-20" w:right="40" w:firstLine="656"/>
        <w:spacing w:after="0" w:line="277" w:lineRule="auto"/>
        <w:tabs>
          <w:tab w:leader="none" w:pos="129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of Directors of the Company may at any time amend or terminate the Plan, provided that no such amendment or termination may materially adversely affect the rights of Participant awarded hereunder.</w:t>
      </w:r>
    </w:p>
    <w:p>
      <w:pPr>
        <w:spacing w:after="0" w:line="170" w:lineRule="exact"/>
        <w:rPr>
          <w:rFonts w:ascii="Arial" w:cs="Arial" w:eastAsia="Arial" w:hAnsi="Arial"/>
          <w:sz w:val="18"/>
          <w:szCs w:val="18"/>
          <w:color w:val="auto"/>
        </w:rPr>
      </w:pPr>
    </w:p>
    <w:p>
      <w:pPr>
        <w:ind w:left="-20" w:right="280" w:firstLine="656"/>
        <w:spacing w:after="0" w:line="264" w:lineRule="auto"/>
        <w:tabs>
          <w:tab w:leader="none" w:pos="129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Waiver of Responsibility</w:t>
      </w:r>
      <w:r>
        <w:rPr>
          <w:rFonts w:ascii="Arial" w:cs="Arial" w:eastAsia="Arial" w:hAnsi="Arial"/>
          <w:sz w:val="18"/>
          <w:szCs w:val="18"/>
          <w:color w:val="auto"/>
        </w:rPr>
        <w:t>. Participant understands that the Company has assumed no responsibility for advising Participant as to the tax consequences to Participant of the grant of Units under this Agreement. Participant should consult with his or her individual tax advisor concerning the applicability of Federal, state and local tax laws to the Units and to his or her personal tax circumstances.</w:t>
      </w:r>
    </w:p>
    <w:p>
      <w:pPr>
        <w:sectPr>
          <w:pgSz w:w="11900" w:h="16918" w:orient="portrait"/>
          <w:cols w:equalWidth="0" w:num="1">
            <w:col w:w="11380"/>
          </w:cols>
          <w:pgMar w:left="260" w:top="125" w:right="259" w:bottom="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0" w:name="page61"/>
    <w:bookmarkEnd w:id="60"/>
    <w:p>
      <w:pPr>
        <w:spacing w:after="0"/>
        <w:rPr>
          <w:rFonts w:ascii="Arial" w:cs="Arial" w:eastAsia="Arial" w:hAnsi="Arial"/>
          <w:sz w:val="22"/>
          <w:szCs w:val="22"/>
          <w:color w:val="0000EE"/>
        </w:rPr>
      </w:pPr>
      <w:hyperlink w:anchor="page6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225" w:lineRule="exact"/>
        <w:rPr>
          <w:sz w:val="20"/>
          <w:szCs w:val="20"/>
          <w:color w:val="auto"/>
        </w:rPr>
      </w:pPr>
    </w:p>
    <w:p>
      <w:pPr>
        <w:ind w:left="720" w:hanging="361"/>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 May 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77470</wp:posOffset>
            </wp:positionV>
            <wp:extent cx="3039745"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039745" cy="21590"/>
                    </a:xfrm>
                    <a:prstGeom prst="rect">
                      <a:avLst/>
                    </a:prstGeom>
                    <a:noFill/>
                  </pic:spPr>
                </pic:pic>
              </a:graphicData>
            </a:graphic>
          </wp:anchor>
        </w:drawing>
      </w:r>
    </w:p>
    <w:p>
      <w:pPr>
        <w:spacing w:after="0" w:line="23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640"/>
        <w:spacing w:after="0"/>
        <w:tabs>
          <w:tab w:leader="none" w:pos="7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Catherine D. Rice, certify that:</w:t>
      </w:r>
    </w:p>
    <w:p>
      <w:pPr>
        <w:spacing w:after="0" w:line="225" w:lineRule="exact"/>
        <w:rPr>
          <w:sz w:val="20"/>
          <w:szCs w:val="20"/>
          <w:color w:val="auto"/>
        </w:rPr>
      </w:pPr>
    </w:p>
    <w:p>
      <w:pPr>
        <w:ind w:left="720" w:hanging="36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225" w:lineRule="exact"/>
        <w:rPr>
          <w:rFonts w:ascii="Arial" w:cs="Arial" w:eastAsia="Arial" w:hAnsi="Arial"/>
          <w:sz w:val="18"/>
          <w:szCs w:val="18"/>
          <w:color w:val="auto"/>
        </w:rPr>
      </w:pPr>
    </w:p>
    <w:p>
      <w:pPr>
        <w:ind w:right="380" w:firstLine="359"/>
        <w:spacing w:after="0" w:line="370" w:lineRule="auto"/>
        <w:tabs>
          <w:tab w:leader="none" w:pos="70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340" w:firstLine="359"/>
        <w:spacing w:after="0" w:line="332" w:lineRule="auto"/>
        <w:tabs>
          <w:tab w:leader="none" w:pos="7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60" w:firstLine="359"/>
        <w:spacing w:after="0" w:line="259" w:lineRule="auto"/>
        <w:tabs>
          <w:tab w:leader="none" w:pos="6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120" w:firstLine="359"/>
        <w:spacing w:after="0" w:line="259" w:lineRule="auto"/>
        <w:tabs>
          <w:tab w:leader="none" w:pos="12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480" w:firstLine="359"/>
        <w:spacing w:after="0" w:line="259" w:lineRule="auto"/>
        <w:tabs>
          <w:tab w:leader="none" w:pos="12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620" w:firstLine="359"/>
        <w:spacing w:after="0" w:line="332" w:lineRule="auto"/>
        <w:tabs>
          <w:tab w:leader="none" w:pos="121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40" w:firstLine="359"/>
        <w:spacing w:after="0" w:line="259" w:lineRule="auto"/>
        <w:tabs>
          <w:tab w:leader="none" w:pos="122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280" w:firstLine="359"/>
        <w:spacing w:after="0" w:line="332" w:lineRule="auto"/>
        <w:tabs>
          <w:tab w:leader="none" w:pos="69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59"/>
        <w:spacing w:after="0" w:line="268" w:lineRule="auto"/>
        <w:tabs>
          <w:tab w:leader="none" w:pos="12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59"/>
        <w:spacing w:after="0" w:line="268" w:lineRule="auto"/>
        <w:tabs>
          <w:tab w:leader="none" w:pos="12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 May 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77470</wp:posOffset>
            </wp:positionV>
            <wp:extent cx="3039745"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039745" cy="21590"/>
                    </a:xfrm>
                    <a:prstGeom prst="rect">
                      <a:avLst/>
                    </a:prstGeom>
                    <a:noFill/>
                  </pic:spPr>
                </pic:pic>
              </a:graphicData>
            </a:graphic>
          </wp:anchor>
        </w:drawing>
      </w:r>
    </w:p>
    <w:p>
      <w:pPr>
        <w:spacing w:after="0" w:line="23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640"/>
        <w:spacing w:after="0"/>
        <w:tabs>
          <w:tab w:leader="none" w:pos="7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 31.0</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CERTIFICATIONS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63" w:name="page64"/>
    <w:bookmarkEnd w:id="63"/>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32.0</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Quarterly Report on Form 10-Q for the quarter ended March 31,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77470</wp:posOffset>
            </wp:positionV>
            <wp:extent cx="334010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Quarterly Report on Form 10-Q for the quarter ended March, 31,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77470</wp:posOffset>
            </wp:positionV>
            <wp:extent cx="334010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340100" cy="21590"/>
                    </a:xfrm>
                    <a:prstGeom prst="rect">
                      <a:avLst/>
                    </a:prstGeom>
                    <a:noFill/>
                  </pic:spPr>
                </pic:pic>
              </a:graphicData>
            </a:graphic>
          </wp:anchor>
        </w:drawing>
      </w:r>
    </w:p>
    <w:p>
      <w:pPr>
        <w:spacing w:after="0" w:line="2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 32.0</w:t>
        </w:r>
      </w:hyperlink>
    </w:p>
    <w:p>
      <w:pPr>
        <w:spacing w:after="0" w:line="225" w:lineRule="exact"/>
        <w:rPr>
          <w:sz w:val="20"/>
          <w:szCs w:val="20"/>
          <w:color w:val="auto"/>
        </w:rPr>
      </w:pPr>
    </w:p>
    <w:p>
      <w:pPr>
        <w:ind w:right="3139"/>
        <w:spacing w:after="0" w:line="332" w:lineRule="auto"/>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Certification of Chief Executive Officer Pursuant to Section 906 of The Sarbanes-Oxley Act of 2002</w:t>
        </w:r>
      </w:hyperlink>
      <w:r>
        <w:rPr>
          <w:rFonts w:ascii="Arial" w:cs="Arial" w:eastAsia="Arial" w:hAnsi="Arial"/>
          <w:sz w:val="16"/>
          <w:szCs w:val="16"/>
          <w:u w:val="single" w:color="auto"/>
          <w:color w:val="0000EE"/>
        </w:rPr>
        <w:t xml:space="preserve"> </w:t>
      </w:r>
      <w:hyperlink w:anchor="page65">
        <w:r>
          <w:rPr>
            <w:rFonts w:ascii="Arial" w:cs="Arial" w:eastAsia="Arial" w:hAnsi="Arial"/>
            <w:sz w:val="16"/>
            <w:szCs w:val="16"/>
            <w:u w:val="single" w:color="auto"/>
            <w:color w:val="0000EE"/>
          </w:rPr>
          <w:t>Certification of Chief Financial Officer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54E49EB4"/>
    <w:multiLevelType w:val="hybridMultilevel"/>
    <w:lvl w:ilvl="0">
      <w:lvlJc w:val="left"/>
      <w:lvlText w:val="(%1)"/>
      <w:numFmt w:val="lowerLetter"/>
      <w:start w:val="5"/>
    </w:lvl>
  </w:abstractNum>
  <w:abstractNum w:abstractNumId="24">
    <w:nsid w:val="71F32454"/>
    <w:multiLevelType w:val="hybridMultilevel"/>
    <w:lvl w:ilvl="0">
      <w:lvlJc w:val="left"/>
      <w:lvlText w:val="%1"/>
      <w:numFmt w:val="lowerLetter"/>
      <w:start w:val="1"/>
    </w:lvl>
    <w:lvl w:ilvl="1">
      <w:lvlJc w:val="left"/>
      <w:lvlText w:val="(%2)"/>
      <w:numFmt w:val="lowerLetter"/>
      <w:start w:val="7"/>
    </w:lvl>
  </w:abstractNum>
  <w:abstractNum w:abstractNumId="25">
    <w:nsid w:val="2CA88611"/>
    <w:multiLevelType w:val="hybridMultilevel"/>
    <w:lvl w:ilvl="0">
      <w:lvlJc w:val="left"/>
      <w:lvlText w:val="(%1)"/>
      <w:numFmt w:val="lowerLetter"/>
      <w:start w:val="61"/>
    </w:lvl>
    <w:lvl w:ilvl="1">
      <w:lvlJc w:val="left"/>
      <w:lvlText w:val="%2"/>
      <w:numFmt w:val="lowerLetter"/>
      <w:start w:val="1"/>
    </w:lvl>
  </w:abstractNum>
  <w:abstractNum w:abstractNumId="26">
    <w:nsid w:val="836C40E"/>
    <w:multiLevelType w:val="hybridMultilevel"/>
    <w:lvl w:ilvl="0">
      <w:lvlJc w:val="left"/>
      <w:lvlText w:val="%1."/>
      <w:numFmt w:val="decimal"/>
      <w:start w:val="4"/>
    </w:lvl>
    <w:lvl w:ilvl="1">
      <w:lvlJc w:val="left"/>
      <w:lvlText w:val="(%2)"/>
      <w:numFmt w:val="lowerLetter"/>
      <w:start w:val="1"/>
    </w:lvl>
  </w:abstractNum>
  <w:abstractNum w:abstractNumId="27">
    <w:nsid w:val="2901D82"/>
    <w:multiLevelType w:val="hybridMultilevel"/>
    <w:lvl w:ilvl="0">
      <w:lvlJc w:val="left"/>
      <w:lvlText w:val="%1."/>
      <w:numFmt w:val="decimal"/>
      <w:start w:val="7"/>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2019-12-14T23:21:58Z</dcterms:created>
  <dcterms:modified xsi:type="dcterms:W3CDTF">2019-12-14T23:21:58Z</dcterms:modified>
</cp:coreProperties>
</file>