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7747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17"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1500" w:right="2940" w:hanging="850"/>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63"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500" w:right="2940" w:hanging="810"/>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2800"/>
        <w:spacing w:after="0"/>
        <w:tabs>
          <w:tab w:leader="none" w:pos="5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1-15371</w:t>
      </w:r>
    </w:p>
    <w:p>
      <w:pPr>
        <w:spacing w:after="0" w:line="144"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iSTAR FINANCIAL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86" w:lineRule="exact"/>
        <w:rPr>
          <w:sz w:val="24"/>
          <w:szCs w:val="24"/>
          <w:color w:val="auto"/>
        </w:rPr>
      </w:pPr>
    </w:p>
    <w:tbl>
      <w:tblPr>
        <w:tblLayout w:type="fixed"/>
        <w:tblInd w:w="1220" w:type="dxa"/>
        <w:tblCellMar>
          <w:top w:w="0" w:type="dxa"/>
          <w:left w:w="0" w:type="dxa"/>
          <w:bottom w:w="0" w:type="dxa"/>
          <w:right w:w="0" w:type="dxa"/>
        </w:tblCellMar>
      </w:tblPr>
      <w:tr>
        <w:trPr>
          <w:trHeight w:val="220"/>
        </w:trPr>
        <w:tc>
          <w:tcPr>
            <w:tcW w:w="4840" w:type="dxa"/>
            <w:vAlign w:val="bottom"/>
          </w:tcPr>
          <w:p>
            <w:pPr>
              <w:jc w:val="center"/>
              <w:ind w:right="1690"/>
              <w:spacing w:after="0"/>
              <w:rPr>
                <w:sz w:val="20"/>
                <w:szCs w:val="20"/>
                <w:color w:val="auto"/>
              </w:rPr>
            </w:pPr>
            <w:r>
              <w:rPr>
                <w:rFonts w:ascii="Arial" w:cs="Arial" w:eastAsia="Arial" w:hAnsi="Arial"/>
                <w:sz w:val="18"/>
                <w:szCs w:val="18"/>
                <w:b w:val="1"/>
                <w:bCs w:val="1"/>
                <w:color w:val="auto"/>
                <w:w w:val="98"/>
              </w:rPr>
              <w:t>Maryland</w:t>
            </w:r>
          </w:p>
        </w:tc>
        <w:tc>
          <w:tcPr>
            <w:tcW w:w="346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4840" w:type="dxa"/>
            <w:vAlign w:val="bottom"/>
          </w:tcPr>
          <w:p>
            <w:pPr>
              <w:jc w:val="center"/>
              <w:ind w:right="1690"/>
              <w:spacing w:after="0"/>
              <w:rPr>
                <w:sz w:val="20"/>
                <w:szCs w:val="20"/>
                <w:color w:val="auto"/>
              </w:rPr>
            </w:pPr>
            <w:r>
              <w:rPr>
                <w:rFonts w:ascii="Arial" w:cs="Arial" w:eastAsia="Arial" w:hAnsi="Arial"/>
                <w:sz w:val="18"/>
                <w:szCs w:val="18"/>
                <w:color w:val="auto"/>
                <w:w w:val="93"/>
              </w:rPr>
              <w:t>(State or other jurisdiction of</w:t>
            </w:r>
          </w:p>
        </w:tc>
        <w:tc>
          <w:tcPr>
            <w:tcW w:w="3460" w:type="dxa"/>
            <w:vAlign w:val="bottom"/>
          </w:tcPr>
          <w:p>
            <w:pPr>
              <w:jc w:val="center"/>
              <w:ind w:left="1710"/>
              <w:spacing w:after="0"/>
              <w:rPr>
                <w:sz w:val="20"/>
                <w:szCs w:val="20"/>
                <w:color w:val="auto"/>
              </w:rPr>
            </w:pPr>
            <w:r>
              <w:rPr>
                <w:rFonts w:ascii="Arial" w:cs="Arial" w:eastAsia="Arial" w:hAnsi="Arial"/>
                <w:sz w:val="18"/>
                <w:szCs w:val="18"/>
                <w:color w:val="auto"/>
                <w:w w:val="92"/>
              </w:rPr>
              <w:t>(I.R.S. Employer</w:t>
            </w:r>
          </w:p>
        </w:tc>
      </w:tr>
      <w:tr>
        <w:trPr>
          <w:trHeight w:val="230"/>
        </w:trPr>
        <w:tc>
          <w:tcPr>
            <w:tcW w:w="4840" w:type="dxa"/>
            <w:vAlign w:val="bottom"/>
          </w:tcPr>
          <w:p>
            <w:pPr>
              <w:jc w:val="center"/>
              <w:ind w:right="1690"/>
              <w:spacing w:after="0"/>
              <w:rPr>
                <w:sz w:val="20"/>
                <w:szCs w:val="20"/>
                <w:color w:val="auto"/>
              </w:rPr>
            </w:pPr>
            <w:r>
              <w:rPr>
                <w:rFonts w:ascii="Arial" w:cs="Arial" w:eastAsia="Arial" w:hAnsi="Arial"/>
                <w:sz w:val="18"/>
                <w:szCs w:val="18"/>
                <w:color w:val="auto"/>
                <w:w w:val="93"/>
              </w:rPr>
              <w:t>incorporation or organization)</w:t>
            </w:r>
          </w:p>
        </w:tc>
        <w:tc>
          <w:tcPr>
            <w:tcW w:w="3460" w:type="dxa"/>
            <w:vAlign w:val="bottom"/>
          </w:tcPr>
          <w:p>
            <w:pPr>
              <w:jc w:val="center"/>
              <w:ind w:left="1710"/>
              <w:spacing w:after="0"/>
              <w:rPr>
                <w:sz w:val="20"/>
                <w:szCs w:val="20"/>
                <w:color w:val="auto"/>
              </w:rPr>
            </w:pPr>
            <w:r>
              <w:rPr>
                <w:rFonts w:ascii="Arial" w:cs="Arial" w:eastAsia="Arial" w:hAnsi="Arial"/>
                <w:sz w:val="18"/>
                <w:szCs w:val="18"/>
                <w:color w:val="auto"/>
                <w:w w:val="94"/>
              </w:rPr>
              <w:t>Identification Number)</w:t>
            </w:r>
          </w:p>
        </w:tc>
      </w:tr>
      <w:tr>
        <w:trPr>
          <w:trHeight w:val="270"/>
        </w:trPr>
        <w:tc>
          <w:tcPr>
            <w:tcW w:w="4840" w:type="dxa"/>
            <w:vAlign w:val="bottom"/>
          </w:tcPr>
          <w:p>
            <w:pPr>
              <w:jc w:val="center"/>
              <w:ind w:right="1690"/>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3460" w:type="dxa"/>
            <w:vAlign w:val="bottom"/>
          </w:tcPr>
          <w:p>
            <w:pPr>
              <w:spacing w:after="0"/>
              <w:rPr>
                <w:sz w:val="23"/>
                <w:szCs w:val="23"/>
                <w:color w:val="auto"/>
              </w:rPr>
            </w:pPr>
          </w:p>
        </w:tc>
      </w:tr>
      <w:tr>
        <w:trPr>
          <w:trHeight w:val="256"/>
        </w:trPr>
        <w:tc>
          <w:tcPr>
            <w:tcW w:w="4840" w:type="dxa"/>
            <w:vAlign w:val="bottom"/>
          </w:tcPr>
          <w:p>
            <w:pPr>
              <w:jc w:val="center"/>
              <w:ind w:right="1690"/>
              <w:spacing w:after="0"/>
              <w:rPr>
                <w:sz w:val="20"/>
                <w:szCs w:val="20"/>
                <w:color w:val="auto"/>
              </w:rPr>
            </w:pPr>
            <w:r>
              <w:rPr>
                <w:rFonts w:ascii="Arial" w:cs="Arial" w:eastAsia="Arial" w:hAnsi="Arial"/>
                <w:sz w:val="18"/>
                <w:szCs w:val="18"/>
                <w:b w:val="1"/>
                <w:bCs w:val="1"/>
                <w:color w:val="auto"/>
                <w:w w:val="93"/>
              </w:rPr>
              <w:t>New York, NY</w:t>
            </w:r>
          </w:p>
        </w:tc>
        <w:tc>
          <w:tcPr>
            <w:tcW w:w="346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4840" w:type="dxa"/>
            <w:vAlign w:val="bottom"/>
          </w:tcPr>
          <w:p>
            <w:pPr>
              <w:jc w:val="center"/>
              <w:ind w:right="169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jc w:val="center"/>
              <w:ind w:left="169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259"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8" w:lineRule="exact"/>
        <w:rPr>
          <w:sz w:val="24"/>
          <w:szCs w:val="24"/>
          <w:color w:val="auto"/>
        </w:rPr>
      </w:pPr>
    </w:p>
    <w:p>
      <w:pPr>
        <w:sectPr>
          <w:pgSz w:w="11900" w:h="16838" w:orient="portrait"/>
          <w:cols w:equalWidth="0" w:num="4">
            <w:col w:w="2680" w:space="720"/>
            <w:col w:w="1800" w:space="720"/>
            <w:col w:w="2100" w:space="720"/>
            <w:col w:w="2680"/>
          </w:cols>
          <w:pgMar w:left="240" w:top="225" w:right="239" w:bottom="1440" w:gutter="0" w:footer="0" w:header="0"/>
          <w:type w:val="continuous"/>
        </w:sectPr>
      </w:pPr>
    </w:p>
    <w:p>
      <w:pPr>
        <w:ind w:left="6240"/>
        <w:spacing w:after="0"/>
        <w:rPr>
          <w:sz w:val="20"/>
          <w:szCs w:val="20"/>
          <w:color w:val="auto"/>
        </w:rPr>
      </w:pPr>
      <w:r>
        <w:rPr>
          <w:rFonts w:ascii="Arial" w:cs="Arial" w:eastAsia="Arial" w:hAnsi="Arial"/>
          <w:sz w:val="14"/>
          <w:szCs w:val="14"/>
          <w:color w:val="auto"/>
        </w:rPr>
        <w:t>(Do not check if a</w:t>
      </w:r>
    </w:p>
    <w:p>
      <w:pPr>
        <w:spacing w:after="0" w:line="21" w:lineRule="exact"/>
        <w:rPr>
          <w:sz w:val="24"/>
          <w:szCs w:val="24"/>
          <w:color w:val="auto"/>
        </w:rPr>
      </w:pPr>
    </w:p>
    <w:p>
      <w:pPr>
        <w:ind w:left="5940"/>
        <w:spacing w:after="0"/>
        <w:rPr>
          <w:sz w:val="20"/>
          <w:szCs w:val="20"/>
          <w:color w:val="auto"/>
        </w:rPr>
      </w:pPr>
      <w:r>
        <w:rPr>
          <w:rFonts w:ascii="Arial" w:cs="Arial" w:eastAsia="Arial" w:hAnsi="Arial"/>
          <w:sz w:val="13"/>
          <w:szCs w:val="13"/>
          <w:color w:val="auto"/>
        </w:rPr>
        <w:t>smaller reporting company)</w:t>
      </w:r>
    </w:p>
    <w:p>
      <w:pPr>
        <w:sectPr>
          <w:pgSz w:w="11900" w:h="16838" w:orient="portrait"/>
          <w:cols w:equalWidth="0" w:num="1">
            <w:col w:w="11420"/>
          </w:cols>
          <w:pgMar w:left="240" w:top="225" w:right="239" w:bottom="1440" w:gutter="0" w:footer="0" w:header="0"/>
          <w:type w:val="continuous"/>
        </w:sectPr>
      </w:pPr>
    </w:p>
    <w:p>
      <w:pPr>
        <w:spacing w:after="0" w:line="15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2">
            <w:col w:w="8300" w:space="180"/>
            <w:col w:w="2940"/>
          </w:cols>
          <w:pgMar w:left="240" w:top="225" w:right="239" w:bottom="1440" w:gutter="0" w:footer="0" w:header="0"/>
          <w:type w:val="continuous"/>
        </w:sectPr>
      </w:pPr>
    </w:p>
    <w:p>
      <w:pPr>
        <w:spacing w:after="0" w:line="102" w:lineRule="exact"/>
        <w:rPr>
          <w:sz w:val="24"/>
          <w:szCs w:val="24"/>
          <w:color w:val="auto"/>
        </w:rPr>
      </w:pPr>
    </w:p>
    <w:p>
      <w:pPr>
        <w:ind w:firstLine="405"/>
        <w:spacing w:after="0" w:line="277" w:lineRule="auto"/>
        <w:rPr>
          <w:sz w:val="20"/>
          <w:szCs w:val="20"/>
          <w:color w:val="auto"/>
        </w:rPr>
      </w:pPr>
      <w:r>
        <w:rPr>
          <w:rFonts w:ascii="Arial" w:cs="Arial" w:eastAsia="Arial" w:hAnsi="Arial"/>
          <w:sz w:val="18"/>
          <w:szCs w:val="18"/>
          <w:color w:val="auto"/>
        </w:rPr>
        <w:t>As of November 4, 2013, there were 85,404,438 shares of common stock, $0.001 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186055</wp:posOffset>
            </wp:positionV>
            <wp:extent cx="7229475"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7747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iStar Financial Inc.</w:t>
      </w:r>
    </w:p>
    <w:p>
      <w:pPr>
        <w:spacing w:after="0" w:line="14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Index to Form 10-Q</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196"/>
        </w:trPr>
        <w:tc>
          <w:tcPr>
            <w:tcW w:w="500" w:type="dxa"/>
            <w:vAlign w:val="bottom"/>
            <w:tcBorders>
              <w:bottom w:val="single" w:sz="8" w:color="0000FF"/>
            </w:tcBorders>
          </w:tcPr>
          <w:p>
            <w:pPr>
              <w:spacing w:after="0" w:line="170" w:lineRule="exact"/>
              <w:rPr>
                <w:rFonts w:ascii="Arial" w:cs="Arial" w:eastAsia="Arial" w:hAnsi="Arial"/>
                <w:sz w:val="18"/>
                <w:szCs w:val="18"/>
                <w:b w:val="1"/>
                <w:bCs w:val="1"/>
                <w:color w:val="0000FF"/>
                <w:w w:val="95"/>
              </w:rPr>
            </w:pPr>
            <w:hyperlink w:anchor="page2">
              <w:r>
                <w:rPr>
                  <w:rFonts w:ascii="Arial" w:cs="Arial" w:eastAsia="Arial" w:hAnsi="Arial"/>
                  <w:sz w:val="18"/>
                  <w:szCs w:val="18"/>
                  <w:b w:val="1"/>
                  <w:bCs w:val="1"/>
                  <w:color w:val="0000FF"/>
                  <w:w w:val="95"/>
                </w:rPr>
                <w:t>Part I.</w:t>
              </w:r>
            </w:hyperlink>
          </w:p>
        </w:tc>
        <w:tc>
          <w:tcPr>
            <w:tcW w:w="660" w:type="dxa"/>
            <w:vAlign w:val="bottom"/>
            <w:gridSpan w:val="3"/>
          </w:tcPr>
          <w:p>
            <w:pPr>
              <w:spacing w:after="0"/>
              <w:rPr>
                <w:sz w:val="17"/>
                <w:szCs w:val="17"/>
                <w:color w:val="auto"/>
              </w:rPr>
            </w:pPr>
          </w:p>
        </w:tc>
        <w:tc>
          <w:tcPr>
            <w:tcW w:w="4000" w:type="dxa"/>
            <w:vAlign w:val="bottom"/>
            <w:tcBorders>
              <w:bottom w:val="single" w:sz="8" w:color="0000FF"/>
            </w:tcBorders>
            <w:gridSpan w:val="9"/>
          </w:tcPr>
          <w:p>
            <w:pPr>
              <w:spacing w:after="0" w:line="170" w:lineRule="exact"/>
              <w:rPr>
                <w:rFonts w:ascii="Arial" w:cs="Arial" w:eastAsia="Arial" w:hAnsi="Arial"/>
                <w:sz w:val="18"/>
                <w:szCs w:val="18"/>
                <w:color w:val="0000FF"/>
              </w:rPr>
            </w:pPr>
            <w:hyperlink w:anchor="page2">
              <w:r>
                <w:rPr>
                  <w:rFonts w:ascii="Arial" w:cs="Arial" w:eastAsia="Arial" w:hAnsi="Arial"/>
                  <w:sz w:val="18"/>
                  <w:szCs w:val="18"/>
                  <w:color w:val="0000FF"/>
                </w:rPr>
                <w:t>Consolidated Financial Information</w:t>
              </w:r>
            </w:hyperlink>
          </w:p>
        </w:tc>
        <w:tc>
          <w:tcPr>
            <w:tcW w:w="5540" w:type="dxa"/>
            <w:vAlign w:val="bottom"/>
            <w:gridSpan w:val="8"/>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c>
          <w:tcPr>
            <w:tcW w:w="20" w:type="dxa"/>
            <w:vAlign w:val="bottom"/>
          </w:tcPr>
          <w:p>
            <w:pPr>
              <w:spacing w:after="0"/>
              <w:rPr>
                <w:sz w:val="17"/>
                <w:szCs w:val="17"/>
                <w:color w:val="auto"/>
              </w:rPr>
            </w:pPr>
          </w:p>
        </w:tc>
      </w:tr>
      <w:tr>
        <w:trPr>
          <w:trHeight w:val="257"/>
        </w:trPr>
        <w:tc>
          <w:tcPr>
            <w:tcW w:w="116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95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 (unaudited) as of September 30, 2013 and December 31, 2012</w:t>
              </w:r>
            </w:hyperlink>
          </w:p>
        </w:tc>
        <w:tc>
          <w:tcPr>
            <w:tcW w:w="2940" w:type="dxa"/>
            <w:vAlign w:val="bottom"/>
            <w:gridSpan w:val="5"/>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Consolidated Statements of Operations (unaudited)—For the three and nine months ended September 30, 2013 and 2012</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Consolidated Statements of Comprehensive Income (Loss) (unaudited)—For the three and nine months ended September 30, 2013</w:t>
              </w:r>
            </w:hyperlink>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and 2012</w:t>
              </w:r>
            </w:hyperlink>
          </w:p>
        </w:tc>
        <w:tc>
          <w:tcPr>
            <w:tcW w:w="140" w:type="dxa"/>
            <w:vAlign w:val="bottom"/>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7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Consolidated Statement of Changes in Equity (unaudited)—For the nine months ended September 30, 2013</w:t>
              </w:r>
            </w:hyperlink>
          </w:p>
        </w:tc>
        <w:tc>
          <w:tcPr>
            <w:tcW w:w="180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 (unaudited)—For the nine months ended September 30, 2013 and 2012</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20" w:type="dxa"/>
            <w:vAlign w:val="bottom"/>
            <w:tcBorders>
              <w:top w:val="single" w:sz="8" w:color="0000FF"/>
            </w:tcBorders>
            <w:gridSpan w:val="14"/>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Consolidated Financial Statements (unaudited)</w:t>
              </w:r>
            </w:hyperlink>
          </w:p>
        </w:tc>
        <w:tc>
          <w:tcPr>
            <w:tcW w:w="152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9540" w:type="dxa"/>
            <w:vAlign w:val="bottom"/>
            <w:gridSpan w:val="1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080" w:type="dxa"/>
            <w:vAlign w:val="bottom"/>
            <w:tcBorders>
              <w:left w:val="single" w:sz="8" w:color="0000FF"/>
            </w:tcBorders>
            <w:shd w:val="clear" w:color="auto" w:fill="0000FF"/>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9540" w:type="dxa"/>
            <w:vAlign w:val="bottom"/>
            <w:gridSpan w:val="1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tcBorders>
              <w:left w:val="single" w:sz="8" w:color="0000FF"/>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9540" w:type="dxa"/>
            <w:vAlign w:val="bottom"/>
            <w:gridSpan w:val="1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Controls and Procedures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Part II.</w:t>
              </w:r>
            </w:hyperlink>
          </w:p>
        </w:tc>
        <w:tc>
          <w:tcPr>
            <w:tcW w:w="9540" w:type="dxa"/>
            <w:vAlign w:val="bottom"/>
            <w:gridSpan w:val="17"/>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Other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48</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sz w:val="20"/>
                <w:szCs w:val="20"/>
                <w:color w:val="auto"/>
              </w:rPr>
            </w:pPr>
            <w:r>
              <w:rPr>
                <w:rFonts w:ascii="Arial" w:cs="Arial" w:eastAsia="Arial" w:hAnsi="Arial"/>
                <w:sz w:val="18"/>
                <w:szCs w:val="18"/>
                <w:color w:val="0000FF"/>
                <w:w w:val="98"/>
              </w:rPr>
              <w:t>Item 1.</w:t>
            </w:r>
          </w:p>
        </w:tc>
        <w:tc>
          <w:tcPr>
            <w:tcW w:w="600" w:type="dxa"/>
            <w:vAlign w:val="bottom"/>
            <w:gridSpan w:val="2"/>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Legal Proceedings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8"/>
                <w:szCs w:val="18"/>
                <w:color w:val="0000FF"/>
                <w:w w:val="92"/>
              </w:rPr>
              <w:t>Item 1A.</w:t>
            </w: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Risk Factors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49</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gridSpan w:val="6"/>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9540" w:type="dxa"/>
            <w:vAlign w:val="bottom"/>
            <w:gridSpan w:val="1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Defaults Upon Senior Securities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gridSpan w:val="6"/>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9540" w:type="dxa"/>
            <w:vAlign w:val="bottom"/>
            <w:gridSpan w:val="1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Mine Safety Disclosures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gridSpan w:val="5"/>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Arial" w:cs="Arial" w:eastAsia="Arial" w:hAnsi="Arial"/>
                <w:sz w:val="18"/>
                <w:szCs w:val="18"/>
                <w:color w:val="0000FF"/>
              </w:rPr>
              <w:t>Item 5.</w:t>
            </w:r>
          </w:p>
        </w:tc>
        <w:tc>
          <w:tcPr>
            <w:tcW w:w="9540" w:type="dxa"/>
            <w:vAlign w:val="bottom"/>
            <w:gridSpan w:val="1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Other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Arial" w:cs="Arial" w:eastAsia="Arial" w:hAnsi="Arial"/>
                <w:sz w:val="18"/>
                <w:szCs w:val="18"/>
                <w:color w:val="0000FF"/>
              </w:rPr>
              <w:t>Item 6.</w:t>
            </w:r>
          </w:p>
        </w:tc>
        <w:tc>
          <w:tcPr>
            <w:tcW w:w="9540" w:type="dxa"/>
            <w:vAlign w:val="bottom"/>
            <w:gridSpan w:val="17"/>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Exhibits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96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FF"/>
                <w:w w:val="94"/>
              </w:rPr>
            </w:pPr>
            <w:hyperlink w:anchor="page53">
              <w:r>
                <w:rPr>
                  <w:rFonts w:ascii="Arial" w:cs="Arial" w:eastAsia="Arial" w:hAnsi="Arial"/>
                  <w:sz w:val="18"/>
                  <w:szCs w:val="18"/>
                  <w:b w:val="1"/>
                  <w:bCs w:val="1"/>
                  <w:color w:val="0000FF"/>
                  <w:w w:val="94"/>
                </w:rPr>
                <w:t>SIGNATURES</w:t>
              </w:r>
            </w:hyperlink>
          </w:p>
        </w:tc>
        <w:tc>
          <w:tcPr>
            <w:tcW w:w="9540" w:type="dxa"/>
            <w:vAlign w:val="bottom"/>
            <w:gridSpan w:val="1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3,224,167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3,226,648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(438,732)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(427,625)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2,785,435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2,799,023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410,080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635,865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3,195,515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3,434,888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Loans receivable and other lending investments, net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1,362,752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1,829,985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398,843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735,452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256,344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36,778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11,791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15,226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operating lease income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84,735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139,574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93,990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5,773,340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6,150,789</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1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122,742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132,460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4,253,165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4,691,494</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4,375,907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4,823,954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12,393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13,681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iStar Financial Inc. shareholders' equity:</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Series D, E, F, G and I, liquidation preference $25.00 per share (see Note 11)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Convertible Preferred Stock Series J, liquidation preference $50.00 per share (see Note 11)</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 Performance Units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w w:val="91"/>
              </w:rPr>
              <w:t>Common Stock, $0.001 par value, 200,000 shares authorized, 144,319 issued and 85,402 outstanding at September</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30, 2013 and 142,699 issued and 83,782 outstanding at December 31, 2012</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4,020,855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3,832,780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Retained earnings (deficit)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(2,461,749)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(2,360,647)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(see Note 11)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Treasury stock, at cost, $0.001 par value, 58,917 shares at September 30, 2013 and December 31, 2012</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(241,969)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(241,969)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iStar Financial Inc.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1,322,962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1,238,944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62,078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74,210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1,385,040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1,313,154</w:t>
            </w:r>
          </w:p>
        </w:tc>
        <w:tc>
          <w:tcPr>
            <w:tcW w:w="0" w:type="dxa"/>
            <w:vAlign w:val="bottom"/>
          </w:tcPr>
          <w:p>
            <w:pPr>
              <w:spacing w:after="0"/>
              <w:rPr>
                <w:sz w:val="1"/>
                <w:szCs w:val="1"/>
                <w:color w:val="auto"/>
              </w:rPr>
            </w:pP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5,773,340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6,150,789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For the Three Months Ended</w:t>
            </w:r>
          </w:p>
        </w:tc>
        <w:tc>
          <w:tcPr>
            <w:tcW w:w="180" w:type="dxa"/>
            <w:vAlign w:val="bottom"/>
          </w:tcPr>
          <w:p>
            <w:pPr>
              <w:spacing w:after="0"/>
              <w:rPr>
                <w:sz w:val="14"/>
                <w:szCs w:val="14"/>
                <w:color w:val="auto"/>
              </w:rPr>
            </w:pPr>
          </w:p>
        </w:tc>
        <w:tc>
          <w:tcPr>
            <w:tcW w:w="196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w w:val="95"/>
              </w:rPr>
              <w:t>For the Nine Months Ended</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96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60,306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53,029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175,638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159,670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24,235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104,822</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11,261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35,778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36,696</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95,802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301,188</w:t>
            </w:r>
          </w:p>
        </w:tc>
        <w:tc>
          <w:tcPr>
            <w:tcW w:w="0" w:type="dxa"/>
            <w:vAlign w:val="bottom"/>
          </w:tcPr>
          <w:p>
            <w:pPr>
              <w:spacing w:after="0"/>
              <w:rPr>
                <w:sz w:val="1"/>
                <w:szCs w:val="1"/>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63,793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271,594</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Real estate expense</w:t>
            </w:r>
          </w:p>
        </w:tc>
        <w:tc>
          <w:tcPr>
            <w:tcW w:w="16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37,604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37,797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112,437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111,048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18,969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53,639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49,378</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24,285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19,037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67,008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61,674</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(recovery of) loan losses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60,865</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16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6,261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6,261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8,632</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6,754</w:t>
            </w:r>
          </w:p>
        </w:tc>
        <w:tc>
          <w:tcPr>
            <w:tcW w:w="0" w:type="dxa"/>
            <w:vAlign w:val="bottom"/>
          </w:tcPr>
          <w:p>
            <w:pPr>
              <w:spacing w:after="0"/>
              <w:rPr>
                <w:sz w:val="1"/>
                <w:szCs w:val="1"/>
                <w:color w:val="auto"/>
              </w:rPr>
            </w:pPr>
          </w:p>
        </w:tc>
      </w:tr>
      <w:tr>
        <w:trPr>
          <w:trHeight w:val="217"/>
        </w:trPr>
        <w:tc>
          <w:tcPr>
            <w:tcW w:w="6980" w:type="dxa"/>
            <w:vAlign w:val="bottom"/>
          </w:tcPr>
          <w:p>
            <w:pPr>
              <w:ind w:left="28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142,573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186,124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456,519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569,945</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earnings from equity method investments and other items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(166,519)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(268,757)</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Gain (loss) on early extinguishment of debt, net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(6,858)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from equity method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75,925</w:t>
            </w:r>
          </w:p>
        </w:tc>
        <w:tc>
          <w:tcPr>
            <w:tcW w:w="0" w:type="dxa"/>
            <w:vAlign w:val="bottom"/>
          </w:tcPr>
          <w:p>
            <w:pPr>
              <w:spacing w:after="0"/>
              <w:rPr>
                <w:sz w:val="1"/>
                <w:szCs w:val="1"/>
                <w:color w:val="auto"/>
              </w:rPr>
            </w:pP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(45,924)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(73,565)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(160,455)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(199,690)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(expense) benefit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(6,540)</w:t>
            </w:r>
          </w:p>
        </w:tc>
        <w:tc>
          <w:tcPr>
            <w:tcW w:w="0" w:type="dxa"/>
            <w:vAlign w:val="bottom"/>
          </w:tcPr>
          <w:p>
            <w:pPr>
              <w:spacing w:after="0"/>
              <w:rPr>
                <w:sz w:val="1"/>
                <w:szCs w:val="1"/>
                <w:color w:val="auto"/>
              </w:rPr>
            </w:pP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Income (loss) from continuing operations(1)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(42,045)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(75,356)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(161,080)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(206,230)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(18,094)</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Gain from discontinued operations</w:t>
            </w:r>
          </w:p>
        </w:tc>
        <w:tc>
          <w:tcPr>
            <w:tcW w:w="16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9,166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22,488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27,257</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sales of residential property</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14,075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72,092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35,583</w:t>
            </w:r>
          </w:p>
        </w:tc>
        <w:tc>
          <w:tcPr>
            <w:tcW w:w="0" w:type="dxa"/>
            <w:vAlign w:val="bottom"/>
          </w:tcPr>
          <w:p>
            <w:pPr>
              <w:spacing w:after="0"/>
              <w:rPr>
                <w:sz w:val="1"/>
                <w:szCs w:val="1"/>
                <w:color w:val="auto"/>
              </w:rPr>
            </w:pP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(18,590)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(64,306)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(65,244)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(161,484)</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1,363</w:t>
            </w:r>
          </w:p>
        </w:tc>
        <w:tc>
          <w:tcPr>
            <w:tcW w:w="0" w:type="dxa"/>
            <w:vAlign w:val="bottom"/>
          </w:tcPr>
          <w:p>
            <w:pPr>
              <w:spacing w:after="0"/>
              <w:rPr>
                <w:sz w:val="1"/>
                <w:szCs w:val="1"/>
                <w:color w:val="auto"/>
              </w:rPr>
            </w:pP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Net income (loss) attributable to iStar Financial Inc.</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(18,757)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(63,640)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(64,912)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(160,121)</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dividends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(31,740)</w:t>
            </w:r>
          </w:p>
        </w:tc>
        <w:tc>
          <w:tcPr>
            <w:tcW w:w="0" w:type="dxa"/>
            <w:vAlign w:val="bottom"/>
          </w:tcPr>
          <w:p>
            <w:pPr>
              <w:spacing w:after="0"/>
              <w:rPr>
                <w:sz w:val="1"/>
                <w:szCs w:val="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Net (income) loss allocable to HPU holders and Participating Security holders(2)(3)</w:t>
            </w:r>
          </w:p>
        </w:tc>
        <w:tc>
          <w:tcPr>
            <w:tcW w:w="16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3,263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6,288</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allocable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(185,573)</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common share data(1):</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attributable to iStar Financial Inc.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iStar Financial Inc.:</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 average number of common shares—basic and diluted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85,392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83,765</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Per HPU share data(1)(2):</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attributable to iStar Financial Inc.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(87.87)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(152.47)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(268.67)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(439.20)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iStar Financial Inc.:</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(67.73)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(162.40)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(217.54)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(419.20)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number of HPU shares—basic and diluted</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6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47"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Income (loss) from continuing operations attributable to iStar Financial Inc. for the three months ended September 30, 2013 and 2012 was $(42.2) million and $(74.7) million, respectively, and for the nine months ended September 30, 2013, and 2012 was $(160.7) million and $(204.9) million, respectively. See Note 13 for details on the calculation of earnings per share.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color w:val="auto"/>
        </w:rPr>
        <w:t>HPU holders are current and former Company employees who purchased high performance common stock units under the Company's High Performance Unit Program (see Note 11).</w:t>
      </w:r>
    </w:p>
    <w:p>
      <w:pPr>
        <w:spacing w:after="0" w:line="12" w:lineRule="exact"/>
        <w:rPr>
          <w:rFonts w:ascii="Arial" w:cs="Arial" w:eastAsia="Arial" w:hAnsi="Arial"/>
          <w:sz w:val="13"/>
          <w:szCs w:val="13"/>
          <w:color w:val="auto"/>
        </w:rPr>
      </w:pPr>
    </w:p>
    <w:p>
      <w:pPr>
        <w:ind w:left="660" w:right="20" w:hanging="652"/>
        <w:spacing w:after="0" w:line="255"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Participating Security holders are Company employees and directors who hold unvested restricted stock units, restricted stock awards and common stock equivalents granted under the Company's Long Term Incentive Plans that are eligible to participate in dividends (see Note 12 and Note 13).</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18" w:right="239" w:bottom="16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65"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14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w w:val="98"/>
              </w:rPr>
              <w:t>For the Nine Months Ended</w:t>
            </w:r>
          </w:p>
        </w:tc>
      </w:tr>
      <w:tr>
        <w:trPr>
          <w:trHeight w:val="192"/>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(64,306)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(161,484)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Reclassification of (gains)/losses on available-for-sale securities into earnings upon</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realization(1)</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w w:val="91"/>
              </w:rPr>
              <w:t>Reclassification of (gains)/losses on cash flow hedges into earnings upon realization(2)</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Reclassification of (gains)/losses on cumulative translation adjustment into earnings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upon realization(3)</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Unrealized gains/(losses) on available-for-sale securities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gains/(losses) on cash flow hedges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Unrealized gains/(losses) on cumulative translation adjustment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(20,369)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(65,612)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(68,204)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(163,168)</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iStar Financial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(64,946)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(67,872)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(161,805)</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269" w:lineRule="auto"/>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 the three and nine months ended September 30, 2013, $266 is included in "Other income" on the Company's Consolidated Statements of Operations. For the three and nine months ended September 30, 2013, $0 and $593, respectively, are included in "Earnings from equity method investments" on the Company's Consolidated Statements of Operations.</w:t>
      </w:r>
    </w:p>
    <w:p>
      <w:pPr>
        <w:spacing w:after="0" w:line="1" w:lineRule="exact"/>
        <w:rPr>
          <w:rFonts w:ascii="Arial" w:cs="Arial" w:eastAsia="Arial" w:hAnsi="Arial"/>
          <w:sz w:val="13"/>
          <w:szCs w:val="13"/>
          <w:color w:val="auto"/>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"Interest expense" on the Company's Consolidated Statements of Operations.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"Earnings from equity method investments" on the Company's Consolidated Statements of Operations.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 of Changes in Equity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 the Nine Months Ended September 30, 2013</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380"/>
          </w:cols>
          <w:pgMar w:left="240" w:top="11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iStar Financial Inc. Shareholders' Equity</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Preferred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Series</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HPU's</w:t>
            </w: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 at</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w:t>
            </w: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Stock at</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0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Stock(1)</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J(1)</w:t>
            </w: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Par</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(Deficit)</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b w:val="1"/>
                <w:bCs w:val="1"/>
                <w:color w:val="auto"/>
                <w:w w:val="99"/>
              </w:rPr>
              <w:t>Interests</w:t>
            </w:r>
          </w:p>
        </w:tc>
        <w:tc>
          <w:tcPr>
            <w:tcW w:w="0" w:type="dxa"/>
            <w:vAlign w:val="bottom"/>
          </w:tcPr>
          <w:p>
            <w:pPr>
              <w:spacing w:after="0"/>
              <w:rPr>
                <w:sz w:val="1"/>
                <w:szCs w:val="1"/>
                <w:color w:val="auto"/>
              </w:rPr>
            </w:pPr>
          </w:p>
        </w:tc>
      </w:tr>
      <w:tr>
        <w:trPr>
          <w:trHeight w:val="215"/>
        </w:trPr>
        <w:tc>
          <w:tcPr>
            <w:tcW w:w="1600" w:type="dxa"/>
            <w:vAlign w:val="bottom"/>
          </w:tcPr>
          <w:p>
            <w:pPr>
              <w:spacing w:after="0"/>
              <w:rPr>
                <w:sz w:val="20"/>
                <w:szCs w:val="20"/>
                <w:color w:val="auto"/>
              </w:rPr>
            </w:pPr>
            <w:r>
              <w:rPr>
                <w:rFonts w:ascii="Arial" w:cs="Arial" w:eastAsia="Arial" w:hAnsi="Arial"/>
                <w:sz w:val="18"/>
                <w:szCs w:val="18"/>
                <w:color w:val="auto"/>
              </w:rPr>
              <w:t>Balance at</w:t>
            </w: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w w:val="99"/>
              </w:rPr>
              <w:t>December 31, 2012</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4"/>
              </w:rPr>
              <w:t>$9,800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w w:val="94"/>
              </w:rPr>
              <w:t>$ 3,832,780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4"/>
              </w:rPr>
              <w:t>$(2,360,647)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9"/>
              </w:rPr>
              <w:t>$ (241,969)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74,210</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w w:val="91"/>
              </w:rPr>
              <w:t>Issuance of Preferred</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Stock</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193,506</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w w:val="92"/>
              </w:rPr>
              <w:t>Dividends declared—</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preferred</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(36,190)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Issuance of</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93"/>
              </w:rPr>
              <w:t>stock/restricted stock</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amortization, net</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Net loss for the</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period(2)</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(64,912)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Change in</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accumulated other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comprehensive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income (loss)</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Additional paid-in</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w w:val="95"/>
              </w:rPr>
              <w:t>capital attributable to</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redeemable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noncontrolling</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interest(4)</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Contributions from</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noncontrolling</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interests(3)</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9,951</w:t>
            </w: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Distributions to</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noncontrolling</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interests(4)</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(23,850)</w:t>
            </w:r>
          </w:p>
        </w:tc>
        <w:tc>
          <w:tcPr>
            <w:tcW w:w="0" w:type="dxa"/>
            <w:vAlign w:val="bottom"/>
          </w:tcPr>
          <w:p>
            <w:pPr>
              <w:spacing w:after="0"/>
              <w:rPr>
                <w:sz w:val="1"/>
                <w:szCs w:val="1"/>
                <w:color w:val="auto"/>
              </w:rPr>
            </w:pPr>
          </w:p>
        </w:tc>
      </w:tr>
      <w:tr>
        <w:trPr>
          <w:trHeight w:val="27"/>
        </w:trPr>
        <w:tc>
          <w:tcPr>
            <w:tcW w:w="1600" w:type="dxa"/>
            <w:vAlign w:val="bottom"/>
            <w:vMerge w:val="restart"/>
          </w:tcPr>
          <w:p>
            <w:pPr>
              <w:spacing w:after="0"/>
              <w:rPr>
                <w:sz w:val="20"/>
                <w:szCs w:val="20"/>
                <w:color w:val="auto"/>
              </w:rPr>
            </w:pPr>
            <w:r>
              <w:rPr>
                <w:rFonts w:ascii="Arial" w:cs="Arial" w:eastAsia="Arial" w:hAnsi="Arial"/>
                <w:sz w:val="18"/>
                <w:szCs w:val="18"/>
                <w:color w:val="auto"/>
                <w:w w:val="88"/>
              </w:rPr>
              <w:t>Balance at September</w:t>
            </w: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00" w:type="dxa"/>
            <w:vAlign w:val="bottom"/>
            <w:vMerge w:val="continue"/>
          </w:tcPr>
          <w:p>
            <w:pPr>
              <w:spacing w:after="0"/>
              <w:rPr>
                <w:sz w:val="18"/>
                <w:szCs w:val="18"/>
                <w:color w:val="auto"/>
              </w:rPr>
            </w:pP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color w:val="auto"/>
                <w:w w:val="94"/>
              </w:rPr>
              <w:t>$9,800</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020" w:type="dxa"/>
            <w:vAlign w:val="bottom"/>
            <w:vMerge w:val="restart"/>
          </w:tcPr>
          <w:p>
            <w:pPr>
              <w:jc w:val="right"/>
              <w:ind w:right="14"/>
              <w:spacing w:after="0"/>
              <w:rPr>
                <w:sz w:val="20"/>
                <w:szCs w:val="20"/>
                <w:color w:val="auto"/>
              </w:rPr>
            </w:pPr>
            <w:r>
              <w:rPr>
                <w:rFonts w:ascii="Arial" w:cs="Arial" w:eastAsia="Arial" w:hAnsi="Arial"/>
                <w:sz w:val="18"/>
                <w:szCs w:val="18"/>
                <w:color w:val="auto"/>
                <w:w w:val="94"/>
              </w:rPr>
              <w:t>$ 4,020,855</w:t>
            </w: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94"/>
              </w:rPr>
              <w:t>$(2,461,749)</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(4,145)</w:t>
            </w: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89"/>
              </w:rPr>
              <w:t>$ (241,969)</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2"/>
              <w:spacing w:after="0"/>
              <w:rPr>
                <w:sz w:val="20"/>
                <w:szCs w:val="20"/>
                <w:color w:val="auto"/>
              </w:rPr>
            </w:pPr>
            <w:r>
              <w:rPr>
                <w:rFonts w:ascii="Arial" w:cs="Arial" w:eastAsia="Arial" w:hAnsi="Arial"/>
                <w:sz w:val="18"/>
                <w:szCs w:val="18"/>
                <w:color w:val="auto"/>
              </w:rPr>
              <w:t>62,078</w:t>
            </w: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0"/>
                <w:szCs w:val="20"/>
                <w:color w:val="auto"/>
              </w:rPr>
            </w:pPr>
            <w:r>
              <w:rPr>
                <w:rFonts w:ascii="Arial" w:cs="Arial" w:eastAsia="Arial" w:hAnsi="Arial"/>
                <w:sz w:val="18"/>
                <w:szCs w:val="18"/>
                <w:color w:val="auto"/>
              </w:rPr>
              <w:t>30, 2013</w:t>
            </w:r>
          </w:p>
        </w:tc>
        <w:tc>
          <w:tcPr>
            <w:tcW w:w="26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-4621530</wp:posOffset>
            </wp:positionV>
            <wp:extent cx="7246620" cy="4605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60502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11 for details on the Company's Cumulative Redeemable Preferred Stock.</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nine months ended September 30, 2013 net loss shown above excludes $2.1 million of net loss attributable to redeemable noncontrolling interests.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$9.4 million of operating property assets contributed by a noncontrolling partner (see Note 4).</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$8.8 million payment to redeem a noncontrolling member's interest.</w:t>
      </w:r>
    </w:p>
    <w:p>
      <w:pPr>
        <w:spacing w:after="0" w:line="169"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Total</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Equity</w:t>
      </w:r>
    </w:p>
    <w:p>
      <w:pPr>
        <w:spacing w:after="0" w:line="250" w:lineRule="exact"/>
        <w:rPr>
          <w:sz w:val="20"/>
          <w:szCs w:val="20"/>
          <w:color w:val="auto"/>
        </w:rPr>
      </w:pPr>
    </w:p>
    <w:p>
      <w:pPr>
        <w:ind w:left="180" w:hanging="179"/>
        <w:spacing w:after="0"/>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1,313,154</w:t>
      </w:r>
    </w:p>
    <w:p>
      <w:pPr>
        <w:spacing w:after="0" w:line="290"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8"/>
          <w:szCs w:val="18"/>
          <w:color w:val="auto"/>
        </w:rPr>
        <w:t>193,510</w:t>
      </w:r>
    </w:p>
    <w:p>
      <w:pPr>
        <w:spacing w:after="0" w:line="279"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6"/>
          <w:szCs w:val="16"/>
          <w:color w:val="auto"/>
        </w:rPr>
        <w:t>(36,190)</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(2,875)</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(63,145)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(2,555)</w:t>
      </w:r>
    </w:p>
    <w:p>
      <w:pPr>
        <w:spacing w:after="0" w:line="200" w:lineRule="exact"/>
        <w:rPr>
          <w:sz w:val="20"/>
          <w:szCs w:val="20"/>
          <w:color w:val="auto"/>
        </w:rPr>
      </w:pP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9,951</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(23,850)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$ 1,385,040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48895</wp:posOffset>
            </wp:positionV>
            <wp:extent cx="660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ectPr>
          <w:pgSz w:w="11900" w:h="16838" w:orient="portrait"/>
          <w:cols w:equalWidth="0" w:num="2">
            <w:col w:w="10280" w:space="140"/>
            <w:col w:w="960"/>
          </w:cols>
          <w:pgMar w:left="240" w:top="118" w:right="279" w:bottom="1440" w:gutter="0" w:footer="0" w:header="0"/>
          <w:type w:val="continuous"/>
        </w:sectPr>
      </w:pPr>
    </w:p>
    <w:bookmarkStart w:id="6" w:name="page7"/>
    <w:bookmarkEnd w:id="6"/>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5"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For the Nine Months</w:t>
      </w:r>
    </w:p>
    <w:p>
      <w:pPr>
        <w:spacing w:after="0" w:line="4"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13335</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r>
      <w:tr>
        <w:trPr>
          <w:trHeight w:val="23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5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(65,244)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(161,484)</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Provision for loan losses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60,865</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31,844</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53,873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51,205</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for withholding taxes upon vesting of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(11,775)</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Non-cash expense for stock-based compensation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14,484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11,625</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discounts/premiums and deferred financing costs on debt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26,406</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Amortization of discounts/premiums and deferred interest on loans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(25,760)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(38,435)</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from equity method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(75,925)</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Distributions from operations of equity method investments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12,825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77,625</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operating lease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(8,454)</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Income from sales of residential property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(72,092)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(35,583)</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(27,257)</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(Gain) loss on early extinguishment of debt,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16,768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6,384</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and repurchases of debt - debt discount and prepayment penalty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(20,529)</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Other operating activities,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3,385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6,540</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60" w:type="dxa"/>
            <w:vAlign w:val="bottom"/>
          </w:tcPr>
          <w:p>
            <w:pPr>
              <w:ind w:left="280"/>
              <w:spacing w:after="0"/>
              <w:rPr>
                <w:sz w:val="20"/>
                <w:szCs w:val="20"/>
                <w:color w:val="auto"/>
              </w:rPr>
            </w:pPr>
            <w:r>
              <w:rPr>
                <w:rFonts w:ascii="Arial" w:cs="Arial" w:eastAsia="Arial" w:hAnsi="Arial"/>
                <w:sz w:val="16"/>
                <w:szCs w:val="16"/>
                <w:color w:val="auto"/>
              </w:rPr>
              <w:t>Changes in accrued interest and operating lease income receivable,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5,460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3,581</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deferred expenses and other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(2,572)</w:t>
            </w:r>
          </w:p>
        </w:tc>
      </w:tr>
      <w:tr>
        <w:trPr>
          <w:trHeight w:val="237"/>
        </w:trPr>
        <w:tc>
          <w:tcPr>
            <w:tcW w:w="8560" w:type="dxa"/>
            <w:vAlign w:val="bottom"/>
          </w:tcPr>
          <w:p>
            <w:pPr>
              <w:ind w:left="280"/>
              <w:spacing w:after="0"/>
              <w:rPr>
                <w:sz w:val="20"/>
                <w:szCs w:val="20"/>
                <w:color w:val="auto"/>
              </w:rPr>
            </w:pPr>
            <w:r>
              <w:rPr>
                <w:rFonts w:ascii="Arial" w:cs="Arial" w:eastAsia="Arial" w:hAnsi="Arial"/>
                <w:sz w:val="16"/>
                <w:szCs w:val="16"/>
                <w:color w:val="auto"/>
              </w:rPr>
              <w:t>Changes in accounts payable, accrued expenses and other liabilities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21,366</w:t>
            </w:r>
          </w:p>
        </w:tc>
      </w:tr>
      <w:tr>
        <w:trPr>
          <w:trHeight w:val="33"/>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(150,295)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(84,573)</w:t>
            </w:r>
          </w:p>
        </w:tc>
      </w:tr>
      <w:tr>
        <w:trPr>
          <w:trHeight w:val="217"/>
        </w:trPr>
        <w:tc>
          <w:tcPr>
            <w:tcW w:w="856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originations and fundings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(179,552)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(29,152)</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Capital expenditures on real estate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(76,970)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(45,736)</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Contributions to unconsolidated entities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(8,466)</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Repayments of and principal collections on loans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536,170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479,965</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proceeds from sales of loans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56,998</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Net proceeds from sales of real estate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360,848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457,735</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proceeds from sale of other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Distributions from other investments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51,506</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restricted cash held in connection with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(462,217)</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Other investing activities,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799</w:t>
            </w:r>
          </w:p>
        </w:tc>
      </w:tr>
      <w:tr>
        <w:trPr>
          <w:trHeight w:val="33"/>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942,313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501,432</w:t>
            </w:r>
          </w:p>
        </w:tc>
      </w:tr>
      <w:tr>
        <w:trPr>
          <w:trHeight w:val="217"/>
        </w:trPr>
        <w:tc>
          <w:tcPr>
            <w:tcW w:w="856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Borrowings under secured credit facilities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657,847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850,465</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Repayments under secured credit facilities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(1,128,904)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(603,419)</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under unsecured credit facilities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(244,046)</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Borrowings under secured term loans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14,826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54,500</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under secured term loans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(109,541)</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Borrowings under unsecured notes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565,000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264,029</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under unsecured notes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(259,584)</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Repurchases and redemptions of unsecured notes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(447,664)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(404,449)</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for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(4,189)</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Preferred dividends paid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(36,190)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(31,740)</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193,510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560" w:type="dxa"/>
            <w:vAlign w:val="bottom"/>
          </w:tcPr>
          <w:p>
            <w:pPr>
              <w:ind w:left="180"/>
              <w:spacing w:after="0"/>
              <w:rPr>
                <w:sz w:val="20"/>
                <w:szCs w:val="20"/>
                <w:color w:val="auto"/>
              </w:rPr>
            </w:pPr>
            <w:r>
              <w:rPr>
                <w:rFonts w:ascii="Arial" w:cs="Arial" w:eastAsia="Arial" w:hAnsi="Arial"/>
                <w:sz w:val="16"/>
                <w:szCs w:val="16"/>
                <w:color w:val="auto"/>
              </w:rPr>
              <w:t>Other financing activities,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(1,052)</w:t>
            </w:r>
          </w:p>
        </w:tc>
      </w:tr>
      <w:tr>
        <w:trPr>
          <w:trHeight w:val="33"/>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(312,910)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(489,026)</w:t>
            </w:r>
          </w:p>
        </w:tc>
      </w:tr>
      <w:tr>
        <w:trPr>
          <w:trHeight w:val="217"/>
        </w:trPr>
        <w:tc>
          <w:tcPr>
            <w:tcW w:w="8560" w:type="dxa"/>
            <w:vAlign w:val="bottom"/>
          </w:tcPr>
          <w:p>
            <w:pPr>
              <w:ind w:left="180"/>
              <w:spacing w:after="0"/>
              <w:rPr>
                <w:sz w:val="20"/>
                <w:szCs w:val="20"/>
                <w:color w:val="auto"/>
              </w:rPr>
            </w:pPr>
            <w:r>
              <w:rPr>
                <w:rFonts w:ascii="Arial" w:cs="Arial" w:eastAsia="Arial" w:hAnsi="Arial"/>
                <w:sz w:val="16"/>
                <w:szCs w:val="16"/>
                <w:color w:val="auto"/>
              </w:rPr>
              <w:t>Changes in cash and cash equivalents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479,108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(72,167)</w:t>
            </w:r>
          </w:p>
        </w:tc>
      </w:tr>
      <w:tr>
        <w:trPr>
          <w:trHeight w:val="33"/>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256,344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356,826</w:t>
            </w:r>
          </w:p>
        </w:tc>
      </w:tr>
      <w:tr>
        <w:trPr>
          <w:trHeight w:val="244"/>
        </w:trPr>
        <w:tc>
          <w:tcPr>
            <w:tcW w:w="8560" w:type="dxa"/>
            <w:vAlign w:val="bottom"/>
          </w:tcPr>
          <w:p>
            <w:pPr>
              <w:ind w:left="18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735,452</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284,659</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97" w:orient="portrait"/>
          <w:cols w:equalWidth="0" w:num="1">
            <w:col w:w="11400"/>
          </w:cols>
          <w:pgMar w:left="240" w:top="118" w:right="259" w:bottom="0" w:gutter="0" w:footer="0" w:header="0"/>
        </w:sectPr>
      </w:pPr>
    </w:p>
    <w:bookmarkStart w:id="7" w:name="page8"/>
    <w:bookmarkEnd w:id="7"/>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9019"/>
          </w:cols>
          <w:pgMar w:left="1440" w:top="220"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220"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18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—iStar Financial Inc., or the "Company," is a fully-integrated finance and investment company focused on the commercial real estate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provides custom-tailored investment capital to high-end private and corporate owners of real estate and invests directly across a range of real estate sectors. The Company, which is taxed as a real estate investment trust, or "REIT," has invested more than $35 billion over the past two decades. The Company's primary business segments are real estate finance, net lease, operating properties and land.</w:t>
      </w:r>
    </w:p>
    <w:p>
      <w:pPr>
        <w:spacing w:after="0" w:line="124"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—The Company began its business in 1993 through private investment funds and became publicly traded in 1998. Since that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grown through the origination of new lending and leasing transactions, as well as through corporate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18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Consolidated Financial Statements have been prepared in conformity with the instructions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2012.</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Certain prior year amounts have been reclassified in the Consolidated Financial Statements and the related Notes to conform to the 2013 presentation.</w:t>
      </w:r>
    </w:p>
    <w:p>
      <w:pPr>
        <w:spacing w:after="0" w:line="20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financial statements of the Company,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partnerships and variable interest entities ("VIEs") for which the Company is the primary beneficiary. All significant intercompany balances and transactions have been eliminated in consolidation. The Company's involvement with VIEs affects its financial performance and cash flows primarily through amounts recorded in "operating lease income," "interest income," "earnings from equity method investments," "real estate expense" and "interest expense" in the Company's Consolidated Statements of Operations. The Company has not provided financial support to these VIEs that it was not previously contractually required to provide.</w:t>
      </w:r>
    </w:p>
    <w:p>
      <w:pPr>
        <w:spacing w:after="0" w:line="15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b w:val="1"/>
          <w:bCs w:val="1"/>
          <w:i w:val="1"/>
          <w:iCs w:val="1"/>
          <w:color w:val="auto"/>
        </w:rPr>
        <w:t>Consolidated VIEs</w:t>
      </w:r>
      <w:r>
        <w:rPr>
          <w:rFonts w:ascii="Arial" w:cs="Arial" w:eastAsia="Arial" w:hAnsi="Arial"/>
          <w:sz w:val="16"/>
          <w:szCs w:val="16"/>
          <w:color w:val="auto"/>
        </w:rPr>
        <w:t>—As of September 30, 2013, the Company consolidated five VIEs for which the Company is considered the primary beneficiary.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2013, the total assets of these consolidated VIEs were $213.8 million and total liabilities were $27.6 million. The classifications of these assets are primarily within "real estate, net," "loans receivable and other lending investments, net" and "other investments" on the Company's Consolidated Balance Sheets. The classifications of liabilities are primarily within "debt obligations, net," and "accounts payable, accrued expenses and other liabilities" on the Company's Consolidated Balance Sheets. The liabilities of these VIEs are non-recourse to the Company and can only be satisfied from each VIE's respective assets. The Company's total unfunded commitments related to consolidated VIEs was $44.7 million as of September 30, 2013.</w:t>
      </w:r>
    </w:p>
    <w:p>
      <w:pPr>
        <w:spacing w:after="0" w:line="12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b w:val="1"/>
          <w:bCs w:val="1"/>
          <w:i w:val="1"/>
          <w:iCs w:val="1"/>
          <w:color w:val="auto"/>
        </w:rPr>
        <w:t>Unconsolidated VIEs</w:t>
      </w:r>
      <w:r>
        <w:rPr>
          <w:rFonts w:ascii="Arial" w:cs="Arial" w:eastAsia="Arial" w:hAnsi="Arial"/>
          <w:sz w:val="17"/>
          <w:szCs w:val="17"/>
          <w:color w:val="auto"/>
        </w:rPr>
        <w:t>—As of September 30, 2013, 29 of the Company's investments were VIEs where it is not the primary beneficiary and accordingly,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VIEs have not been consolidated in the Company's Consolidated Financial Statements. As of September 30, 2013, the Company's maximum exposure to loss from these investments does not exceed the sum of the $163.7 million carrying value of the investments, which are classified in "other investments" on the Company's Consolidated Balance Sheets, and $8.1 million of related unfunded commitments.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1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September 30, 2013, the Company's significant accounting policies, which are detailed in the Company's Annual Report on Form 10-K for the year ended December 31, 2012, have not changed materially.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February 2013, the FASB issued ASU 2013-02, “Reporting of Amounts Reclassified Out of Accumulated Other Comprehensive Income.” This guidance is the culmination of the board's redeliberation on reporting reclassification adjustments from accumulated other comprehensive income. The standard requires companies to present information about reclassification adjustments from accumulated other comprehensive income in their interim and annual financial statements in a single note or on the face of the financial statements. This ASU is effective for interim and annual reporting periods beginning after December 15, 2012. The Company adopted this ASU beginning with the reporting period ended March 31, 2013. The adoption did not have a material impact on the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real estate assets were comprised of the following ($ in thousands):</w:t>
      </w:r>
    </w:p>
    <w:p>
      <w:pPr>
        <w:spacing w:after="0" w:line="3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Lease</w:t>
            </w: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w:t>
            </w:r>
          </w:p>
        </w:tc>
        <w:tc>
          <w:tcPr>
            <w:tcW w:w="320" w:type="dxa"/>
            <w:vAlign w:val="bottom"/>
          </w:tcPr>
          <w:p>
            <w:pPr>
              <w:spacing w:after="0"/>
              <w:rPr>
                <w:sz w:val="14"/>
                <w:szCs w:val="14"/>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Land</w:t>
            </w:r>
          </w:p>
        </w:tc>
        <w:tc>
          <w:tcPr>
            <w:tcW w:w="320" w:type="dxa"/>
            <w:vAlign w:val="bottom"/>
          </w:tcPr>
          <w:p>
            <w:pPr>
              <w:spacing w:after="0"/>
              <w:rPr>
                <w:sz w:val="14"/>
                <w:szCs w:val="14"/>
                <w:color w:val="auto"/>
              </w:rPr>
            </w:pPr>
          </w:p>
        </w:tc>
        <w:tc>
          <w:tcPr>
            <w:tcW w:w="10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Properties</w:t>
            </w: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2013</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335,598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132,608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815,302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1,283,508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1,295,419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645,240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1,940,659</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(335,301)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(100,325)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(438,732)</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1,295,716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677,523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812,196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2,785,435</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262,332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147,748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410,080</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1,295,716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939,855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959,944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3,195,515</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2012</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132,028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1,262,381</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1,295,081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669,186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1,964,267</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(427,625)</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1,323,621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691,580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783,822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2,799,023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454,587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635,865</w:t>
            </w: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8"/>
                <w:szCs w:val="18"/>
                <w:color w:val="auto"/>
              </w:rPr>
              <w:t>Total real estate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1,323,621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1,146,167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965,100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3,434,888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Real estate available and held for sale—</w:t>
      </w:r>
      <w:r>
        <w:rPr>
          <w:rFonts w:ascii="Arial" w:cs="Arial" w:eastAsia="Arial" w:hAnsi="Arial"/>
          <w:sz w:val="18"/>
          <w:szCs w:val="18"/>
          <w:color w:val="auto"/>
        </w:rPr>
        <w:t>As of September 30, 2013 and December 31, 2012, the Company had $252.9 million and $374.1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of residential properties available for sale in its operating properties portfolio.</w:t>
      </w:r>
    </w:p>
    <w:p>
      <w:pPr>
        <w:spacing w:after="0" w:line="1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During the nine months ended September 30, 2013, the Company reclassified two land properties with a carrying value of $49.7 million from held for sale to held for investment due to changes in the Company's business plan for the properties. These assets are included in "Real estate, net" on the Company's Consolidated Balance Sheets. During the same period, the Company reclassified two land properties with a carrying value of $19.8 million and net lease assets with a carrying value of $18.5 million to held for sale due to executed contracts with third parties. The net lease assets were disposed of for a gain of $3.6 million during the nine months ended September 30, 2013. The results of operations for the net lease assets that were reclassified are included in "Income (loss) from discontinued operations" on the Company's Consolidated Statements of Operations for all periods presented. The two land properties are included in "Real estate available and held for sale" on the Company's Consolidated Balance Sheets.</w:t>
      </w:r>
    </w:p>
    <w:p>
      <w:pPr>
        <w:spacing w:after="0" w:line="133"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During the nine months ended September 30, 2013, the Company acquired, via foreclosure, title to a residential operating property and a</w:t>
      </w:r>
      <w:r>
        <w:rPr>
          <w:rFonts w:ascii="Arial" w:cs="Arial" w:eastAsia="Arial" w:hAnsi="Arial"/>
          <w:sz w:val="18"/>
          <w:szCs w:val="18"/>
          <w:b w:val="1"/>
          <w:bCs w:val="1"/>
          <w:color w:val="auto"/>
        </w:rPr>
        <w:t xml:space="preserve"> </w:t>
      </w:r>
      <w:r>
        <w:rPr>
          <w:rFonts w:ascii="Arial" w:cs="Arial" w:eastAsia="Arial" w:hAnsi="Arial"/>
          <w:sz w:val="18"/>
          <w:szCs w:val="18"/>
          <w:color w:val="auto"/>
        </w:rPr>
        <w:t>land property, each of which previously served as collateral on loans receivable. The fair value of the land property was $5.2 million. The Company contributed the residential operating property, which had a fair value of $25.5 million, to an entity, of which it owns 63%. Based on the control provisions in the partnership agreement, the Company consolidates the entity and reflects its partner's 37% share of equity in "Noncontrolling interests" on the Company's Consolidated Balance</w:t>
      </w:r>
    </w:p>
    <w:p>
      <w:pPr>
        <w:sectPr>
          <w:pgSz w:w="11900" w:h="16838" w:orient="portrait"/>
          <w:cols w:equalWidth="0" w:num="1">
            <w:col w:w="11420"/>
          </w:cols>
          <w:pgMar w:left="240" w:top="121"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Sheets. The acquisition was accounted for at fair value and reflects adjustments made to finalize the initial accounting of the purchase price allocation of the assets and noncontrolling interest. No gain or loss was recorded in conjunction with this transaction.</w:t>
      </w:r>
    </w:p>
    <w:p>
      <w:pPr>
        <w:spacing w:after="0" w:line="130"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During the nine months ended September 30, 2012, the Company acquired title to properties previously serving as collateral on its loan receivables with a total fair value of $212.0 million at the time of foreclosure. These properties included $172.4 million of residential operating properties, $15.6 million of commercial operating properties and $24.0 million of land.</w:t>
      </w:r>
    </w:p>
    <w:p>
      <w:pPr>
        <w:spacing w:after="0" w:line="13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During the three months ended September 30, 2013 and 2012, the Company sold 107 and 131 condominium units, respectively,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income from sales of residential properties totaling $14.1 million and $15.6 million, respectively. During the nine months ended September 30, 2013 and 2012, the Company sold 347 and 393 condominium units, respectively, and recorded income from sales of residential properties totaling $68.7 million and $35.6 million, respectively.</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nine months ended September 30, 2013, the Company sold land for net proceeds of $21.4 million to an unconsolidated entity in which the Company also received a preferred partnership interest and a 47.5% equity interest. The Company recognized a gain of $3.4 million, reflecting the proportionate share of our sold interest, which was recorded as "Income from sales of residential property" on the Company's Consolidated Statements of Operations.</w:t>
      </w:r>
    </w:p>
    <w:p>
      <w:pPr>
        <w:spacing w:after="0" w:line="14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Additionally, during the nine months ended September 30, 2013, the Company sold four net lease assets with a carrying value of $15.7 million resulting in a net gain of $2.9 million. During the same period the Company sold five commercial operating properties with a carrying value of $70.5 million resulting in a net gain of $19.1 million. These gains were recorded as "Gain from discontinued operations" on the Company's Consolidated Statements of Operations. The Company also sold other land assets with a carrying value of $8.6 million for proceeds that approximated carrying value.</w:t>
      </w:r>
    </w:p>
    <w:p>
      <w:pPr>
        <w:spacing w:after="0" w:line="13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Additionally, during the nine months ended September 30, 2013, the Company transferred title of net lease assets with a carrying value of $8.7 million to its tenant for consideration that approximated our carrying value.</w:t>
      </w:r>
    </w:p>
    <w:p>
      <w:pPr>
        <w:spacing w:after="0" w:line="13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On April 30, 2012, the Company sold a portfolio of 12 net lease assets with a carrying value of $105.7 million and recorded a gain of $24.9 million resulting from the transaction, which is recorded in "Gain from discontinued operations" on the Company's Consolidated Statements of Operations.</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Additionally, during the nine months ended September 30, 2012, the Company sold two net lease assets with a carrying value of $9.8 million, resulting in a net gain of $2.4 million, which is recorded in "Gain from discontinued operations" on the Company's Consolidated Statements of Operations. During 2012, the Company also sold six commercial operating properties with a carrying value of $13.1 million resulting in a net loss of $1.4 million which is included in "Income (loss) from discontinued operations," on the Company's Consolidated Statements of Operations, and a land asset with a carrying value of $64.5 million for proceeds that approximated carrying value.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Discontinued operations—</w:t>
      </w:r>
      <w:r>
        <w:rPr>
          <w:rFonts w:ascii="Arial" w:cs="Arial" w:eastAsia="Arial" w:hAnsi="Arial"/>
          <w:sz w:val="17"/>
          <w:szCs w:val="17"/>
          <w:color w:val="auto"/>
        </w:rPr>
        <w:t>The following table summarizes income (loss) from discontinued operations for the three and nine months 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2012 ($ in thousands):</w:t>
      </w:r>
    </w:p>
    <w:p>
      <w:pPr>
        <w:spacing w:after="0" w:line="31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For the Three Months</w:t>
            </w:r>
          </w:p>
        </w:tc>
        <w:tc>
          <w:tcPr>
            <w:tcW w:w="280" w:type="dxa"/>
            <w:vAlign w:val="bottom"/>
          </w:tcPr>
          <w:p>
            <w:pPr>
              <w:spacing w:after="0"/>
              <w:rPr>
                <w:sz w:val="14"/>
                <w:szCs w:val="14"/>
                <w:color w:val="auto"/>
              </w:rPr>
            </w:pPr>
          </w:p>
        </w:tc>
        <w:tc>
          <w:tcPr>
            <w:tcW w:w="2240" w:type="dxa"/>
            <w:vAlign w:val="bottom"/>
            <w:gridSpan w:val="4"/>
          </w:tcPr>
          <w:p>
            <w:pPr>
              <w:ind w:left="320"/>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3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Ended September 30,</w:t>
            </w:r>
          </w:p>
        </w:tc>
        <w:tc>
          <w:tcPr>
            <w:tcW w:w="280" w:type="dxa"/>
            <w:vAlign w:val="bottom"/>
          </w:tcPr>
          <w:p>
            <w:pPr>
              <w:spacing w:after="0"/>
              <w:rPr>
                <w:sz w:val="16"/>
                <w:szCs w:val="16"/>
                <w:color w:val="auto"/>
              </w:rPr>
            </w:pPr>
          </w:p>
        </w:tc>
        <w:tc>
          <w:tcPr>
            <w:tcW w:w="2240" w:type="dxa"/>
            <w:vAlign w:val="bottom"/>
            <w:gridSpan w:val="4"/>
          </w:tcPr>
          <w:p>
            <w:pPr>
              <w:ind w:left="340"/>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39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10,851</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(7,516)</w:t>
            </w:r>
          </w:p>
        </w:tc>
      </w:tr>
      <w:tr>
        <w:trPr>
          <w:trHeight w:val="27"/>
        </w:trPr>
        <w:tc>
          <w:tcPr>
            <w:tcW w:w="3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assets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(21,429)</w:t>
            </w:r>
          </w:p>
        </w:tc>
      </w:tr>
      <w:tr>
        <w:trPr>
          <w:trHeight w:val="257"/>
        </w:trPr>
        <w:tc>
          <w:tcPr>
            <w:tcW w:w="398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(18,094)</w:t>
            </w:r>
          </w:p>
        </w:tc>
      </w:tr>
      <w:tr>
        <w:trPr>
          <w:trHeight w:val="20"/>
        </w:trPr>
        <w:tc>
          <w:tcPr>
            <w:tcW w:w="3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color w:val="auto"/>
        </w:rPr>
        <w:t>Impairments—</w:t>
      </w:r>
      <w:r>
        <w:rPr>
          <w:rFonts w:ascii="Arial" w:cs="Arial" w:eastAsia="Arial" w:hAnsi="Arial"/>
          <w:sz w:val="17"/>
          <w:szCs w:val="17"/>
          <w:color w:val="auto"/>
        </w:rPr>
        <w:t>During the three and nine months ended September 30, 2013, the Company recorded $6.8 million and $7.2 million of impairments on</w:t>
      </w:r>
      <w:r>
        <w:rPr>
          <w:rFonts w:ascii="Arial" w:cs="Arial" w:eastAsia="Arial" w:hAnsi="Arial"/>
          <w:sz w:val="17"/>
          <w:szCs w:val="17"/>
          <w:b w:val="1"/>
          <w:bCs w:val="1"/>
          <w:color w:val="auto"/>
        </w:rPr>
        <w:t xml:space="preserve"> </w:t>
      </w:r>
      <w:r>
        <w:rPr>
          <w:rFonts w:ascii="Arial" w:cs="Arial" w:eastAsia="Arial" w:hAnsi="Arial"/>
          <w:sz w:val="17"/>
          <w:szCs w:val="17"/>
          <w:color w:val="auto"/>
        </w:rPr>
        <w:t>real estate assets, respectively. Of these amounts, $0.5 million and $0.9 million, respectively, have been recorded in "Income (loss) from discontinued operations" on the Company's Consolidated Statements of Operations. During the three and nine months ended September 30, 2012, the Company recorded impairments on real estate assets totaling $5.0 million and $29.1 million, respectively. Of these amounts, $4.8 million and $21.4 million, respectively, have been reclassified to discontinued operations as the assets were sold or classified as held for sale as of September 30, 2013.</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Intangible assets—</w:t>
      </w:r>
      <w:r>
        <w:rPr>
          <w:rFonts w:ascii="Arial" w:cs="Arial" w:eastAsia="Arial" w:hAnsi="Arial"/>
          <w:sz w:val="18"/>
          <w:szCs w:val="18"/>
          <w:color w:val="auto"/>
        </w:rPr>
        <w:t>As of September 30, 2013 and December 31, 2012 the Company had $58.7 million and $59.9 million, respectively, of finite lived</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assets, net of accumulated amortization of $29.3 million and $49.3 million, respectively, primarily related to the acquisition of real estate assets. The total amortization expense for these intangible assets was $2.3 million and $8.3 million for the three and nine months ended September 30, 2013, respectively, and $2.7 million and $8.7 million for the three and nine months ended September 30, 2012, respectively. These amounts are included in “Depreciation and amortization” on the Company's Consolidated Statements of Operations.</w:t>
      </w:r>
    </w:p>
    <w:p>
      <w:pPr>
        <w:spacing w:after="0" w:line="143"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Tenant reimbursements—</w:t>
      </w:r>
      <w:r>
        <w:rPr>
          <w:rFonts w:ascii="Arial" w:cs="Arial" w:eastAsia="Arial" w:hAnsi="Arial"/>
          <w:sz w:val="18"/>
          <w:szCs w:val="18"/>
          <w:color w:val="auto"/>
        </w:rPr>
        <w:t>The Company receives reimbursements from tenants for certain facility operating expenses including common area costs,</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utilities and real estate taxes. Tenant expense reimbursements were $9.1 million and $24.8 million for the three and nine months ended September 30, 2013, respectively, and $6.5 million and $21.4 million for the three and nine months ended September 30, 2012, respectively. These amounts are included in “Operating lease income” on the Company's Consolidated Statements of Operations.</w:t>
      </w:r>
    </w:p>
    <w:p>
      <w:pPr>
        <w:spacing w:after="0" w:line="140" w:lineRule="exact"/>
        <w:rPr>
          <w:sz w:val="20"/>
          <w:szCs w:val="20"/>
          <w:color w:val="auto"/>
        </w:rPr>
      </w:pPr>
    </w:p>
    <w:p>
      <w:pPr>
        <w:jc w:val="both"/>
        <w:ind w:right="20" w:firstLine="405"/>
        <w:spacing w:after="0" w:line="282" w:lineRule="auto"/>
        <w:rPr>
          <w:sz w:val="20"/>
          <w:szCs w:val="20"/>
          <w:color w:val="auto"/>
        </w:rPr>
      </w:pPr>
      <w:r>
        <w:rPr>
          <w:rFonts w:ascii="Arial" w:cs="Arial" w:eastAsia="Arial" w:hAnsi="Arial"/>
          <w:sz w:val="18"/>
          <w:szCs w:val="18"/>
          <w:b w:val="1"/>
          <w:bCs w:val="1"/>
          <w:color w:val="auto"/>
        </w:rPr>
        <w:t>Allowance for doubtful accounts—</w:t>
      </w:r>
      <w:r>
        <w:rPr>
          <w:rFonts w:ascii="Arial" w:cs="Arial" w:eastAsia="Arial" w:hAnsi="Arial"/>
          <w:sz w:val="18"/>
          <w:szCs w:val="18"/>
          <w:color w:val="auto"/>
        </w:rPr>
        <w:t>As of September 30, 2013 and December 31, 2012, the total allowance for doubtful accounts related to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receivables, including deferred operating lease income receivable, was $5.7 million and $5.6 million,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5—Loans Receivable and Other Lending Investments, net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loans receivable and other lending investments by class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85"/>
              </w:rPr>
              <w:t>As of</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Type of Investment</w:t>
            </w:r>
          </w:p>
        </w:tc>
        <w:tc>
          <w:tcPr>
            <w:tcW w:w="200" w:type="dxa"/>
            <w:vAlign w:val="bottom"/>
          </w:tcPr>
          <w:p>
            <w:pPr>
              <w:spacing w:after="0"/>
              <w:rPr>
                <w:sz w:val="13"/>
                <w:szCs w:val="13"/>
                <w:color w:val="auto"/>
              </w:rPr>
            </w:pPr>
          </w:p>
        </w:tc>
        <w:tc>
          <w:tcPr>
            <w:tcW w:w="118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8"/>
              </w:rPr>
              <w:t>September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mortgages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1,127,987</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1,751,256</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Subordinate mortgages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60,579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152,737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Corporate/Partnership loans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450,491</w:t>
            </w:r>
          </w:p>
        </w:tc>
        <w:tc>
          <w:tcPr>
            <w:tcW w:w="0" w:type="dxa"/>
            <w:vAlign w:val="bottom"/>
          </w:tcPr>
          <w:p>
            <w:pPr>
              <w:spacing w:after="0"/>
              <w:rPr>
                <w:sz w:val="1"/>
                <w:szCs w:val="1"/>
                <w:color w:val="auto"/>
              </w:rPr>
            </w:pPr>
          </w:p>
        </w:tc>
      </w:tr>
      <w:tr>
        <w:trPr>
          <w:trHeight w:val="237"/>
        </w:trPr>
        <w:tc>
          <w:tcPr>
            <w:tcW w:w="8320" w:type="dxa"/>
            <w:vAlign w:val="bottom"/>
          </w:tcPr>
          <w:p>
            <w:pPr>
              <w:ind w:left="160"/>
              <w:spacing w:after="0"/>
              <w:rPr>
                <w:sz w:val="20"/>
                <w:szCs w:val="20"/>
                <w:color w:val="auto"/>
              </w:rPr>
            </w:pPr>
            <w:r>
              <w:rPr>
                <w:rFonts w:ascii="Arial" w:cs="Arial" w:eastAsia="Arial" w:hAnsi="Arial"/>
                <w:sz w:val="18"/>
                <w:szCs w:val="18"/>
                <w:color w:val="auto"/>
              </w:rPr>
              <w:t>Total gross carrying value of loans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1,615,842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2,354,484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Reserves for loan losses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(380,007)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(524,499)</w:t>
            </w:r>
          </w:p>
        </w:tc>
        <w:tc>
          <w:tcPr>
            <w:tcW w:w="0" w:type="dxa"/>
            <w:vAlign w:val="bottom"/>
          </w:tcPr>
          <w:p>
            <w:pPr>
              <w:spacing w:after="0"/>
              <w:rPr>
                <w:sz w:val="1"/>
                <w:szCs w:val="1"/>
                <w:color w:val="auto"/>
              </w:rPr>
            </w:pPr>
          </w:p>
        </w:tc>
      </w:tr>
      <w:tr>
        <w:trPr>
          <w:trHeight w:val="237"/>
        </w:trPr>
        <w:tc>
          <w:tcPr>
            <w:tcW w:w="8320" w:type="dxa"/>
            <w:vAlign w:val="bottom"/>
          </w:tcPr>
          <w:p>
            <w:pPr>
              <w:ind w:left="160"/>
              <w:spacing w:after="0"/>
              <w:rPr>
                <w:sz w:val="20"/>
                <w:szCs w:val="20"/>
                <w:color w:val="auto"/>
              </w:rPr>
            </w:pPr>
            <w:r>
              <w:rPr>
                <w:rFonts w:ascii="Arial" w:cs="Arial" w:eastAsia="Arial" w:hAnsi="Arial"/>
                <w:sz w:val="18"/>
                <w:szCs w:val="18"/>
                <w:color w:val="auto"/>
              </w:rPr>
              <w:t>Total loans receivable,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1,235,835</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1,829,985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lending investments—securities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20" w:type="dxa"/>
            <w:vAlign w:val="bottom"/>
          </w:tcPr>
          <w:p>
            <w:pPr>
              <w:ind w:left="160"/>
              <w:spacing w:after="0"/>
              <w:rPr>
                <w:sz w:val="20"/>
                <w:szCs w:val="20"/>
                <w:color w:val="auto"/>
              </w:rPr>
            </w:pPr>
            <w:r>
              <w:rPr>
                <w:rFonts w:ascii="Arial" w:cs="Arial" w:eastAsia="Arial" w:hAnsi="Arial"/>
                <w:sz w:val="18"/>
                <w:szCs w:val="18"/>
                <w:color w:val="auto"/>
              </w:rPr>
              <w:t>Total loans receivable and other lending investments, net(1)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1,362,752</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1,829,985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right="20" w:hanging="652"/>
        <w:spacing w:after="0" w:line="273"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recorded investment in loans as of September 30, 2013 and December 31, 2012 includes accrued interest of $6.4 million and $9.8 million, respectively, which are included in "Accrued interest and operating lease income receivable, net" in the Company's Consolidated Balance Sheets.</w:t>
      </w:r>
    </w:p>
    <w:p>
      <w:pPr>
        <w:spacing w:after="0" w:line="1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nine months ended September 30, 2013, the Company originated and funded $170.8 million of loans and other lending investments and received principal repayments of $536.2 million. During the same period, the Company sold loans with a total carrying value of $95.1 million, which resulted in net realized losses of $0.6 million. Gains and losses on sales of loans are reported in "Other income" on the Company's Consolidated Statements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3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4"/>
                <w:szCs w:val="14"/>
                <w:color w:val="auto"/>
              </w:rPr>
            </w:pPr>
          </w:p>
        </w:tc>
        <w:tc>
          <w:tcPr>
            <w:tcW w:w="2300" w:type="dxa"/>
            <w:vAlign w:val="bottom"/>
            <w:gridSpan w:val="4"/>
          </w:tcPr>
          <w:p>
            <w:pPr>
              <w:ind w:left="340"/>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Ended September 30,</w:t>
            </w:r>
          </w:p>
        </w:tc>
        <w:tc>
          <w:tcPr>
            <w:tcW w:w="300" w:type="dxa"/>
            <w:vAlign w:val="bottom"/>
          </w:tcPr>
          <w:p>
            <w:pPr>
              <w:spacing w:after="0"/>
              <w:rPr>
                <w:sz w:val="16"/>
                <w:szCs w:val="16"/>
                <w:color w:val="auto"/>
              </w:rPr>
            </w:pPr>
          </w:p>
        </w:tc>
        <w:tc>
          <w:tcPr>
            <w:tcW w:w="2300" w:type="dxa"/>
            <w:vAlign w:val="bottom"/>
            <w:gridSpan w:val="4"/>
          </w:tcPr>
          <w:p>
            <w:pPr>
              <w:ind w:left="340"/>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49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479,826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563,786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524,499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646,624</w:t>
            </w:r>
          </w:p>
        </w:tc>
      </w:tr>
      <w:tr>
        <w:trPr>
          <w:trHeight w:val="243"/>
        </w:trPr>
        <w:tc>
          <w:tcPr>
            <w:tcW w:w="4980" w:type="dxa"/>
            <w:vAlign w:val="bottom"/>
          </w:tcPr>
          <w:p>
            <w:pPr>
              <w:ind w:left="160"/>
              <w:spacing w:after="0"/>
              <w:rPr>
                <w:sz w:val="20"/>
                <w:szCs w:val="20"/>
                <w:color w:val="auto"/>
              </w:rPr>
            </w:pPr>
            <w:r>
              <w:rPr>
                <w:rFonts w:ascii="Arial" w:cs="Arial" w:eastAsia="Arial" w:hAnsi="Arial"/>
                <w:sz w:val="18"/>
                <w:szCs w:val="18"/>
                <w:color w:val="auto"/>
              </w:rPr>
              <w:t>Provision for (recovery of) loan losses(1)</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5,392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60,865</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Charge-offs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(149,884)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(163,991)</w:t>
            </w:r>
          </w:p>
        </w:tc>
      </w:tr>
      <w:tr>
        <w:trPr>
          <w:trHeight w:val="25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Reserve for loan losses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380,007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543,498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380,007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543,498</w:t>
            </w:r>
          </w:p>
        </w:tc>
      </w:tr>
      <w:tr>
        <w:trPr>
          <w:trHeight w:val="20"/>
        </w:trPr>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27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2013, the provision for loan losses includes recoveries of previously recorded loan loss reserves of $44.1 million and $55.1 million, respectively.</w:t>
      </w:r>
    </w:p>
    <w:p>
      <w:pPr>
        <w:spacing w:after="0" w:line="13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in loans (comprised of a loan's carrying value plus accrued interest) and the associated reserve for loan losses were as follows ($ in thousands):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Individually</w:t>
            </w:r>
          </w:p>
        </w:tc>
        <w:tc>
          <w:tcPr>
            <w:tcW w:w="2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Collectively</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Loans Acquired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with Deteriorated</w:t>
            </w:r>
          </w:p>
        </w:tc>
        <w:tc>
          <w:tcPr>
            <w:tcW w:w="380" w:type="dxa"/>
            <w:vAlign w:val="bottom"/>
          </w:tcPr>
          <w:p>
            <w:pPr>
              <w:spacing w:after="0"/>
              <w:rPr>
                <w:sz w:val="12"/>
                <w:szCs w:val="12"/>
                <w:color w:val="auto"/>
              </w:rPr>
            </w:pPr>
          </w:p>
        </w:tc>
        <w:tc>
          <w:tcPr>
            <w:tcW w:w="12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Impairment(1)</w:t>
            </w:r>
          </w:p>
        </w:tc>
        <w:tc>
          <w:tcPr>
            <w:tcW w:w="24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Impairment(2)</w:t>
            </w: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Credit Quality(3)</w:t>
            </w: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2013</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Loans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770,338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841,887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10,030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1,622,255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Reserve for loan losses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(380,007)</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418,131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814,087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10,030</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1,242,248</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2012</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Loans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1,095,957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1,210,077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58,281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2,364,315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Reserve for loan losses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(472,058)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(524,499)</w:t>
            </w:r>
          </w:p>
        </w:tc>
        <w:tc>
          <w:tcPr>
            <w:tcW w:w="0" w:type="dxa"/>
            <w:vAlign w:val="bottom"/>
          </w:tcPr>
          <w:p>
            <w:pPr>
              <w:spacing w:after="0"/>
              <w:rPr>
                <w:sz w:val="1"/>
                <w:szCs w:val="1"/>
                <w:color w:val="auto"/>
              </w:rPr>
            </w:pPr>
          </w:p>
        </w:tc>
      </w:tr>
      <w:tr>
        <w:trPr>
          <w:trHeight w:val="257"/>
        </w:trPr>
        <w:tc>
          <w:tcPr>
            <w:tcW w:w="4680" w:type="dxa"/>
            <w:vAlign w:val="bottom"/>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623,899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1,176,977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38,940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1,839,816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4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premium of $0.1 million and a net discount of $4.0 million as of September 30, 2013 and December 31, 2012, respectively. The Company's loans individually evaluated for impairment primarily represent loans on non-accrual status and therefore, the unamortized amounts associated with these loans are not currently being amortized into income.</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discount of $4.6 million and $3.8 million as of September 30, 2013 and December 31, 2012, respectively.</w:t>
      </w:r>
    </w:p>
    <w:p>
      <w:pPr>
        <w:jc w:val="both"/>
        <w:ind w:left="660" w:hanging="652"/>
        <w:spacing w:after="0" w:line="248"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premium of $0.4 million and $0.1 million as of September 30, 2013 and December 31, 2012, respectively. These loans had cumulative principal balances of $10.4 million and $58.8 million, as of September 30, 2013 and December 31, 2012, respectively.</w:t>
      </w:r>
    </w:p>
    <w:p>
      <w:pPr>
        <w:spacing w:after="0" w:line="200" w:lineRule="exact"/>
        <w:rPr>
          <w:sz w:val="20"/>
          <w:szCs w:val="20"/>
          <w:color w:val="auto"/>
        </w:rPr>
      </w:pPr>
    </w:p>
    <w:p>
      <w:pPr>
        <w:spacing w:after="0" w:line="343"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characteristics</w:t>
      </w:r>
      <w:r>
        <w:rPr>
          <w:rFonts w:ascii="Arial" w:cs="Arial" w:eastAsia="Arial" w:hAnsi="Arial"/>
          <w:sz w:val="18"/>
          <w:szCs w:val="18"/>
          <w:color w:val="auto"/>
        </w:rPr>
        <w:t>—As part of the Company's process for monitoring the credit quality of its loans, it performs a quarterly loan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assessment and assigns risk ratings to each of its performing loans. Risk ratings are based on judgments which are inherently uncertain and there can be no assurance that actual performance will not be different than current expectation.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Company's recorded investment in performing loans, presented by class and by credit quality, as indicated by risk rating, was as follows ($ in thousands):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3"/>
          </w:tcPr>
          <w:p>
            <w:pPr>
              <w:jc w:val="right"/>
              <w:ind w:right="848"/>
              <w:spacing w:after="0"/>
              <w:rPr>
                <w:sz w:val="20"/>
                <w:szCs w:val="20"/>
                <w:color w:val="auto"/>
              </w:rPr>
            </w:pPr>
            <w:r>
              <w:rPr>
                <w:rFonts w:ascii="Arial" w:cs="Arial" w:eastAsia="Arial" w:hAnsi="Arial"/>
                <w:sz w:val="14"/>
                <w:szCs w:val="14"/>
                <w:b w:val="1"/>
                <w:bCs w:val="1"/>
                <w:color w:val="auto"/>
              </w:rPr>
              <w:t>September 30, 2013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3"/>
          </w:tcPr>
          <w:p>
            <w:pPr>
              <w:jc w:val="right"/>
              <w:ind w:right="848"/>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3"/>
                <w:szCs w:val="13"/>
                <w:color w:val="auto"/>
              </w:rPr>
            </w:pPr>
          </w:p>
        </w:tc>
        <w:tc>
          <w:tcPr>
            <w:tcW w:w="122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mortgages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612,563</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840,593</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Subordinate mortgages</w:t>
            </w:r>
          </w:p>
        </w:tc>
        <w:tc>
          <w:tcPr>
            <w:tcW w:w="26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61,256</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99,698</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Corporate/Partnership loans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382,201</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444,772</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57"/>
        </w:trPr>
        <w:tc>
          <w:tcPr>
            <w:tcW w:w="5140" w:type="dxa"/>
            <w:vAlign w:val="bottom"/>
          </w:tcPr>
          <w:p>
            <w:pPr>
              <w:ind w:left="10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1,056,020</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1,385,063</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2013, the Company's recorded investment in loans, aged by payment status and presented by class, were as follows ($ in thousands):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Arial" w:cs="Arial" w:eastAsia="Arial" w:hAnsi="Arial"/>
                <w:sz w:val="14"/>
                <w:szCs w:val="14"/>
                <w:b w:val="1"/>
                <w:bCs w:val="1"/>
                <w:color w:val="auto"/>
                <w:w w:val="98"/>
              </w:rPr>
              <w:t>Less Than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Greater</w:t>
            </w:r>
          </w:p>
        </w:tc>
        <w:tc>
          <w:tcPr>
            <w:tcW w:w="280" w:type="dxa"/>
            <w:vAlign w:val="bottom"/>
          </w:tcPr>
          <w:p>
            <w:pPr>
              <w:spacing w:after="0"/>
              <w:rPr>
                <w:sz w:val="14"/>
                <w:szCs w:val="14"/>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Current</w:t>
            </w:r>
          </w:p>
        </w:tc>
        <w:tc>
          <w:tcPr>
            <w:tcW w:w="120" w:type="dxa"/>
            <w:vAlign w:val="bottom"/>
            <w:vMerge w:val="restart"/>
          </w:tcPr>
          <w:p>
            <w:pPr>
              <w:spacing w:after="0"/>
              <w:rPr>
                <w:sz w:val="12"/>
                <w:szCs w:val="12"/>
                <w:color w:val="auto"/>
              </w:rPr>
            </w:pPr>
          </w:p>
        </w:tc>
        <w:tc>
          <w:tcPr>
            <w:tcW w:w="112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and Equal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Than</w:t>
            </w: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7"/>
              </w:rPr>
              <w:t>to 90 Days</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4"/>
              </w:rPr>
              <w:t>90 Days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Past Due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mortgages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646,783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484,083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484,083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1,130,866</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Subordinate mortgages</w:t>
            </w:r>
          </w:p>
        </w:tc>
        <w:tc>
          <w:tcPr>
            <w:tcW w:w="32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61,256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61,256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Corporate/Partnership loans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420,034</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10,099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430,133</w:t>
            </w:r>
          </w:p>
        </w:tc>
        <w:tc>
          <w:tcPr>
            <w:tcW w:w="0" w:type="dxa"/>
            <w:vAlign w:val="bottom"/>
          </w:tcPr>
          <w:p>
            <w:pPr>
              <w:spacing w:after="0"/>
              <w:rPr>
                <w:sz w:val="1"/>
                <w:szCs w:val="1"/>
                <w:color w:val="auto"/>
              </w:rPr>
            </w:pPr>
          </w:p>
        </w:tc>
      </w:tr>
      <w:tr>
        <w:trPr>
          <w:trHeight w:val="257"/>
        </w:trPr>
        <w:tc>
          <w:tcPr>
            <w:tcW w:w="3540" w:type="dxa"/>
            <w:vAlign w:val="bottom"/>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1,128,073</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2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494,182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494,182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1,622,255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Impaired loans</w:t>
      </w:r>
      <w:r>
        <w:rPr>
          <w:rFonts w:ascii="Arial" w:cs="Arial" w:eastAsia="Arial" w:hAnsi="Arial"/>
          <w:sz w:val="18"/>
          <w:szCs w:val="18"/>
          <w:color w:val="auto"/>
        </w:rPr>
        <w:t>—The Company's recorded investment in impaired loans, presented by class, were as follows ($ in thousands)(1):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As of September 30, 2013</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 2012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Recorded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Unpaid</w:t>
            </w:r>
          </w:p>
        </w:tc>
        <w:tc>
          <w:tcPr>
            <w:tcW w:w="240" w:type="dxa"/>
            <w:vAlign w:val="bottom"/>
          </w:tcPr>
          <w:p>
            <w:pPr>
              <w:spacing w:after="0"/>
              <w:rPr>
                <w:sz w:val="13"/>
                <w:szCs w:val="13"/>
                <w:color w:val="auto"/>
              </w:rPr>
            </w:pPr>
          </w:p>
        </w:tc>
        <w:tc>
          <w:tcPr>
            <w:tcW w:w="13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Related</w:t>
            </w:r>
          </w:p>
        </w:tc>
        <w:tc>
          <w:tcPr>
            <w:tcW w:w="220" w:type="dxa"/>
            <w:vAlign w:val="bottom"/>
          </w:tcPr>
          <w:p>
            <w:pPr>
              <w:spacing w:after="0"/>
              <w:rPr>
                <w:sz w:val="13"/>
                <w:szCs w:val="13"/>
                <w:color w:val="auto"/>
              </w:rPr>
            </w:pPr>
          </w:p>
        </w:tc>
        <w:tc>
          <w:tcPr>
            <w:tcW w:w="112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Recorded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Unpaid</w:t>
            </w:r>
          </w:p>
        </w:tc>
        <w:tc>
          <w:tcPr>
            <w:tcW w:w="240" w:type="dxa"/>
            <w:vAlign w:val="bottom"/>
          </w:tcPr>
          <w:p>
            <w:pPr>
              <w:spacing w:after="0"/>
              <w:rPr>
                <w:sz w:val="13"/>
                <w:szCs w:val="13"/>
                <w:color w:val="auto"/>
              </w:rPr>
            </w:pPr>
          </w:p>
        </w:tc>
        <w:tc>
          <w:tcPr>
            <w:tcW w:w="112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Principal</w:t>
            </w: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Principal</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8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6"/>
                <w:szCs w:val="16"/>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6"/>
                <w:szCs w:val="16"/>
                <w:color w:val="auto"/>
              </w:rPr>
            </w:pPr>
          </w:p>
        </w:tc>
        <w:tc>
          <w:tcPr>
            <w:tcW w:w="1120" w:type="dxa"/>
            <w:vAlign w:val="bottom"/>
          </w:tcPr>
          <w:p>
            <w:pPr>
              <w:jc w:val="right"/>
              <w:ind w:right="24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6"/>
                <w:szCs w:val="16"/>
                <w:color w:val="auto"/>
              </w:rPr>
            </w:pPr>
          </w:p>
        </w:tc>
        <w:tc>
          <w:tcPr>
            <w:tcW w:w="1120" w:type="dxa"/>
            <w:vAlign w:val="bottom"/>
          </w:tcPr>
          <w:p>
            <w:pPr>
              <w:jc w:val="right"/>
              <w:ind w:right="280"/>
              <w:spacing w:after="0"/>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202"/>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With no related allowance</w:t>
            </w: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recorded:</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180"/>
              <w:spacing w:after="0"/>
              <w:rPr>
                <w:sz w:val="20"/>
                <w:szCs w:val="20"/>
                <w:color w:val="auto"/>
              </w:rPr>
            </w:pPr>
            <w:r>
              <w:rPr>
                <w:rFonts w:ascii="Arial" w:cs="Arial" w:eastAsia="Arial" w:hAnsi="Arial"/>
                <w:sz w:val="16"/>
                <w:szCs w:val="16"/>
                <w:color w:val="auto"/>
              </w:rPr>
              <w:t>Senior mortgages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12,833</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12,812</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108,077</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107,850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Corporate/Partnership loans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520" w:type="dxa"/>
            <w:vAlign w:val="bottom"/>
          </w:tcPr>
          <w:p>
            <w:pPr>
              <w:ind w:left="380"/>
              <w:spacing w:after="0"/>
              <w:rPr>
                <w:sz w:val="20"/>
                <w:szCs w:val="20"/>
                <w:color w:val="auto"/>
              </w:rPr>
            </w:pPr>
            <w:r>
              <w:rPr>
                <w:rFonts w:ascii="Arial" w:cs="Arial" w:eastAsia="Arial" w:hAnsi="Arial"/>
                <w:sz w:val="16"/>
                <w:szCs w:val="16"/>
                <w:color w:val="auto"/>
              </w:rPr>
              <w:t>Subtotal</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22,932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22,972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118,187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118,010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With an allowance recorded: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180"/>
              <w:spacing w:after="0"/>
              <w:rPr>
                <w:sz w:val="20"/>
                <w:szCs w:val="20"/>
                <w:color w:val="auto"/>
              </w:rPr>
            </w:pPr>
            <w:r>
              <w:rPr>
                <w:rFonts w:ascii="Arial" w:cs="Arial" w:eastAsia="Arial" w:hAnsi="Arial"/>
                <w:sz w:val="16"/>
                <w:szCs w:val="16"/>
                <w:color w:val="auto"/>
              </w:rPr>
              <w:t>Senior mortgages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645,162</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640,996</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(305,314)</w:t>
            </w:r>
          </w:p>
        </w:tc>
        <w:tc>
          <w:tcPr>
            <w:tcW w:w="2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918,975</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918,496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(442,760)</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Subordinate mortgages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53,679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(39,579)</w:t>
            </w:r>
          </w:p>
        </w:tc>
        <w:tc>
          <w:tcPr>
            <w:tcW w:w="0" w:type="dxa"/>
            <w:vAlign w:val="bottom"/>
          </w:tcPr>
          <w:p>
            <w:pPr>
              <w:spacing w:after="0"/>
              <w:rPr>
                <w:sz w:val="1"/>
                <w:szCs w:val="1"/>
                <w:color w:val="auto"/>
              </w:rPr>
            </w:pPr>
          </w:p>
        </w:tc>
      </w:tr>
      <w:tr>
        <w:trPr>
          <w:trHeight w:val="237"/>
        </w:trPr>
        <w:tc>
          <w:tcPr>
            <w:tcW w:w="2520" w:type="dxa"/>
            <w:vAlign w:val="bottom"/>
          </w:tcPr>
          <w:p>
            <w:pPr>
              <w:ind w:left="180"/>
              <w:spacing w:after="0"/>
              <w:rPr>
                <w:sz w:val="20"/>
                <w:szCs w:val="20"/>
                <w:color w:val="auto"/>
              </w:rPr>
            </w:pPr>
            <w:r>
              <w:rPr>
                <w:rFonts w:ascii="Arial" w:cs="Arial" w:eastAsia="Arial" w:hAnsi="Arial"/>
                <w:sz w:val="16"/>
                <w:szCs w:val="16"/>
                <w:color w:val="auto"/>
              </w:rPr>
              <w:t>Corporate/Partnership loans</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102,244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102,268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(46,893)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63,096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63,246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(9,060)</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Subtotal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747,406</w:t>
            </w:r>
          </w:p>
        </w:tc>
        <w:tc>
          <w:tcPr>
            <w:tcW w:w="3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743,264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(352,207)</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1,036,050</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1,035,421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(491,399)</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Senior mortgages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657,995</w:t>
            </w:r>
          </w:p>
        </w:tc>
        <w:tc>
          <w:tcPr>
            <w:tcW w:w="3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653,808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(305,314)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1,027,052</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1,026,346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(442,760)</w:t>
            </w:r>
          </w:p>
        </w:tc>
        <w:tc>
          <w:tcPr>
            <w:tcW w:w="0" w:type="dxa"/>
            <w:vAlign w:val="bottom"/>
          </w:tcPr>
          <w:p>
            <w:pPr>
              <w:spacing w:after="0"/>
              <w:rPr>
                <w:sz w:val="1"/>
                <w:szCs w:val="1"/>
                <w:color w:val="auto"/>
              </w:rPr>
            </w:pPr>
          </w:p>
        </w:tc>
      </w:tr>
      <w:tr>
        <w:trPr>
          <w:trHeight w:val="237"/>
        </w:trPr>
        <w:tc>
          <w:tcPr>
            <w:tcW w:w="2520" w:type="dxa"/>
            <w:vAlign w:val="bottom"/>
          </w:tcPr>
          <w:p>
            <w:pPr>
              <w:ind w:left="180"/>
              <w:spacing w:after="0"/>
              <w:rPr>
                <w:sz w:val="20"/>
                <w:szCs w:val="20"/>
                <w:color w:val="auto"/>
              </w:rPr>
            </w:pPr>
            <w:r>
              <w:rPr>
                <w:rFonts w:ascii="Arial" w:cs="Arial" w:eastAsia="Arial" w:hAnsi="Arial"/>
                <w:sz w:val="16"/>
                <w:szCs w:val="16"/>
                <w:color w:val="auto"/>
              </w:rPr>
              <w:t>Subordinate mortgages</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53,979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53,679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(39,579)</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Corporate/Partnership loans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112,343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112,428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(46,893)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73,206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73,406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(9,060)</w:t>
            </w:r>
          </w:p>
        </w:tc>
        <w:tc>
          <w:tcPr>
            <w:tcW w:w="0" w:type="dxa"/>
            <w:vAlign w:val="bottom"/>
          </w:tcPr>
          <w:p>
            <w:pPr>
              <w:spacing w:after="0"/>
              <w:rPr>
                <w:sz w:val="1"/>
                <w:szCs w:val="1"/>
                <w:color w:val="auto"/>
              </w:rPr>
            </w:pPr>
          </w:p>
        </w:tc>
      </w:tr>
      <w:tr>
        <w:trPr>
          <w:trHeight w:val="244"/>
        </w:trPr>
        <w:tc>
          <w:tcPr>
            <w:tcW w:w="2520" w:type="dxa"/>
            <w:vAlign w:val="bottom"/>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770,338</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766,236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(352,207)</w:t>
            </w:r>
          </w:p>
        </w:tc>
        <w:tc>
          <w:tcPr>
            <w:tcW w:w="2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1,154,237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1,153,431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(491,399)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of the Company's non-accrual loans are considered impaired and included in the table above. In addition, as of September 30, 2013 and December 31, 2012, certain loans modified through troubled debt restructurings with a recorded investment of $204.1 million and $175.0 million, respectively, are also included as impaired loans in accordance with GAAP although they are performing and on accrual status.</w:t>
      </w:r>
    </w:p>
    <w:p>
      <w:pPr>
        <w:sectPr>
          <w:pgSz w:w="11900" w:h="16838" w:orient="portrait"/>
          <w:cols w:equalWidth="0" w:num="1">
            <w:col w:w="11420"/>
          </w:cols>
          <w:pgMar w:left="240" w:top="122"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Nine Months Ended September 30,</w:t>
            </w:r>
          </w:p>
        </w:tc>
        <w:tc>
          <w:tcPr>
            <w:tcW w:w="880" w:type="dxa"/>
            <w:vAlign w:val="bottom"/>
            <w:tcBorders>
              <w:bottom w:val="single" w:sz="8" w:color="auto"/>
            </w:tcBorders>
          </w:tcPr>
          <w:p>
            <w:pPr>
              <w:spacing w:after="0"/>
              <w:rPr>
                <w:sz w:val="16"/>
                <w:szCs w:val="16"/>
                <w:color w:val="auto"/>
              </w:rPr>
            </w:pPr>
          </w:p>
        </w:tc>
      </w:tr>
      <w:tr>
        <w:trPr>
          <w:trHeight w:val="264"/>
        </w:trPr>
        <w:tc>
          <w:tcPr>
            <w:tcW w:w="18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2013</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auto"/>
            </w:tcBorders>
          </w:tcPr>
          <w:p>
            <w:pPr>
              <w:spacing w:after="0"/>
              <w:rPr>
                <w:sz w:val="22"/>
                <w:szCs w:val="22"/>
                <w:color w:val="auto"/>
              </w:rPr>
            </w:pPr>
          </w:p>
        </w:tc>
      </w:tr>
      <w:tr>
        <w:trPr>
          <w:trHeight w:val="152"/>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114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1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880" w:type="dxa"/>
            <w:vAlign w:val="bottom"/>
          </w:tcPr>
          <w:p>
            <w:pPr>
              <w:jc w:val="center"/>
              <w:ind w:right="41"/>
              <w:spacing w:after="0" w:line="153" w:lineRule="exact"/>
              <w:rPr>
                <w:sz w:val="20"/>
                <w:szCs w:val="20"/>
                <w:color w:val="auto"/>
              </w:rPr>
            </w:pPr>
            <w:r>
              <w:rPr>
                <w:rFonts w:ascii="Arial" w:cs="Arial" w:eastAsia="Arial" w:hAnsi="Arial"/>
                <w:sz w:val="14"/>
                <w:szCs w:val="14"/>
                <w:b w:val="1"/>
                <w:bCs w:val="1"/>
                <w:color w:val="auto"/>
                <w:w w:val="94"/>
              </w:rPr>
              <w:t>Interest</w:t>
            </w:r>
          </w:p>
        </w:tc>
      </w:tr>
      <w:tr>
        <w:trPr>
          <w:trHeight w:val="149"/>
        </w:trPr>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92"/>
        </w:trPr>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6"/>
                <w:szCs w:val="16"/>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88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Recognized</w:t>
            </w:r>
          </w:p>
        </w:tc>
      </w:tr>
      <w:tr>
        <w:trPr>
          <w:trHeight w:val="202"/>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With no related</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23"/>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allowance recorded:</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7"/>
        </w:trPr>
        <w:tc>
          <w:tcPr>
            <w:tcW w:w="1840" w:type="dxa"/>
            <w:vAlign w:val="bottom"/>
          </w:tcPr>
          <w:p>
            <w:pPr>
              <w:ind w:left="180"/>
              <w:spacing w:after="0"/>
              <w:rPr>
                <w:sz w:val="20"/>
                <w:szCs w:val="20"/>
                <w:color w:val="auto"/>
              </w:rPr>
            </w:pPr>
            <w:r>
              <w:rPr>
                <w:rFonts w:ascii="Arial" w:cs="Arial" w:eastAsia="Arial" w:hAnsi="Arial"/>
                <w:sz w:val="16"/>
                <w:szCs w:val="16"/>
                <w:color w:val="auto"/>
              </w:rPr>
              <w:t>Senior mortgages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13,622</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138,391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457</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38,508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9,223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175,596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2,663</w:t>
            </w:r>
          </w:p>
        </w:tc>
      </w:tr>
      <w:tr>
        <w:trPr>
          <w:trHeight w:val="33"/>
        </w:trPr>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Corporate/Partnership</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9"/>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10,110</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17"/>
        </w:trPr>
        <w:tc>
          <w:tcPr>
            <w:tcW w:w="1840" w:type="dxa"/>
            <w:vAlign w:val="bottom"/>
          </w:tcPr>
          <w:p>
            <w:pPr>
              <w:ind w:left="380"/>
              <w:spacing w:after="0"/>
              <w:rPr>
                <w:sz w:val="20"/>
                <w:szCs w:val="20"/>
                <w:color w:val="auto"/>
              </w:rPr>
            </w:pPr>
            <w:r>
              <w:rPr>
                <w:rFonts w:ascii="Arial" w:cs="Arial" w:eastAsia="Arial" w:hAnsi="Arial"/>
                <w:sz w:val="16"/>
                <w:szCs w:val="16"/>
                <w:color w:val="auto"/>
              </w:rPr>
              <w:t>Subtotal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23,666</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148,501</w:t>
            </w: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457</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48,585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10,012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185,706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2,663</w:t>
            </w:r>
          </w:p>
        </w:tc>
      </w:tr>
      <w:tr>
        <w:trPr>
          <w:trHeight w:val="33"/>
        </w:trPr>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With an allowance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recorded:</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7"/>
        </w:trPr>
        <w:tc>
          <w:tcPr>
            <w:tcW w:w="1840" w:type="dxa"/>
            <w:vAlign w:val="bottom"/>
          </w:tcPr>
          <w:p>
            <w:pPr>
              <w:ind w:left="180"/>
              <w:spacing w:after="0"/>
              <w:rPr>
                <w:sz w:val="20"/>
                <w:szCs w:val="20"/>
                <w:color w:val="auto"/>
              </w:rPr>
            </w:pPr>
            <w:r>
              <w:rPr>
                <w:rFonts w:ascii="Arial" w:cs="Arial" w:eastAsia="Arial" w:hAnsi="Arial"/>
                <w:sz w:val="16"/>
                <w:szCs w:val="16"/>
                <w:color w:val="auto"/>
              </w:rPr>
              <w:t>Senior mortgages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749,367</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1,053,534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774</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830,225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1,100,313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3,208</w:t>
            </w:r>
          </w:p>
        </w:tc>
      </w:tr>
      <w:tr>
        <w:trPr>
          <w:trHeight w:val="33"/>
        </w:trPr>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Subordinate mortgages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53,185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40,478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51,765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0"/>
        </w:trPr>
        <w:tc>
          <w:tcPr>
            <w:tcW w:w="1840" w:type="dxa"/>
            <w:vAlign w:val="bottom"/>
          </w:tcPr>
          <w:p>
            <w:pPr>
              <w:ind w:left="180"/>
              <w:spacing w:after="0"/>
              <w:rPr>
                <w:sz w:val="20"/>
                <w:szCs w:val="20"/>
                <w:color w:val="auto"/>
              </w:rPr>
            </w:pPr>
            <w:r>
              <w:rPr>
                <w:rFonts w:ascii="Arial" w:cs="Arial" w:eastAsia="Arial" w:hAnsi="Arial"/>
                <w:sz w:val="16"/>
                <w:szCs w:val="16"/>
                <w:color w:val="auto"/>
              </w:rPr>
              <w:t>Corporate/Partnership</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1840" w:type="dxa"/>
            <w:vAlign w:val="bottom"/>
          </w:tcPr>
          <w:p>
            <w:pPr>
              <w:ind w:left="1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82,290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61,112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72,308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62,036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231</w:t>
            </w:r>
          </w:p>
        </w:tc>
      </w:tr>
      <w:tr>
        <w:trPr>
          <w:trHeight w:val="33"/>
        </w:trPr>
        <w:tc>
          <w:tcPr>
            <w:tcW w:w="1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1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858,725</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1,167,831</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849</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943,011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1,214,114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3,439</w:t>
            </w: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Senior mortgages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762,989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1,191,925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868,733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10,622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1,275,909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5,871</w:t>
            </w:r>
          </w:p>
        </w:tc>
      </w:tr>
      <w:tr>
        <w:trPr>
          <w:trHeight w:val="237"/>
        </w:trPr>
        <w:tc>
          <w:tcPr>
            <w:tcW w:w="1840" w:type="dxa"/>
            <w:vAlign w:val="bottom"/>
          </w:tcPr>
          <w:p>
            <w:pPr>
              <w:ind w:left="180"/>
              <w:spacing w:after="0"/>
              <w:rPr>
                <w:sz w:val="20"/>
                <w:szCs w:val="20"/>
                <w:color w:val="auto"/>
              </w:rPr>
            </w:pPr>
            <w:r>
              <w:rPr>
                <w:rFonts w:ascii="Arial" w:cs="Arial" w:eastAsia="Arial" w:hAnsi="Arial"/>
                <w:sz w:val="16"/>
                <w:szCs w:val="16"/>
                <w:color w:val="auto"/>
                <w:w w:val="98"/>
              </w:rPr>
              <w:t>Subordinate mortgages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53,185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40,478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51,765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1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Corporate/Partnership</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9"/>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71,222</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75</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82,385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72,146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231</w:t>
            </w:r>
          </w:p>
        </w:tc>
      </w:tr>
      <w:tr>
        <w:trPr>
          <w:trHeight w:val="244"/>
        </w:trPr>
        <w:tc>
          <w:tcPr>
            <w:tcW w:w="18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882,391</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1,316,332</w:t>
            </w:r>
          </w:p>
        </w:tc>
        <w:tc>
          <w:tcPr>
            <w:tcW w:w="12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1,306</w:t>
            </w:r>
          </w:p>
        </w:tc>
        <w:tc>
          <w:tcPr>
            <w:tcW w:w="2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991,596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11,651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1,399,820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6,102</w:t>
            </w:r>
          </w:p>
        </w:tc>
      </w:tr>
      <w:tr>
        <w:trPr>
          <w:trHeight w:val="20"/>
        </w:trPr>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nine months ended September 30, 2013, the Company recorded interest income of $8.0 million related to the resolution of a certain non-performing loan. Interest income was not previously recorded while the loan was on non-accrual status.</w:t>
      </w:r>
    </w:p>
    <w:p>
      <w:pPr>
        <w:spacing w:after="0" w:line="126"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Troubled debt restructurings</w:t>
      </w:r>
      <w:r>
        <w:rPr>
          <w:rFonts w:ascii="Arial" w:cs="Arial" w:eastAsia="Arial" w:hAnsi="Arial"/>
          <w:sz w:val="18"/>
          <w:szCs w:val="18"/>
          <w:color w:val="auto"/>
        </w:rPr>
        <w:t>—During the three and nine months ended September 30, 2013 and 2012, the Company modified loans that were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to be troubled debt restructurings. The recorded investment in these loans was impacted by the modifications as follows, presented by class ($ in thousands):</w:t>
      </w:r>
    </w:p>
    <w:p>
      <w:pPr>
        <w:spacing w:after="0" w:line="361"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w w:val="96"/>
              </w:rPr>
              <w:t>For the Three Months Ended September 30,</w:t>
            </w:r>
          </w:p>
        </w:tc>
        <w:tc>
          <w:tcPr>
            <w:tcW w:w="1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Pre-Modification</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Pre-Modification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5"/>
              </w:rPr>
              <w:t>Post-Modification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2"/>
                <w:szCs w:val="12"/>
                <w:color w:val="auto"/>
              </w:rPr>
            </w:pPr>
          </w:p>
        </w:tc>
        <w:tc>
          <w:tcPr>
            <w:tcW w:w="10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Recorded</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Recorded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of Loans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16"/>
                <w:szCs w:val="16"/>
                <w:color w:val="auto"/>
              </w:rPr>
            </w:pP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rPr>
              <w:t>of Loans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63"/>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mortgages</w:t>
            </w:r>
          </w:p>
        </w:tc>
        <w:tc>
          <w:tcPr>
            <w:tcW w:w="114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9,020</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9,020</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54,192</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54,192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4"/>
                <w:szCs w:val="14"/>
                <w:b w:val="1"/>
                <w:bCs w:val="1"/>
                <w:color w:val="auto"/>
                <w:w w:val="97"/>
              </w:rPr>
              <w:t>For the Nine Months Ended September 30,</w:t>
            </w: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Pre-Modification</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Pre-Modification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5"/>
              </w:rPr>
              <w:t>Post-Modification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2"/>
                <w:szCs w:val="12"/>
                <w:color w:val="auto"/>
              </w:rPr>
            </w:pPr>
          </w:p>
        </w:tc>
        <w:tc>
          <w:tcPr>
            <w:tcW w:w="10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Recorded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Recorded</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Recorded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of Loans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Investment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Investment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of Loans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mortgages</w:t>
            </w: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153,452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145,778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318,227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272,753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September 30, 2013, the Company restructured one performing loan with a recorded investment of $1.4 million to grant a maturity extension of one year. The Company also extended a payoff option on a loan with a recorded investment of $7.6 million that was classified as non-performing.</w:t>
      </w:r>
    </w:p>
    <w:p>
      <w:pPr>
        <w:spacing w:after="0" w:line="14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During the nine months ended September 30, 2013, the Company restructured five loans that were considered troubled debt restructurings. In addition to the loans modified during the current quarter that are described above, the Company restructured one non-performing loan with a recorded investment of $72.7 million. The Company received a $13.3 million paydown and accepted a discounted payoff option, with final payment expected to be made in January 2014 and the loan was reclassified from non-performing to performing status as the Company believes the borrower can perform under the modified terms of the agreement. The Company restructured one performing loan with a recorded investment of $3.2 million to grant a maturity extension of one year. The Company also extended a payoff option on a loan with a recorded investment of $68.6 million that was classified as non-performing.</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September 30, 2012, the Company restructured two loans that were considered troubled debt restructurings. The Company extended the terms of a performing loan with a recorded investment of $46.3 million by three months and a non-performing loan with a recorded investment of $7.9 million by one year.</w:t>
      </w:r>
    </w:p>
    <w:p>
      <w:pPr>
        <w:spacing w:after="0" w:line="14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Troubled debt restructurings that occurred during the nine months ended September 30, 2012 included the modifications of performing loans with a combined recorded investment of $62.6 million. The modified terms of these loans granted maturity extensions ranging from three months to one year and included conditional extension options in certain cases dependent on borrower-specific performance hurdles. In each case, the Company believed the borrowers would be able to perform under the modified terms of the loans and continued to classify these loans as performing.</w:t>
      </w:r>
    </w:p>
    <w:p>
      <w:pPr>
        <w:spacing w:after="0" w:line="13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Non-performing loans with a combined recorded investment of $255.6 million were also modified during the nine months ended September 30, 2012 and continued to be classified as non-performing subsequent to modification. Included in this balance was a loan with a recorded investment of $181.5 million prior to modification, for which the Company agreed to reduce the outstanding principal balance and recorded charge-offs totaling $45.5 million, and also reduced the loan's interest rate. The remaining non-performing loans were granted maturity extensions ranging from one month to seven months and the interest rate was reduced on one loan.</w:t>
      </w:r>
    </w:p>
    <w:p>
      <w:pPr>
        <w:spacing w:after="0" w:line="1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Generally when granting concessions, the Company will seek to protect its position by requiring incremental pay downs, additional collateral or guarantees and in some cases lookback features or equity kickers to offset concessions granted should conditions impacting the loan improve. The Company's determination of credit losses is impacted by troubled debt restructurings whereby loans that have gone through troubled debt restructurings are considered impaired, assessed for specific reserves, and are not included in the Company's assessment of general loan loss reserves. Loans previously restructured under troubled debt restructurings that subsequently default are reassessed to incorporate the Company's current assumptions on expected cash flows and additional provision expense is recorded to the extent necessary. As of September 30, 2013, the Company had $18.6 million of unfunded commitments associated with modified loans considered troubled debt restructurings.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Troubled debt restructurings that subsequently defaulted during the period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740" w:type="dxa"/>
            <w:vAlign w:val="bottom"/>
            <w:gridSpan w:val="10"/>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920" w:type="dxa"/>
            <w:vAlign w:val="bottom"/>
          </w:tcPr>
          <w:p>
            <w:pPr>
              <w:spacing w:after="0"/>
              <w:rPr>
                <w:sz w:val="16"/>
                <w:szCs w:val="16"/>
                <w:color w:val="auto"/>
              </w:rPr>
            </w:pPr>
          </w:p>
        </w:tc>
        <w:tc>
          <w:tcPr>
            <w:tcW w:w="276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w w:val="96"/>
              </w:rPr>
              <w:t>For the Nine Months Ended September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gridSpan w:val="4"/>
          </w:tcPr>
          <w:p>
            <w:pPr>
              <w:jc w:val="right"/>
              <w:ind w:right="88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gridSpan w:val="3"/>
          </w:tcPr>
          <w:p>
            <w:pPr>
              <w:jc w:val="right"/>
              <w:ind w:right="84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gridSpan w:val="3"/>
          </w:tcPr>
          <w:p>
            <w:pPr>
              <w:jc w:val="right"/>
              <w:ind w:right="84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top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2012</w:t>
            </w:r>
          </w:p>
        </w:tc>
        <w:tc>
          <w:tcPr>
            <w:tcW w:w="9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8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Outstanding</w:t>
            </w:r>
          </w:p>
        </w:tc>
        <w:tc>
          <w:tcPr>
            <w:tcW w:w="9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Outstanding</w:t>
            </w:r>
          </w:p>
        </w:tc>
        <w:tc>
          <w:tcPr>
            <w:tcW w:w="9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Outstanding</w:t>
            </w:r>
          </w:p>
        </w:tc>
        <w:tc>
          <w:tcPr>
            <w:tcW w:w="10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04"/>
              <w:spacing w:after="0" w:line="153"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Recorded</w:t>
            </w: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Recorded</w:t>
            </w: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Recorded</w:t>
            </w: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of Loans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of Loans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of Loans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of Loans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63"/>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26,693</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24,604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color w:val="auto"/>
        </w:rPr>
        <w:t>Securities</w:t>
      </w:r>
      <w:r>
        <w:rPr>
          <w:rFonts w:ascii="Arial" w:cs="Arial" w:eastAsia="Arial" w:hAnsi="Arial"/>
          <w:sz w:val="17"/>
          <w:szCs w:val="17"/>
          <w:color w:val="auto"/>
        </w:rPr>
        <w:t>—During the nine months ended September 30, 2013, the Company originated a mandatorily redeemable preferred equity investment, which</w:t>
      </w:r>
      <w:r>
        <w:rPr>
          <w:rFonts w:ascii="Arial" w:cs="Arial" w:eastAsia="Arial" w:hAnsi="Arial"/>
          <w:sz w:val="17"/>
          <w:szCs w:val="17"/>
          <w:b w:val="1"/>
          <w:bCs w:val="1"/>
          <w:color w:val="auto"/>
        </w:rPr>
        <w:t xml:space="preserve"> </w:t>
      </w:r>
      <w:r>
        <w:rPr>
          <w:rFonts w:ascii="Arial" w:cs="Arial" w:eastAsia="Arial" w:hAnsi="Arial"/>
          <w:sz w:val="17"/>
          <w:szCs w:val="17"/>
          <w:color w:val="auto"/>
        </w:rPr>
        <w:t>has a term of three years with two 12-month extensions. At September 30, 2013, the Company's investment was $125.9 million and the unfunded commitment was $20.1 million. The investment is classified as a held-to-maturity debt security as the Company has the ability and intent to hold the investment until maturity. As of September 30, 2013, the estimated fair value approximated the net carrying amount.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other investments and its proportionate share of results from equity method investments were as follows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Carrying Value as of</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Equity in Earnings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2"/>
        </w:trPr>
        <w:tc>
          <w:tcPr>
            <w:tcW w:w="3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5"/>
          </w:tcPr>
          <w:p>
            <w:pPr>
              <w:jc w:val="right"/>
              <w:ind w:right="680"/>
              <w:spacing w:after="0" w:line="153" w:lineRule="exact"/>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3"/>
                <w:szCs w:val="13"/>
                <w:color w:val="auto"/>
              </w:rPr>
            </w:pPr>
          </w:p>
        </w:tc>
        <w:tc>
          <w:tcPr>
            <w:tcW w:w="2220" w:type="dxa"/>
            <w:vAlign w:val="bottom"/>
            <w:gridSpan w:val="4"/>
          </w:tcPr>
          <w:p>
            <w:pPr>
              <w:ind w:left="320"/>
              <w:spacing w:after="0" w:line="153" w:lineRule="exact"/>
              <w:rPr>
                <w:sz w:val="20"/>
                <w:szCs w:val="20"/>
                <w:color w:val="auto"/>
              </w:rPr>
            </w:pPr>
            <w:r>
              <w:rPr>
                <w:rFonts w:ascii="Arial" w:cs="Arial" w:eastAsia="Arial" w:hAnsi="Arial"/>
                <w:sz w:val="14"/>
                <w:szCs w:val="14"/>
                <w:b w:val="1"/>
                <w:bCs w:val="1"/>
                <w:color w:val="auto"/>
              </w:rPr>
              <w:t>For the Nine Months</w:t>
            </w:r>
          </w:p>
        </w:tc>
      </w:tr>
      <w:tr>
        <w:trPr>
          <w:trHeight w:val="192"/>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Ended September 30,</w:t>
            </w:r>
          </w:p>
        </w:tc>
        <w:tc>
          <w:tcPr>
            <w:tcW w:w="300" w:type="dxa"/>
            <w:vAlign w:val="bottom"/>
          </w:tcPr>
          <w:p>
            <w:pPr>
              <w:spacing w:after="0"/>
              <w:rPr>
                <w:sz w:val="16"/>
                <w:szCs w:val="16"/>
                <w:color w:val="auto"/>
              </w:rPr>
            </w:pPr>
          </w:p>
        </w:tc>
        <w:tc>
          <w:tcPr>
            <w:tcW w:w="2220" w:type="dxa"/>
            <w:vAlign w:val="bottom"/>
            <w:gridSpan w:val="4"/>
          </w:tcPr>
          <w:p>
            <w:pPr>
              <w:ind w:left="320"/>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30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10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106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2012</w:t>
            </w: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LNR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205,773</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36,017</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Madison Funds</w:t>
            </w: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63,784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56,547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3,674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10,798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11,937</w:t>
            </w:r>
          </w:p>
        </w:tc>
      </w:tr>
      <w:tr>
        <w:trPr>
          <w:trHeight w:val="27"/>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Oak Hill Funds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5,932</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Real estate equity investments</w:t>
            </w: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45,927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47,619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17,709</w:t>
            </w:r>
          </w:p>
        </w:tc>
      </w:tr>
      <w:tr>
        <w:trPr>
          <w:trHeight w:val="27"/>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equity method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46,335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47,939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4,330</w:t>
            </w:r>
          </w:p>
        </w:tc>
      </w:tr>
      <w:tr>
        <w:trPr>
          <w:trHeight w:val="297"/>
        </w:trPr>
        <w:tc>
          <w:tcPr>
            <w:tcW w:w="3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equity method investments</w:t>
            </w:r>
          </w:p>
        </w:tc>
        <w:tc>
          <w:tcPr>
            <w:tcW w:w="1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tcPr>
          <w:p>
            <w:pPr>
              <w:jc w:val="right"/>
              <w:ind w:right="15"/>
              <w:spacing w:after="0"/>
              <w:rPr>
                <w:sz w:val="20"/>
                <w:szCs w:val="20"/>
                <w:color w:val="auto"/>
              </w:rPr>
            </w:pPr>
            <w:r>
              <w:rPr>
                <w:rFonts w:ascii="Arial" w:cs="Arial" w:eastAsia="Arial" w:hAnsi="Arial"/>
                <w:sz w:val="18"/>
                <w:szCs w:val="18"/>
                <w:color w:val="auto"/>
              </w:rPr>
              <w:t>179,877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tcPr>
          <w:p>
            <w:pPr>
              <w:jc w:val="right"/>
              <w:ind w:right="34"/>
              <w:spacing w:after="0"/>
              <w:rPr>
                <w:sz w:val="20"/>
                <w:szCs w:val="20"/>
                <w:color w:val="auto"/>
              </w:rPr>
            </w:pPr>
            <w:r>
              <w:rPr>
                <w:rFonts w:ascii="Arial" w:cs="Arial" w:eastAsia="Arial" w:hAnsi="Arial"/>
                <w:sz w:val="18"/>
                <w:szCs w:val="18"/>
                <w:color w:val="auto"/>
              </w:rPr>
              <w:t>387,718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4,345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22,719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34,346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75,925</w:t>
            </w:r>
          </w:p>
        </w:tc>
      </w:tr>
      <w:tr>
        <w:trPr>
          <w:trHeight w:val="25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57"/>
        </w:trPr>
        <w:tc>
          <w:tcPr>
            <w:tcW w:w="3080" w:type="dxa"/>
            <w:vAlign w:val="bottom"/>
          </w:tcPr>
          <w:p>
            <w:pPr>
              <w:ind w:left="160"/>
              <w:spacing w:after="0"/>
              <w:rPr>
                <w:sz w:val="20"/>
                <w:szCs w:val="20"/>
                <w:color w:val="auto"/>
              </w:rPr>
            </w:pPr>
            <w:r>
              <w:rPr>
                <w:rFonts w:ascii="Arial" w:cs="Arial" w:eastAsia="Arial" w:hAnsi="Arial"/>
                <w:sz w:val="18"/>
                <w:szCs w:val="18"/>
                <w:color w:val="auto"/>
              </w:rPr>
              <w:t>Total other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187,510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398,843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color w:val="auto"/>
        </w:rPr>
        <w:t>LNR</w:t>
      </w:r>
      <w:r>
        <w:rPr>
          <w:rFonts w:ascii="Arial" w:cs="Arial" w:eastAsia="Arial" w:hAnsi="Arial"/>
          <w:sz w:val="17"/>
          <w:szCs w:val="17"/>
          <w:color w:val="auto"/>
        </w:rPr>
        <w:t>—In July 2010, the Company acquired an ownership interest of approximately 24% in LNR Property Corporation ("LNR"). LNR is a servicer and</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servicer of commercial mortgage loans and CMBS and a diversified real estate investment, finance and management company. In the transaction, the Company and a group of investors, including other creditors of LNR, acquired 100% of the common stock of LNR in exchange for cash and the extinguishment of existing senior notes of LNR's parent holding company (the "Holdco Notes"). The Company contributed $100.0 million aggregate principal amount of Holdco Notes and $100.0 million in cash in exchange for an equity interest of $120.0 million.</w:t>
      </w:r>
    </w:p>
    <w:p>
      <w:pPr>
        <w:spacing w:after="0" w:line="13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Beginning in September 2012, the Company and other owners of LNR entered into negotiations with potential purchasers of LNR. After an extensive due diligence and negotiation process, the LNR owners entered into a definitive contract to sell LNR in January 2013 at a fixed sale price which, from the Company's perspective, reflected in part the Company's then-current expectations about the future results of LNR and potential volatility in its business. The definitive sale contract provided that LNR would not make cash distributions to its owners during the fourth quarter of 2012 through the closing of the sale. Notwithstanding the fixed terms of the contract, our investment balance in LNR increased due to equity in earnings recorded which resulted in our recognition of other than temporary impairment on our investment during the nine months ended September 30, 2013. In April 2013, the Company completed the sale of its 24% equity interest in LNR and received $220.3 million in net proceeds. Approximately $25.2 million of net proceeds were placed in escrow for potential indemnification obligations through April 2014. The Company is not currently aware that any material indemnification claims are probable of occurring.</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represent the latest available investee level summarized financial information for LNR ($ in thousands)(1):</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For the Period from April 1,</w:t>
            </w:r>
          </w:p>
        </w:tc>
        <w:tc>
          <w:tcPr>
            <w:tcW w:w="220" w:type="dxa"/>
            <w:vAlign w:val="bottom"/>
          </w:tcPr>
          <w:p>
            <w:pPr>
              <w:spacing w:after="0"/>
              <w:rPr>
                <w:sz w:val="14"/>
                <w:szCs w:val="14"/>
                <w:color w:val="auto"/>
              </w:rPr>
            </w:pPr>
          </w:p>
        </w:tc>
        <w:tc>
          <w:tcPr>
            <w:tcW w:w="1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For the Three Months</w:t>
            </w:r>
          </w:p>
        </w:tc>
        <w:tc>
          <w:tcPr>
            <w:tcW w:w="2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For the Period from October 1,</w:t>
            </w:r>
          </w:p>
        </w:tc>
        <w:tc>
          <w:tcPr>
            <w:tcW w:w="220" w:type="dxa"/>
            <w:vAlign w:val="bottom"/>
          </w:tcPr>
          <w:p>
            <w:pPr>
              <w:spacing w:after="0"/>
              <w:rPr>
                <w:sz w:val="14"/>
                <w:szCs w:val="14"/>
                <w:color w:val="auto"/>
              </w:rPr>
            </w:pPr>
          </w:p>
        </w:tc>
        <w:tc>
          <w:tcPr>
            <w:tcW w:w="17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2013 to</w:t>
            </w:r>
          </w:p>
        </w:tc>
        <w:tc>
          <w:tcPr>
            <w:tcW w:w="2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April 19, 2013</w:t>
            </w:r>
          </w:p>
        </w:tc>
        <w:tc>
          <w:tcPr>
            <w:tcW w:w="220" w:type="dxa"/>
            <w:vAlign w:val="bottom"/>
          </w:tcPr>
          <w:p>
            <w:pPr>
              <w:spacing w:after="0"/>
              <w:rPr>
                <w:sz w:val="16"/>
                <w:szCs w:val="16"/>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Ended June 30, 2012</w:t>
            </w:r>
          </w:p>
        </w:tc>
        <w:tc>
          <w:tcPr>
            <w:tcW w:w="220" w:type="dxa"/>
            <w:vAlign w:val="bottom"/>
          </w:tcPr>
          <w:p>
            <w:pPr>
              <w:spacing w:after="0"/>
              <w:rPr>
                <w:sz w:val="16"/>
                <w:szCs w:val="16"/>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2012 to April 19, 2013</w:t>
            </w:r>
          </w:p>
        </w:tc>
        <w:tc>
          <w:tcPr>
            <w:tcW w:w="220" w:type="dxa"/>
            <w:vAlign w:val="bottom"/>
          </w:tcPr>
          <w:p>
            <w:pPr>
              <w:spacing w:after="0"/>
              <w:rPr>
                <w:sz w:val="16"/>
                <w:szCs w:val="16"/>
                <w:color w:val="auto"/>
              </w:rPr>
            </w:pPr>
          </w:p>
        </w:tc>
        <w:tc>
          <w:tcPr>
            <w:tcW w:w="1760" w:type="dxa"/>
            <w:vAlign w:val="bottom"/>
          </w:tcPr>
          <w:p>
            <w:pPr>
              <w:jc w:val="right"/>
              <w:ind w:right="275"/>
              <w:spacing w:after="0"/>
              <w:rPr>
                <w:sz w:val="20"/>
                <w:szCs w:val="20"/>
                <w:color w:val="auto"/>
              </w:rPr>
            </w:pPr>
            <w:r>
              <w:rPr>
                <w:rFonts w:ascii="Arial" w:cs="Arial" w:eastAsia="Arial" w:hAnsi="Arial"/>
                <w:sz w:val="14"/>
                <w:szCs w:val="14"/>
                <w:b w:val="1"/>
                <w:bCs w:val="1"/>
                <w:color w:val="auto"/>
              </w:rPr>
              <w:t>Ended June 30, 2012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Income Statements</w:t>
            </w:r>
          </w:p>
        </w:tc>
        <w:tc>
          <w:tcPr>
            <w:tcW w:w="12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32,794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86,038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179,373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234,734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97"/>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95"/>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LNR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(51,983)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63,420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179,719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150,219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iStar's ownership percentage</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from LNR(3)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15,206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36,017</w:t>
            </w:r>
          </w:p>
        </w:tc>
        <w:tc>
          <w:tcPr>
            <w:tcW w:w="0" w:type="dxa"/>
            <w:vAlign w:val="bottom"/>
          </w:tcPr>
          <w:p>
            <w:pPr>
              <w:spacing w:after="0"/>
              <w:rPr>
                <w:sz w:val="1"/>
                <w:szCs w:val="1"/>
                <w:color w:val="auto"/>
              </w:rPr>
            </w:pPr>
          </w:p>
        </w:tc>
      </w:tr>
      <w:tr>
        <w:trPr>
          <w:trHeight w:val="635"/>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right"/>
              <w:ind w:right="137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56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As of June 30,</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174"/>
              <w:spacing w:after="0"/>
              <w:rPr>
                <w:sz w:val="20"/>
                <w:szCs w:val="20"/>
                <w:color w:val="auto"/>
              </w:rPr>
            </w:pPr>
            <w:r>
              <w:rPr>
                <w:rFonts w:ascii="Arial" w:cs="Arial" w:eastAsia="Arial" w:hAnsi="Arial"/>
                <w:sz w:val="14"/>
                <w:szCs w:val="14"/>
                <w:b w:val="1"/>
                <w:bCs w:val="1"/>
                <w:color w:val="auto"/>
                <w:w w:val="95"/>
              </w:rPr>
              <w:t>As of September 30,</w:t>
            </w:r>
          </w:p>
        </w:tc>
      </w:tr>
      <w:tr>
        <w:trPr>
          <w:trHeight w:val="276"/>
        </w:trPr>
        <w:tc>
          <w:tcPr>
            <w:tcW w:w="676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2012</w:t>
            </w: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Sheets</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Total assets(2)</w:t>
            </w:r>
          </w:p>
        </w:tc>
        <w:tc>
          <w:tcPr>
            <w:tcW w:w="1320" w:type="dxa"/>
            <w:vAlign w:val="bottom"/>
          </w:tcPr>
          <w:p>
            <w:pPr>
              <w:jc w:val="right"/>
              <w:ind w:right="111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14"/>
              <w:spacing w:after="0"/>
              <w:rPr>
                <w:sz w:val="20"/>
                <w:szCs w:val="20"/>
                <w:color w:val="auto"/>
              </w:rPr>
            </w:pPr>
            <w:r>
              <w:rPr>
                <w:rFonts w:ascii="Arial" w:cs="Arial" w:eastAsia="Arial" w:hAnsi="Arial"/>
                <w:sz w:val="18"/>
                <w:szCs w:val="18"/>
                <w:color w:val="auto"/>
              </w:rPr>
              <w:t>98,513,452</w:t>
            </w:r>
          </w:p>
        </w:tc>
      </w:tr>
      <w:tr>
        <w:trPr>
          <w:trHeight w:val="27"/>
        </w:trPr>
        <w:tc>
          <w:tcPr>
            <w:tcW w:w="6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debt(2)</w:t>
            </w: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97,521,520</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Total liabilities(2)</w:t>
            </w:r>
          </w:p>
        </w:tc>
        <w:tc>
          <w:tcPr>
            <w:tcW w:w="1320" w:type="dxa"/>
            <w:vAlign w:val="bottom"/>
          </w:tcPr>
          <w:p>
            <w:pPr>
              <w:jc w:val="right"/>
              <w:ind w:right="111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14"/>
              <w:spacing w:after="0"/>
              <w:rPr>
                <w:sz w:val="20"/>
                <w:szCs w:val="20"/>
                <w:color w:val="auto"/>
              </w:rPr>
            </w:pPr>
            <w:r>
              <w:rPr>
                <w:rFonts w:ascii="Arial" w:cs="Arial" w:eastAsia="Arial" w:hAnsi="Arial"/>
                <w:sz w:val="18"/>
                <w:szCs w:val="18"/>
                <w:color w:val="auto"/>
              </w:rPr>
              <w:t>97,639,696</w:t>
            </w:r>
          </w:p>
        </w:tc>
      </w:tr>
      <w:tr>
        <w:trPr>
          <w:trHeight w:val="27"/>
        </w:trPr>
        <w:tc>
          <w:tcPr>
            <w:tcW w:w="6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8,067</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LNR Property LLC equity</w:t>
            </w:r>
          </w:p>
        </w:tc>
        <w:tc>
          <w:tcPr>
            <w:tcW w:w="1320" w:type="dxa"/>
            <w:vAlign w:val="bottom"/>
          </w:tcPr>
          <w:p>
            <w:pPr>
              <w:jc w:val="right"/>
              <w:ind w:right="111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14"/>
              <w:spacing w:after="0"/>
              <w:rPr>
                <w:sz w:val="20"/>
                <w:szCs w:val="20"/>
                <w:color w:val="auto"/>
              </w:rPr>
            </w:pPr>
            <w:r>
              <w:rPr>
                <w:rFonts w:ascii="Arial" w:cs="Arial" w:eastAsia="Arial" w:hAnsi="Arial"/>
                <w:sz w:val="18"/>
                <w:szCs w:val="18"/>
                <w:color w:val="auto"/>
              </w:rPr>
              <w:t>865,689</w:t>
            </w:r>
          </w:p>
        </w:tc>
      </w:tr>
      <w:tr>
        <w:trPr>
          <w:trHeight w:val="27"/>
        </w:trPr>
        <w:tc>
          <w:tcPr>
            <w:tcW w:w="6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iStar's ownership percentage</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iStar's equity in LNR(4)</w:t>
            </w:r>
          </w:p>
        </w:tc>
        <w:tc>
          <w:tcPr>
            <w:tcW w:w="1320" w:type="dxa"/>
            <w:vAlign w:val="bottom"/>
          </w:tcPr>
          <w:p>
            <w:pPr>
              <w:jc w:val="right"/>
              <w:ind w:right="111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14"/>
              <w:spacing w:after="0"/>
              <w:rPr>
                <w:sz w:val="20"/>
                <w:szCs w:val="20"/>
                <w:color w:val="auto"/>
              </w:rPr>
            </w:pPr>
            <w:r>
              <w:rPr>
                <w:rFonts w:ascii="Arial" w:cs="Arial" w:eastAsia="Arial" w:hAnsi="Arial"/>
                <w:sz w:val="18"/>
                <w:szCs w:val="18"/>
                <w:color w:val="auto"/>
              </w:rPr>
              <w:t>205,773</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recorded its investment in LNR, which was sold in April 2013, on a one quarter lag, therefore, amounts in the Company's financial statements for the three and nine months ended September 30, 2013 and 2012 are based on balances and results from LNR for the period from April 1, 2013 to April 19, 2013 and for the period from October 1, 2012 to April 19, 2013, respectively.</w:t>
      </w:r>
    </w:p>
    <w:p>
      <w:pPr>
        <w:spacing w:after="0" w:line="77" w:lineRule="exact"/>
        <w:rPr>
          <w:rFonts w:ascii="Arial" w:cs="Arial" w:eastAsia="Arial" w:hAnsi="Arial"/>
          <w:sz w:val="14"/>
          <w:szCs w:val="14"/>
          <w:color w:val="auto"/>
        </w:rPr>
      </w:pPr>
    </w:p>
    <w:p>
      <w:pPr>
        <w:jc w:val="both"/>
        <w:ind w:left="660" w:hanging="652"/>
        <w:spacing w:after="0" w:line="268"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LNR consolidates certain commercial mortgage-backed securities and collateralized debt obligation trusts that are considered VIEs (and for which it is the primary beneficiary), that have been included in the amounts presented above. As of September 30, 2012, the assets of these trusts, which aggregated $97.5 billion were the sole source of repayment of the related liabilities, which aggregated $97.2 billion and are non-recourse to LNR and its equity holders, including the Company. Excluding the amounts related to VIEs, as of September 30, 2012, total assets were $1.38 billion, total debt was $398.9 million and total liabilities were $517.1 million. In addition, total revenue presented above includes $5.1 million and $27.5 million for the period from April 1, 2013 to April 19, 2013 and three months ended June 30, 2012, respectively, and $55.5 million and $72.6 million for the period from October 1, 2012 to April 19, 2013 and nine months ended June 30, 2012, respectively, of servicing fee revenue that is eliminated upon consolidation of the VIE's at the LNR level. This income is then added back through consolidation at the LNR level as an adjustment to income allocable to noncontrolling entities and has no net impact on net income attributable to LNR.</w:t>
      </w:r>
    </w:p>
    <w:p>
      <w:pPr>
        <w:spacing w:after="0" w:line="73" w:lineRule="exact"/>
        <w:rPr>
          <w:rFonts w:ascii="Arial" w:cs="Arial" w:eastAsia="Arial" w:hAnsi="Arial"/>
          <w:sz w:val="13"/>
          <w:szCs w:val="13"/>
          <w:color w:val="auto"/>
        </w:rPr>
      </w:pPr>
    </w:p>
    <w:p>
      <w:pPr>
        <w:jc w:val="both"/>
        <w:ind w:left="660" w:hanging="652"/>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loss for the period from April 1, 2013 to April 19, 2013 had already been considered in the Company's other than temporary impairment assessment during the first and second quarters of 2013. As such, no equity in earnings was recorded during the quarter ended September 30, 2013. The total equity in earnings recognized for LNR was $55.6 million for the nine months ended September 30, 2013.</w:t>
      </w:r>
    </w:p>
    <w:p>
      <w:pPr>
        <w:spacing w:after="0" w:line="77"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Company's investment in LNR at September 30, 2013 and December 31, 2012, respectively.</w:t>
      </w:r>
    </w:p>
    <w:p>
      <w:pPr>
        <w:spacing w:after="0" w:line="18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reconciles the activity related to the Company's investment in LNR for each of the three months ended March 31, 2013, June 30, 2013 and September 30, 2013 and for the nine months ended September 30, 2013 ($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4"/>
                <w:szCs w:val="14"/>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 the Three Months</w:t>
            </w:r>
          </w:p>
        </w:tc>
        <w:tc>
          <w:tcPr>
            <w:tcW w:w="120" w:type="dxa"/>
            <w:vAlign w:val="bottom"/>
          </w:tcPr>
          <w:p>
            <w:pPr>
              <w:spacing w:after="0"/>
              <w:rPr>
                <w:sz w:val="14"/>
                <w:szCs w:val="14"/>
                <w:color w:val="auto"/>
              </w:rPr>
            </w:pPr>
          </w:p>
        </w:tc>
        <w:tc>
          <w:tcPr>
            <w:tcW w:w="148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For the Nine Months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Ended September 30,</w:t>
            </w:r>
          </w:p>
        </w:tc>
        <w:tc>
          <w:tcPr>
            <w:tcW w:w="120" w:type="dxa"/>
            <w:vAlign w:val="bottom"/>
          </w:tcPr>
          <w:p>
            <w:pPr>
              <w:spacing w:after="0"/>
              <w:rPr>
                <w:sz w:val="12"/>
                <w:szCs w:val="12"/>
                <w:color w:val="auto"/>
              </w:rPr>
            </w:pPr>
          </w:p>
        </w:tc>
        <w:tc>
          <w:tcPr>
            <w:tcW w:w="14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Ended September 30,</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Ended March 31, 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Ended June 30, 2013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2013</w:t>
            </w: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of LNR at beginning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205,773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205,773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Equity in earnings of LNR for the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45,375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10,178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55,553</w:t>
            </w:r>
          </w:p>
        </w:tc>
        <w:tc>
          <w:tcPr>
            <w:tcW w:w="440" w:type="dxa"/>
            <w:vAlign w:val="bottom"/>
          </w:tcPr>
          <w:p>
            <w:pPr>
              <w:ind w:left="1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before other than temporary impairment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251,148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230,459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261,326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than temporary impairment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(30,867)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(10,178)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(41,045)</w:t>
            </w:r>
          </w:p>
        </w:tc>
        <w:tc>
          <w:tcPr>
            <w:tcW w:w="440" w:type="dxa"/>
            <w:vAlign w:val="bottom"/>
          </w:tcPr>
          <w:p>
            <w:pPr>
              <w:ind w:left="12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proceeds pursuant to contract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(220,281)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Carrying value of LNR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220,281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For the nine months ended September 30, 2013, the amount that was recognized as income in the Company's Consolidated Statements of Operations is the sum of items (a), (b) and $1.7 million of income recognized for the release of other comprehensive income related to LNR upon sale, or $16.5 million.</w:t>
      </w:r>
    </w:p>
    <w:p>
      <w:pPr>
        <w:spacing w:after="0" w:line="79"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Madison funds</w:t>
      </w:r>
      <w:r>
        <w:rPr>
          <w:rFonts w:ascii="Arial" w:cs="Arial" w:eastAsia="Arial" w:hAnsi="Arial"/>
          <w:sz w:val="18"/>
          <w:szCs w:val="18"/>
          <w:color w:val="auto"/>
        </w:rPr>
        <w:t>—As of September 30, 2013, the Company owned a 29.52% interest in Madison International Real Estate Fund II, LP, a 32.92%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 Madison International Real Estate Fund III, LP and a 29.52% interest in Madison GP1 Investors, LP (collectively, the "Madison Funds"). The Madison Funds invest in ownership positions of entities that own real estate assets. The Company determined that these entities are variable interest entities and that the Company is not the primary beneficiary.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Oak Hill funds</w:t>
      </w:r>
      <w:r>
        <w:rPr>
          <w:rFonts w:ascii="Arial" w:cs="Arial" w:eastAsia="Arial" w:hAnsi="Arial"/>
          <w:sz w:val="17"/>
          <w:szCs w:val="17"/>
          <w:color w:val="auto"/>
        </w:rPr>
        <w:t>—As of September 30, 2013, the Company owned a 5.92% interest in OHA Strategic Credit Master Fund, L.P. ("OHASCF"). OHASCF</w:t>
      </w:r>
      <w:r>
        <w:rPr>
          <w:rFonts w:ascii="Arial" w:cs="Arial" w:eastAsia="Arial" w:hAnsi="Arial"/>
          <w:sz w:val="17"/>
          <w:szCs w:val="17"/>
          <w:b w:val="1"/>
          <w:bCs w:val="1"/>
          <w:color w:val="auto"/>
        </w:rPr>
        <w:t xml:space="preserve"> </w:t>
      </w:r>
      <w:r>
        <w:rPr>
          <w:rFonts w:ascii="Arial" w:cs="Arial" w:eastAsia="Arial" w:hAnsi="Arial"/>
          <w:sz w:val="17"/>
          <w:szCs w:val="17"/>
          <w:color w:val="auto"/>
        </w:rPr>
        <w:t>was formed to acquire and manage a diverse portfolio of assets, investing in distressed, stressed and undervalued loans, bonds, equities and other investments. The Company determined that this entity is a variable interest entity and that the Company is not the primary beneficiary.</w:t>
      </w:r>
    </w:p>
    <w:p>
      <w:pPr>
        <w:spacing w:after="0" w:line="11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Real estate equity investments</w:t>
      </w:r>
      <w:r>
        <w:rPr>
          <w:rFonts w:ascii="Arial" w:cs="Arial" w:eastAsia="Arial" w:hAnsi="Arial"/>
          <w:sz w:val="18"/>
          <w:szCs w:val="18"/>
          <w:color w:val="auto"/>
        </w:rPr>
        <w:t>—During the nine months ended September 30, 2013, the Company sold land for net proceeds of $21.4 million to a</w:t>
      </w:r>
      <w:r>
        <w:rPr>
          <w:rFonts w:ascii="Arial" w:cs="Arial" w:eastAsia="Arial" w:hAnsi="Arial"/>
          <w:sz w:val="18"/>
          <w:szCs w:val="18"/>
          <w:b w:val="1"/>
          <w:bCs w:val="1"/>
          <w:color w:val="auto"/>
        </w:rPr>
        <w:t xml:space="preserve"> </w:t>
      </w:r>
      <w:r>
        <w:rPr>
          <w:rFonts w:ascii="Arial" w:cs="Arial" w:eastAsia="Arial" w:hAnsi="Arial"/>
          <w:sz w:val="18"/>
          <w:szCs w:val="18"/>
          <w:color w:val="auto"/>
        </w:rPr>
        <w:t>newly formed unconsolidated entity in which the Company has a preferred partnership interest and a 47.5% equity interest. As of September 30, 2013, the Company has a recorded equity interest of $12.2 million, which represents the Company's proportionate share of the assets retained on a carryover basis of $10.6 million and subsequent contributions of $1.6 million.</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addition, as of September 30, 2013, the Company's real estate equity investments included equity interests in real estate ventures ranging from 31% to 70%, comprised of investments of $16.4 million in net lease assets, $16.7 million in operating properties and $0.6 million in land assets. As of December 31, 2012, the Company's real estate equity investments included $16.4 million in net lease assets, $25.7 million in operating properties and $5.5 million in land assets. One of the Company's equity investments in operating properties represents a 33% interest in residential property units. The Company's earnings from its interest in this property includes income from sales of residential units of $0.5 million and $4.0 million for the three months ended September 30, 2013 and 2012, respectively, and $4.5 million and $22.2 million for the nine months ended September 30, 2013 and 2012, respectively.</w:t>
      </w:r>
    </w:p>
    <w:p>
      <w:pPr>
        <w:spacing w:after="0" w:line="120"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Other equity method investments</w:t>
      </w:r>
      <w:r>
        <w:rPr>
          <w:rFonts w:ascii="Arial" w:cs="Arial" w:eastAsia="Arial" w:hAnsi="Arial"/>
          <w:sz w:val="18"/>
          <w:szCs w:val="18"/>
          <w:color w:val="auto"/>
        </w:rPr>
        <w:t>—The Company also had smaller investments in real estate related funds and other strategic investments in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other entities that were accounted for under the equity method.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Assets and Other Liabilities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September 30, 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2012</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financing fees, net(1)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31,435</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26,629</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27,784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11,517</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Leasing costs, net(2)</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20,205</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Derivative asset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Corporate furniture, fixtures and equipment, net(3)</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7,537</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22,884</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Deferred expenses and other assets,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139,574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93,990</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Accumulated amortization on deferred financing fees was $7.4 million and $4.1 million as of September 30, 2013 and December 31, 2012, respectively.</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Accumulated amortization on leasing costs was $6.3 million and $6.6 million as of September 30, 2013 and December 31, 2012, respectively.</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fixtures and equipment was $6.0 million and $6.2 million as of September 30, 2013 and December 31, 2012,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September 30, 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2012</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41,378</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50,467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32,966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29,521</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8,206</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Unearned operating lease income</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11,294</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3,435</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Security deposits and other investment deposits(1)</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13,717</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15,820</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122,742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132,460</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During the nine months ended September 30, 2013, $8.9 million of restricted cash collateralizing a letter of credit related to one of the Company's loan investments was disbursed.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tax assets and liabilities of the Company's TRS entities were as follows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50"/>
        </w:trPr>
        <w:tc>
          <w:tcPr>
            <w:tcW w:w="7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2013</w:t>
            </w:r>
          </w:p>
        </w:tc>
        <w:tc>
          <w:tcPr>
            <w:tcW w:w="200" w:type="dxa"/>
            <w:vAlign w:val="bottom"/>
          </w:tcPr>
          <w:p>
            <w:pPr>
              <w:spacing w:after="0"/>
              <w:rPr>
                <w:sz w:val="21"/>
                <w:szCs w:val="21"/>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2012</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40,800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(40,800)</w:t>
            </w:r>
          </w:p>
        </w:tc>
      </w:tr>
      <w:tr>
        <w:trPr>
          <w:trHeight w:val="27"/>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deferred tax assets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57"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Deferred tax assets as of September 30, 2013 include real estate basis differences of $30.9 million, net operating loss carryforwards of $8.6 million and investment basis differences of $7.5 million. Deferred tax assets as of December 31, 2012 include real estate basis differences of $31.2 million, net operating loss carryforwards of $10.8 million and investment basis differences of $(1.2) million.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net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2013 and December 31, 2012, the Company's debt obligations were as follows ($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Carrying Value as of</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53"/>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260" w:type="dxa"/>
            <w:vAlign w:val="bottom"/>
          </w:tcPr>
          <w:p>
            <w:pPr>
              <w:jc w:val="right"/>
              <w:ind w:right="231"/>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780" w:type="dxa"/>
            <w:vAlign w:val="bottom"/>
          </w:tcPr>
          <w:p>
            <w:pPr>
              <w:jc w:val="right"/>
              <w:ind w:right="615"/>
              <w:spacing w:after="0" w:line="153" w:lineRule="exact"/>
              <w:rPr>
                <w:sz w:val="20"/>
                <w:szCs w:val="20"/>
                <w:color w:val="auto"/>
              </w:rPr>
            </w:pPr>
            <w:r>
              <w:rPr>
                <w:rFonts w:ascii="Arial" w:cs="Arial" w:eastAsia="Arial" w:hAnsi="Arial"/>
                <w:sz w:val="14"/>
                <w:szCs w:val="14"/>
                <w:b w:val="1"/>
                <w:bCs w:val="1"/>
                <w:color w:val="auto"/>
              </w:rPr>
              <w:t>Stated</w:t>
            </w:r>
          </w:p>
        </w:tc>
        <w:tc>
          <w:tcPr>
            <w:tcW w:w="44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Scheduled</w:t>
            </w:r>
          </w:p>
        </w:tc>
      </w:tr>
      <w:tr>
        <w:trPr>
          <w:trHeight w:val="192"/>
        </w:trPr>
        <w:tc>
          <w:tcPr>
            <w:tcW w:w="4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Interest Rates</w:t>
            </w:r>
          </w:p>
        </w:tc>
        <w:tc>
          <w:tcPr>
            <w:tcW w:w="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Secured credit facilities and term loans: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2012 Tranche A-1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169,164</w:t>
            </w:r>
          </w:p>
        </w:tc>
        <w:tc>
          <w:tcPr>
            <w:tcW w:w="120" w:type="dxa"/>
            <w:vAlign w:val="bottom"/>
          </w:tcPr>
          <w:p>
            <w:pPr>
              <w:spacing w:after="0"/>
              <w:rPr>
                <w:sz w:val="21"/>
                <w:szCs w:val="21"/>
                <w:color w:val="auto"/>
              </w:rPr>
            </w:pPr>
          </w:p>
        </w:tc>
        <w:tc>
          <w:tcPr>
            <w:tcW w:w="1780" w:type="dxa"/>
            <w:vAlign w:val="bottom"/>
          </w:tcPr>
          <w:p>
            <w:pPr>
              <w:jc w:val="right"/>
              <w:ind w:right="95"/>
              <w:spacing w:after="0"/>
              <w:rPr>
                <w:sz w:val="20"/>
                <w:szCs w:val="20"/>
                <w:color w:val="auto"/>
              </w:rPr>
            </w:pPr>
            <w:r>
              <w:rPr>
                <w:rFonts w:ascii="Arial" w:cs="Arial" w:eastAsia="Arial" w:hAnsi="Arial"/>
                <w:sz w:val="18"/>
                <w:szCs w:val="18"/>
                <w:color w:val="auto"/>
              </w:rPr>
              <w:t>LIBOR + 4.00%</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2012 Tranche A-2 Facility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439,882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470,000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LIBOR + 5.75%</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2017</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October 2012 Secured Credit Facility</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1,754,466</w:t>
            </w:r>
          </w:p>
        </w:tc>
        <w:tc>
          <w:tcPr>
            <w:tcW w:w="120" w:type="dxa"/>
            <w:vAlign w:val="bottom"/>
          </w:tcPr>
          <w:p>
            <w:pPr>
              <w:spacing w:after="0"/>
              <w:rPr>
                <w:sz w:val="21"/>
                <w:szCs w:val="21"/>
                <w:color w:val="auto"/>
              </w:rPr>
            </w:pPr>
          </w:p>
        </w:tc>
        <w:tc>
          <w:tcPr>
            <w:tcW w:w="1780" w:type="dxa"/>
            <w:vAlign w:val="bottom"/>
          </w:tcPr>
          <w:p>
            <w:pPr>
              <w:jc w:val="right"/>
              <w:ind w:right="95"/>
              <w:spacing w:after="0"/>
              <w:rPr>
                <w:sz w:val="20"/>
                <w:szCs w:val="20"/>
                <w:color w:val="auto"/>
              </w:rPr>
            </w:pPr>
            <w:r>
              <w:rPr>
                <w:rFonts w:ascii="Arial" w:cs="Arial" w:eastAsia="Arial" w:hAnsi="Arial"/>
                <w:sz w:val="18"/>
                <w:szCs w:val="18"/>
                <w:color w:val="auto"/>
              </w:rPr>
              <w:t>LIBOR + 4.50%</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February 2013 Secured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1,476,071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LIBOR + 3.50%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2017</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Term loans collateralized by net lease assets</w:t>
            </w: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273,861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264,432</w:t>
            </w:r>
          </w:p>
        </w:tc>
        <w:tc>
          <w:tcPr>
            <w:tcW w:w="1900" w:type="dxa"/>
            <w:vAlign w:val="bottom"/>
            <w:gridSpan w:val="2"/>
          </w:tcPr>
          <w:p>
            <w:pPr>
              <w:jc w:val="right"/>
              <w:ind w:right="95"/>
              <w:spacing w:after="0"/>
              <w:rPr>
                <w:sz w:val="20"/>
                <w:szCs w:val="20"/>
                <w:color w:val="auto"/>
              </w:rPr>
            </w:pPr>
            <w:r>
              <w:rPr>
                <w:rFonts w:ascii="Arial" w:cs="Arial" w:eastAsia="Arial" w:hAnsi="Arial"/>
                <w:sz w:val="18"/>
                <w:szCs w:val="18"/>
                <w:color w:val="auto"/>
              </w:rPr>
              <w:t>4.851% - 7.26%</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Various through 2026</w:t>
            </w:r>
          </w:p>
        </w:tc>
      </w:tr>
      <w:tr>
        <w:trPr>
          <w:trHeight w:val="27"/>
        </w:trPr>
        <w:tc>
          <w:tcPr>
            <w:tcW w:w="4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secured credit facilities and term loans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2,189,814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2,658,062</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Unsecured notes: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8.625% senior notes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96,801</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5.95% senior notes</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448,453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5.70% 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200,601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200,601</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2014</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6.05% senior notes</w:t>
            </w: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105,765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105,765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April 2015</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5.875% 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261,403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261,403</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2016</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3.875% senior notes</w:t>
            </w: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265,000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July 2016</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3.0% senior convertible notes(5)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2016</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5.85% senior notes</w:t>
            </w: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99,722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99,722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2017</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9.0% 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2017</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7.125% senior notes</w:t>
            </w: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7.125%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February 2018</w:t>
            </w: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4.875% senior notes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2018</w:t>
            </w: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Total unsecured notes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2,007,491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1,987,745</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Other debt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780" w:type="dxa"/>
            <w:vAlign w:val="bottom"/>
          </w:tcPr>
          <w:p>
            <w:pPr>
              <w:jc w:val="right"/>
              <w:ind w:right="95"/>
              <w:spacing w:after="0"/>
              <w:rPr>
                <w:sz w:val="20"/>
                <w:szCs w:val="20"/>
                <w:color w:val="auto"/>
              </w:rPr>
            </w:pPr>
            <w:r>
              <w:rPr>
                <w:rFonts w:ascii="Arial" w:cs="Arial" w:eastAsia="Arial" w:hAnsi="Arial"/>
                <w:sz w:val="18"/>
                <w:szCs w:val="18"/>
                <w:color w:val="auto"/>
              </w:rPr>
              <w:t>LIBOR + 1.5%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October 2035</w:t>
            </w:r>
          </w:p>
        </w:tc>
      </w:tr>
      <w:tr>
        <w:trPr>
          <w:trHeight w:val="27"/>
        </w:trPr>
        <w:tc>
          <w:tcPr>
            <w:tcW w:w="4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4,297,305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4,745,807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Debt discounts, net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(44,140)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(54,313)</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 obligations,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4,253,165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4,691,494</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loans each have a LIBOR floor of 1.25%. As of September 30, 2013, inclusive of the floor, the 2012 Tranche A-2 Facility loan incurred interest at a rate of 7.00%.</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loan had a LIBOR floor of 1.25%.</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loan has a LIBOR floor of 1.00%. As of September 30, 2013, inclusive of the floor, the February 2013 Secured Credit Facility incurred interest at a rate of 4.50%.</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a loan with a floating rate of LIBOR plus 2.00%.</w:t>
      </w:r>
    </w:p>
    <w:p>
      <w:pPr>
        <w:spacing w:after="0" w:line="1" w:lineRule="exact"/>
        <w:rPr>
          <w:rFonts w:ascii="Arial" w:cs="Arial" w:eastAsia="Arial" w:hAnsi="Arial"/>
          <w:sz w:val="14"/>
          <w:szCs w:val="14"/>
          <w:color w:val="auto"/>
        </w:rPr>
      </w:pPr>
    </w:p>
    <w:p>
      <w:pPr>
        <w:ind w:left="660" w:hanging="652"/>
        <w:spacing w:after="0" w:line="255"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Company's senior convertible fixed rate notes due November 2016 ("Convertible Notes") are convertible at the option of the holders, into 85.0 shares per $1,000 principal amount of Convertible Notes, at any time prior to the close of business on November 14, 2016.</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Future scheduled maturities</w:t>
      </w:r>
      <w:r>
        <w:rPr>
          <w:rFonts w:ascii="Arial" w:cs="Arial" w:eastAsia="Arial" w:hAnsi="Arial"/>
          <w:sz w:val="16"/>
          <w:szCs w:val="16"/>
          <w:color w:val="auto"/>
        </w:rPr>
        <w:t>—As of September 30, 2013, future scheduled maturities of outstanding debt obligations are as follows ($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 Debt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Secured Debt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 (remaining three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200,601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14,826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215,427</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105,765</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726,403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726,403</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1,915,953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2,290,675</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259,035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959,035</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principal maturities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2,107,491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2,189,814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4,297,305</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Unamortized debt discounts,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(13,233)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(30,907)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(44,140)</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2,094,258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2,158,907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4,253,165</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February 2013 Secured Credit Facility</w:t>
      </w:r>
      <w:r>
        <w:rPr>
          <w:rFonts w:ascii="Arial" w:cs="Arial" w:eastAsia="Arial" w:hAnsi="Arial"/>
          <w:sz w:val="18"/>
          <w:szCs w:val="18"/>
          <w:color w:val="auto"/>
        </w:rPr>
        <w:t>—On February 11, 2013, the Company entered into a $1.71 billion senior secured credit facility due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15, 2017 (the “February 2013 Secured Credit Facility”) that amended and restated its $1.82 billion senior secured credit facility, dated October 15, 2012 (the “October 2012 Secured Credit Facility”). The February 2013 Credit Facility amended the October 2012 Secured Credit Facility by: (i) reducing the interest rate from LIBOR plus 4.50%, with a 1.25% LIBOR floor, to LIBOR plus 3.50%, with a 1.00% LIBOR floor; and (ii) extending the call protection period for the lenders from October 15, 2013 to December 31, 2013.</w:t>
      </w:r>
    </w:p>
    <w:p>
      <w:pPr>
        <w:spacing w:after="0" w:line="14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Borrowings under the February 2013 Secured Credit Facility are collateralized by a first lien on a fixed pool of assets, with required minimum collateral coverage of not less than 125% of outstanding borrowings. If collateral coverage is less than 137.5% of outstanding borrowings, 100% of the proceeds from principal repayments and sales of collateral will be applied to repay outstanding borrowings under the February 2013 Secured Credit Facility. For so long as collateral coverage is between 137.5% and 150% of outstanding borrowings, 50% of proceeds from principal repayments and sales of collateral will be applied to repay outstanding borrowings under the February 2013 Secured Credit Facility and for so long as collateral coverage is greater than 150% of outstanding borrowings, the Company may retain all proceeds from principal repayments and sales of collateral. The Company retains proceeds from interest, rent, lease payments and fee income in all cases.</w:t>
      </w:r>
    </w:p>
    <w:p>
      <w:pPr>
        <w:spacing w:after="0" w:line="13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connection with the February 2013 Secured Credit Facility transaction, the Company incurred $17.1 million of lender fees, of which $14.4 million was capitalized in "Debt Obligations, net" on the Company's Consolidated Balance Sheets and $2.7 million was recorded in "Gain (loss) on early extinguishment of debt, net" on the Company's Consolidated Statements of Operations as it related to the lenders who did not participate in the new facility. The Company also incurred $3.8 million in third party fees, of which $3.6 million was recognized in “Other expense” on the Company's Consolidated Statements of Operations, as it related primarily to those lenders from the original facility that modified their debt under the new facility, and $0.2 million was recorded in “Deferred expenses and other assets, net” on the Company's Consolidated Balance Sheets, as it related to the new lenders.</w:t>
      </w:r>
    </w:p>
    <w:p>
      <w:pPr>
        <w:spacing w:after="0" w:line="12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February 2013 Secured Credit Facility contains certain covenants relating to the collateral, among other matters, but does not contain corporate level financial covenants. For so long as the Company maintains its qualification as a REIT, it is permitted to distribute 100% of its REIT taxable income on an annual basis. In addition, the Company may distribute to its stockholders real estate assets, or interests therein, having an aggregate equity value not to exceed $200 million, that are not collateral securing the borrowings under the February 2013 Secured Credit Facility. Except for the distribution of real estate assets described in the preceding sentence, the Company may not pay common dividends if it ceases to qualify as a REIT.</w:t>
      </w:r>
    </w:p>
    <w:p>
      <w:pPr>
        <w:spacing w:after="0" w:line="11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Through September 30, 2013, the Company has made cumulative amortization repayments of $230.9 million on the February 2013 Secured Credit Facility. Repayments of the February 2013 Secured Credit Facility prior to the scheduled maturity date have resulted in losses on early extinguishment of debt of $2.6 million and $5.1 million for three and nine months ended September 30, 2013, respectively, related to the acceleration of discounts and unamortized deferred financing fees on the portion of the facility that was repaid.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October 2012 Secured Credit Facility</w:t>
      </w:r>
      <w:r>
        <w:rPr>
          <w:rFonts w:ascii="Arial" w:cs="Arial" w:eastAsia="Arial" w:hAnsi="Arial"/>
          <w:sz w:val="18"/>
          <w:szCs w:val="18"/>
          <w:color w:val="auto"/>
        </w:rPr>
        <w:t>—On October 15, 2012, the Company entered into the October 2012 Secured Credit Facility. Proceeds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2012 Secured Credit Facility were used to refinance the remaining outstanding balances of the Company’s then existing 2011 Secured Credit Facilities.</w:t>
      </w:r>
    </w:p>
    <w:p>
      <w:pPr>
        <w:spacing w:after="0" w:line="1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October 2012 Secured Credit Facility was refinanced by the February 2013 Secured Credit Facility. Prior to refinancing, the Company made cumulative amortization repayments of $113.0 million on the October 2012 Secured Credit Facility, which resulted in losses on early extinguishment of debt of $0.8 million during the three months ended March 31, 2013 related to the acceleration of discounts and unamortized deferred financing fees on the portion of the facility that was repaid.</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the time of the refinancing, the Company had $30.5 million of unamortized discounts and financing fees related to the October 2012 Secured Credit Facility. In connection with the refinancing, the Company recorded a loss on early extinguishment of debt of $4.9 million, related primarily to the portion of lenders in the original facility that did not participate in the new facility. The remaining $25.6 million of unamortized fees and discounts will continue to be amortized to interest expense over the remaining term of the February 2013 Secured Credit Facility.</w:t>
      </w:r>
    </w:p>
    <w:p>
      <w:pPr>
        <w:spacing w:after="0" w:line="142"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6"/>
          <w:szCs w:val="16"/>
          <w:b w:val="1"/>
          <w:bCs w:val="1"/>
          <w:color w:val="auto"/>
        </w:rPr>
        <w:t>March 2012 Secured Credit Facilities</w:t>
      </w:r>
      <w:r>
        <w:rPr>
          <w:rFonts w:ascii="Arial" w:cs="Arial" w:eastAsia="Arial" w:hAnsi="Arial"/>
          <w:sz w:val="16"/>
          <w:szCs w:val="16"/>
          <w:color w:val="auto"/>
        </w:rPr>
        <w:t>—In March 2012, the Company entered into an $880.0 million senior secured credit agreement providing for</w:t>
      </w:r>
      <w:r>
        <w:rPr>
          <w:rFonts w:ascii="Arial" w:cs="Arial" w:eastAsia="Arial" w:hAnsi="Arial"/>
          <w:sz w:val="16"/>
          <w:szCs w:val="16"/>
          <w:b w:val="1"/>
          <w:bCs w:val="1"/>
          <w:color w:val="auto"/>
        </w:rPr>
        <w:t xml:space="preserve"> </w:t>
      </w:r>
      <w:r>
        <w:rPr>
          <w:rFonts w:ascii="Arial" w:cs="Arial" w:eastAsia="Arial" w:hAnsi="Arial"/>
          <w:sz w:val="16"/>
          <w:szCs w:val="16"/>
          <w:color w:val="auto"/>
        </w:rPr>
        <w:t>two tranches of term loans: 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were used to repurchase and repay at maturity $606.7 million aggregate principal amount of the Company's convertible notes due October 2012, to fully repay the $244.0 million balance on the Company's unsecured credit facility due June 2012, and to repay, upon maturity, $90.3 million outstanding principal balance of its 5.50% senior unsecured notes.</w:t>
      </w:r>
    </w:p>
    <w:p>
      <w:pPr>
        <w:spacing w:after="0" w:line="1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the Company. The 2012 Tranche A-1 Facility requires amortization payments of $41.0 million to be made every six months beginning December 31, 2012. After the 2012 Tranche A-1 Facility is repaid, proceeds from principal repayments and sales of collateral will be used to amortize the 2012 Tranche A-2 Facility. The Company may make optional prepayments on each tranche of term loans, subject to prepayment fees.</w:t>
      </w:r>
    </w:p>
    <w:p>
      <w:pPr>
        <w:spacing w:after="0" w:line="13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quarter ended September 30, 2013, the Company repaid the remaining outstanding balance of the 2012 Tranche A-1 Facility. Repayments of the 2012 Tranche A-1 Facility prior to scheduled amortization dates have resulted in losses on early extinguishment of debt of $0.2 million and $4.4 million for the three and nine months ended September 30, 2013, respectively, related to the acceleration of discounts and unamortized deferred financing fees on the portion of the facility that was repaid.</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Through September 30, 2013, the Company made cumulative repayments of $30.1 million on the 2012 Tranche A-2 Facility. Repayments of the 2012 Tranche A-2 Facility prior to maturity have resulted in losses on early extinguishment of debt of $0.8 million and $0.8 million for the three and nine months ended September 30, 2013, respectively, related to the acceleration of discounts and unamortized deferred financing fees on the portion of the facility that was repaid.</w:t>
      </w:r>
    </w:p>
    <w:p>
      <w:pPr>
        <w:spacing w:after="0" w:line="142"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7"/>
          <w:szCs w:val="17"/>
          <w:b w:val="1"/>
          <w:bCs w:val="1"/>
          <w:color w:val="auto"/>
        </w:rPr>
        <w:t>Unsecured notes</w:t>
      </w:r>
      <w:r>
        <w:rPr>
          <w:rFonts w:ascii="Arial" w:cs="Arial" w:eastAsia="Arial" w:hAnsi="Arial"/>
          <w:sz w:val="17"/>
          <w:szCs w:val="17"/>
          <w:color w:val="auto"/>
        </w:rPr>
        <w:t>—In May 2013, the Company issued $265.0 million aggregate principal of 3.875% senior unsecured notes due July 2016 and issued</w:t>
      </w:r>
      <w:r>
        <w:rPr>
          <w:rFonts w:ascii="Arial" w:cs="Arial" w:eastAsia="Arial" w:hAnsi="Arial"/>
          <w:sz w:val="17"/>
          <w:szCs w:val="17"/>
          <w:b w:val="1"/>
          <w:bCs w:val="1"/>
          <w:color w:val="auto"/>
        </w:rPr>
        <w:t xml:space="preserve"> </w:t>
      </w:r>
      <w:r>
        <w:rPr>
          <w:rFonts w:ascii="Arial" w:cs="Arial" w:eastAsia="Arial" w:hAnsi="Arial"/>
          <w:sz w:val="17"/>
          <w:szCs w:val="17"/>
          <w:color w:val="auto"/>
        </w:rPr>
        <w:t>$300.0 million aggregate principal of 4.875% senior unsecured notes due July 2018. Net proceeds from these transactions, together with cash on hand, were used to fully repay the remaining $96.8 million of outstanding 8.625% senior unsecured notes due June 2013 and the remaining $448.5 million of outstanding 5.95% senior unsecured notes due in October 2013. In connection with the repayment of the 5.95% senior unsecured notes, the Company incurred $9.5 million of losses related to a prepayment penalty and the acceleration of amortization of discounts, which was recorded in "Gain (loss) on early extinguishment of debt, net" on the Company's Consolidated Statements of Operations for the nine months ended September 30, 2013.</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b w:val="1"/>
          <w:bCs w:val="1"/>
          <w:color w:val="auto"/>
        </w:rPr>
        <w:t>Unencumbered/encumbered assets</w:t>
      </w:r>
      <w:r>
        <w:rPr>
          <w:rFonts w:ascii="Arial" w:cs="Arial" w:eastAsia="Arial" w:hAnsi="Arial"/>
          <w:sz w:val="18"/>
          <w:szCs w:val="18"/>
          <w:color w:val="auto"/>
        </w:rPr>
        <w:t>—As of September 30, 2013, the carrying value of the Company's encumbered and unencumbered assets by asset</w:t>
      </w:r>
      <w:r>
        <w:rPr>
          <w:rFonts w:ascii="Arial" w:cs="Arial" w:eastAsia="Arial" w:hAnsi="Arial"/>
          <w:sz w:val="18"/>
          <w:szCs w:val="18"/>
          <w:b w:val="1"/>
          <w:bCs w:val="1"/>
          <w:color w:val="auto"/>
        </w:rPr>
        <w:t xml:space="preserve"> </w:t>
      </w:r>
      <w:r>
        <w:rPr>
          <w:rFonts w:ascii="Arial" w:cs="Arial" w:eastAsia="Arial" w:hAnsi="Arial"/>
          <w:sz w:val="18"/>
          <w:szCs w:val="18"/>
          <w:color w:val="auto"/>
        </w:rPr>
        <w:t>type are as follows ($ in thousands):</w:t>
      </w:r>
    </w:p>
    <w:p>
      <w:pPr>
        <w:spacing w:after="0" w:line="347"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w w:val="85"/>
              </w:rPr>
              <w:t>As of</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480" w:type="dxa"/>
            <w:vAlign w:val="bottom"/>
          </w:tcPr>
          <w:p>
            <w:pPr>
              <w:spacing w:after="0"/>
              <w:rPr>
                <w:sz w:val="13"/>
                <w:szCs w:val="13"/>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Encumbered Assets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1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Encumbered Assets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net</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1,683,823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1,101,612</w:t>
            </w:r>
          </w:p>
        </w:tc>
        <w:tc>
          <w:tcPr>
            <w:tcW w:w="52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1,794,198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1,004,825</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195,692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214,388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141,673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494,192</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receivable, net(1)</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919,398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1,197,373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665,712</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26,929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160,581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43,545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355,298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1,027,563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487,073</w:t>
            </w:r>
          </w:p>
        </w:tc>
        <w:tc>
          <w:tcPr>
            <w:tcW w:w="0" w:type="dxa"/>
            <w:vAlign w:val="bottom"/>
          </w:tcPr>
          <w:p>
            <w:pPr>
              <w:spacing w:after="0"/>
              <w:rPr>
                <w:sz w:val="1"/>
                <w:szCs w:val="1"/>
                <w:color w:val="auto"/>
              </w:rPr>
            </w:pPr>
          </w:p>
        </w:tc>
      </w:tr>
      <w:tr>
        <w:trPr>
          <w:trHeight w:val="257"/>
        </w:trPr>
        <w:tc>
          <w:tcPr>
            <w:tcW w:w="5480" w:type="dxa"/>
            <w:vAlign w:val="bottom"/>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2,825,842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2,975,298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3,176,789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3,007,100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September 30, 2013 and December 31, 2012, the amounts presented are gross of general reserves for loan losses of $27.8 million and $33.1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8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Company's outstanding unsecured debt securities contain corporate level covenants that include a covenant to maintain a ratio of unencumbered assets to unsecured indebtedness of at least 1.2x and a restriction on debt incurrence based upon the effect of the debt incurrence on the Company's fixed charge coverage ratio. If any of the Company's covenants are breached and not cured within applicable cure periods, the breach could result in acceleration of its debt securities unless a waiver or modification is agreed upon with the requisite percentage of the bondholders. While the Company expects that its ability to incur new indebtedness under the fixed charge coverage ratio will be limited for the foreseeable future, it will continue to be permitted to incur indebtedness for the purpose of refinancing existing indebtedness and for other permitted purposes under the indentures.</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March 2012 Secured Credit Facilities and February 2013 Secured Credit Facility are collectively defined as the "Secured Credit Facilities." The Company's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Company is required to maintain collateral coverage of 1.25x outstanding borrowings. In addition, for so long as the Company maintains its qualification as a REIT, the Secured Credit Facilities permit the Company to distribute 100% of its REIT taxable income on an annual basis and the February 2013 Secured Credit Facility permits the Company to distribute to its shareholders real estate assets, or interests therein, having an aggregate equity value not to exceed $200 million, so long as such assets are not collateral for the February 2013 Secured Credit Facility. The Company may not pay common dividends if it ceases to qualify as a REIT (except that the February 2013 Secured Credit Facility permits the Company to distribute certain real estate assets as described in the preceding sentence).</w:t>
      </w:r>
    </w:p>
    <w:p>
      <w:pPr>
        <w:spacing w:after="0" w:line="14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Secured Credit Facilities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18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7"/>
          <w:szCs w:val="17"/>
          <w:b w:val="1"/>
          <w:bCs w:val="1"/>
          <w:color w:val="auto"/>
        </w:rPr>
        <w:t>Unfunded commitments</w:t>
      </w:r>
      <w:r>
        <w:rPr>
          <w:rFonts w:ascii="Arial" w:cs="Arial" w:eastAsia="Arial" w:hAnsi="Arial"/>
          <w:sz w:val="17"/>
          <w:szCs w:val="17"/>
          <w:color w:val="auto"/>
        </w:rPr>
        <w:t>—As of September 30, 2013, the maximum amount of fundings the Company may be required to make under each category,</w:t>
      </w:r>
      <w:r>
        <w:rPr>
          <w:rFonts w:ascii="Arial" w:cs="Arial" w:eastAsia="Arial" w:hAnsi="Arial"/>
          <w:sz w:val="17"/>
          <w:szCs w:val="17"/>
          <w:b w:val="1"/>
          <w:bCs w:val="1"/>
          <w:color w:val="auto"/>
        </w:rPr>
        <w:t xml:space="preserve"> </w:t>
      </w:r>
      <w:r>
        <w:rPr>
          <w:rFonts w:ascii="Arial" w:cs="Arial" w:eastAsia="Arial" w:hAnsi="Arial"/>
          <w:sz w:val="17"/>
          <w:szCs w:val="17"/>
          <w:color w:val="auto"/>
        </w:rPr>
        <w:t>assuming all performance hurdles and milestones are met under the Performance-Based Commitments, that the Company approves all Discretionary Fundings and that 100% of the Company's capital committed to Strategic Investments is drawn down, are as follows ($ in thousands):</w:t>
      </w: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ind w:left="20"/>
              <w:spacing w:after="0"/>
              <w:rPr>
                <w:sz w:val="20"/>
                <w:szCs w:val="20"/>
                <w:color w:val="auto"/>
              </w:rPr>
            </w:pPr>
            <w:r>
              <w:rPr>
                <w:rFonts w:ascii="Arial" w:cs="Arial" w:eastAsia="Arial" w:hAnsi="Arial"/>
                <w:sz w:val="14"/>
                <w:szCs w:val="14"/>
                <w:b w:val="1"/>
                <w:bCs w:val="1"/>
                <w:color w:val="auto"/>
              </w:rPr>
              <w:t>Loans and Other Lending</w:t>
            </w:r>
          </w:p>
        </w:tc>
        <w:tc>
          <w:tcPr>
            <w:tcW w:w="360" w:type="dxa"/>
            <w:vAlign w:val="bottom"/>
          </w:tcPr>
          <w:p>
            <w:pPr>
              <w:spacing w:after="0"/>
              <w:rPr>
                <w:sz w:val="14"/>
                <w:szCs w:val="14"/>
                <w:color w:val="auto"/>
              </w:rPr>
            </w:pPr>
          </w:p>
        </w:tc>
        <w:tc>
          <w:tcPr>
            <w:tcW w:w="156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Real Estate</w:t>
            </w:r>
          </w:p>
        </w:tc>
        <w:tc>
          <w:tcPr>
            <w:tcW w:w="10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Arial" w:cs="Arial" w:eastAsia="Arial" w:hAnsi="Arial"/>
                <w:sz w:val="14"/>
                <w:szCs w:val="14"/>
                <w:b w:val="1"/>
                <w:bCs w:val="1"/>
                <w:color w:val="auto"/>
              </w:rPr>
              <w:t>Strategic</w:t>
            </w:r>
          </w:p>
        </w:tc>
        <w:tc>
          <w:tcPr>
            <w:tcW w:w="460" w:type="dxa"/>
            <w:vAlign w:val="bottom"/>
          </w:tcPr>
          <w:p>
            <w:pPr>
              <w:spacing w:after="0"/>
              <w:rPr>
                <w:sz w:val="14"/>
                <w:szCs w:val="14"/>
                <w:color w:val="auto"/>
              </w:rPr>
            </w:pPr>
          </w:p>
        </w:tc>
        <w:tc>
          <w:tcPr>
            <w:tcW w:w="1460" w:type="dxa"/>
            <w:vAlign w:val="bottom"/>
            <w:vMerge w:val="restart"/>
          </w:tcPr>
          <w:p>
            <w:pPr>
              <w:jc w:val="right"/>
              <w:ind w:right="7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Commitments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38,745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85,101</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Discretionary Fundings</w:t>
            </w:r>
          </w:p>
        </w:tc>
        <w:tc>
          <w:tcPr>
            <w:tcW w:w="14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Strategic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46,927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46,927</w:t>
            </w:r>
          </w:p>
        </w:tc>
        <w:tc>
          <w:tcPr>
            <w:tcW w:w="0" w:type="dxa"/>
            <w:vAlign w:val="bottom"/>
          </w:tcPr>
          <w:p>
            <w:pPr>
              <w:spacing w:after="0"/>
              <w:rPr>
                <w:sz w:val="1"/>
                <w:szCs w:val="1"/>
                <w:color w:val="auto"/>
              </w:rPr>
            </w:pPr>
          </w:p>
        </w:tc>
      </w:tr>
      <w:tr>
        <w:trPr>
          <w:trHeight w:val="257"/>
        </w:trPr>
        <w:tc>
          <w:tcPr>
            <w:tcW w:w="328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38,745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46,356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46,927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132,028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Legal proceedings</w:t>
      </w:r>
      <w:r>
        <w:rPr>
          <w:rFonts w:ascii="Arial" w:cs="Arial" w:eastAsia="Arial" w:hAnsi="Arial"/>
          <w:sz w:val="18"/>
          <w:szCs w:val="18"/>
          <w:color w:val="auto"/>
        </w:rPr>
        <w:t>—The Company and/or one or more of its subsidiaries is party to various pending litigation matters that are considered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routine litigation incidental to the Company's business as a finance and investment company focused on the commercial real estate industry, including loan foreclosure and foreclosure-related proceedings.</w:t>
      </w:r>
    </w:p>
    <w:p>
      <w:pPr>
        <w:spacing w:after="0" w:line="14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evaluates, on a quarterly basis,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10—Risk Management and Derivatives</w:t>
      </w:r>
    </w:p>
    <w:p>
      <w:pPr>
        <w:spacing w:after="0" w:line="18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use of derivative financial instruments is primarily limited to the utilization of interest rate hedges and foreign exchange hedges. The principal objective of such hedges is to minimize the risks and/or costs associated with the Company's operating and financial structure and to manage its exposure to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1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as of September 30, 2013 and December 31, 2012 ($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Derivative Assets as of</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Derivative Liabilities as of</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2440" w:type="dxa"/>
            <w:vAlign w:val="bottom"/>
            <w:tcBorders>
              <w:bottom w:val="single" w:sz="8" w:color="auto"/>
            </w:tcBorders>
            <w:gridSpan w:val="4"/>
          </w:tcPr>
          <w:p>
            <w:pPr>
              <w:jc w:val="right"/>
              <w:ind w:right="538"/>
              <w:spacing w:after="0"/>
              <w:rPr>
                <w:sz w:val="20"/>
                <w:szCs w:val="20"/>
                <w:color w:val="auto"/>
              </w:rPr>
            </w:pPr>
            <w:r>
              <w:rPr>
                <w:rFonts w:ascii="Arial" w:cs="Arial" w:eastAsia="Arial" w:hAnsi="Arial"/>
                <w:sz w:val="14"/>
                <w:szCs w:val="14"/>
                <w:b w:val="1"/>
                <w:bCs w:val="1"/>
                <w:color w:val="auto"/>
              </w:rPr>
              <w:t>September 30, 2013</w:t>
            </w:r>
          </w:p>
        </w:tc>
        <w:tc>
          <w:tcPr>
            <w:tcW w:w="120" w:type="dxa"/>
            <w:vAlign w:val="bottom"/>
          </w:tcPr>
          <w:p>
            <w:pPr>
              <w:spacing w:after="0"/>
              <w:rPr>
                <w:sz w:val="22"/>
                <w:szCs w:val="22"/>
                <w:color w:val="auto"/>
              </w:rPr>
            </w:pPr>
          </w:p>
        </w:tc>
        <w:tc>
          <w:tcPr>
            <w:tcW w:w="24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Pr>
          <w:p>
            <w:pPr>
              <w:spacing w:after="0"/>
              <w:rPr>
                <w:sz w:val="22"/>
                <w:szCs w:val="22"/>
                <w:color w:val="auto"/>
              </w:rPr>
            </w:pPr>
          </w:p>
        </w:tc>
        <w:tc>
          <w:tcPr>
            <w:tcW w:w="2380" w:type="dxa"/>
            <w:vAlign w:val="bottom"/>
            <w:tcBorders>
              <w:bottom w:val="single" w:sz="8" w:color="auto"/>
            </w:tcBorders>
            <w:gridSpan w:val="4"/>
          </w:tcPr>
          <w:p>
            <w:pPr>
              <w:jc w:val="right"/>
              <w:ind w:right="518"/>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Pr>
          <w:p>
            <w:pPr>
              <w:spacing w:after="0"/>
              <w:rPr>
                <w:sz w:val="22"/>
                <w:szCs w:val="22"/>
                <w:color w:val="auto"/>
              </w:rPr>
            </w:pPr>
          </w:p>
        </w:tc>
        <w:tc>
          <w:tcPr>
            <w:tcW w:w="238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w:t>
            </w:r>
          </w:p>
        </w:tc>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3"/>
                <w:szCs w:val="13"/>
                <w:color w:val="auto"/>
              </w:rPr>
            </w:pPr>
          </w:p>
        </w:tc>
        <w:tc>
          <w:tcPr>
            <w:tcW w:w="740" w:type="dxa"/>
            <w:vAlign w:val="bottom"/>
          </w:tcPr>
          <w:p>
            <w:pPr>
              <w:jc w:val="right"/>
              <w:ind w:right="258"/>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80" w:type="dxa"/>
            <w:vAlign w:val="bottom"/>
          </w:tcPr>
          <w:p>
            <w:pPr>
              <w:spacing w:after="0"/>
              <w:rPr>
                <w:sz w:val="13"/>
                <w:szCs w:val="13"/>
                <w:color w:val="auto"/>
              </w:rPr>
            </w:pPr>
          </w:p>
        </w:tc>
        <w:tc>
          <w:tcPr>
            <w:tcW w:w="64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4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7"/>
              </w:rPr>
              <w:t>Balance Sheet</w:t>
            </w:r>
          </w:p>
        </w:tc>
        <w:tc>
          <w:tcPr>
            <w:tcW w:w="120" w:type="dxa"/>
            <w:vAlign w:val="bottom"/>
          </w:tcPr>
          <w:p>
            <w:pPr>
              <w:spacing w:after="0"/>
              <w:rPr>
                <w:sz w:val="13"/>
                <w:szCs w:val="13"/>
                <w:color w:val="auto"/>
              </w:rPr>
            </w:pPr>
          </w:p>
        </w:tc>
        <w:tc>
          <w:tcPr>
            <w:tcW w:w="780" w:type="dxa"/>
            <w:vAlign w:val="bottom"/>
          </w:tcPr>
          <w:p>
            <w:pPr>
              <w:jc w:val="right"/>
              <w:ind w:right="23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3"/>
                <w:szCs w:val="13"/>
                <w:color w:val="auto"/>
              </w:rPr>
            </w:pPr>
          </w:p>
        </w:tc>
        <w:tc>
          <w:tcPr>
            <w:tcW w:w="70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1500" w:type="dxa"/>
            <w:vAlign w:val="bottom"/>
            <w:vMerge w:val="continue"/>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6"/>
                <w:szCs w:val="16"/>
                <w:color w:val="auto"/>
              </w:rPr>
            </w:pPr>
          </w:p>
        </w:tc>
        <w:tc>
          <w:tcPr>
            <w:tcW w:w="740" w:type="dxa"/>
            <w:vAlign w:val="bottom"/>
          </w:tcPr>
          <w:p>
            <w:pPr>
              <w:jc w:val="right"/>
              <w:ind w:right="21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8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Location</w:t>
            </w:r>
          </w:p>
        </w:tc>
        <w:tc>
          <w:tcPr>
            <w:tcW w:w="120" w:type="dxa"/>
            <w:vAlign w:val="bottom"/>
          </w:tcPr>
          <w:p>
            <w:pPr>
              <w:spacing w:after="0"/>
              <w:rPr>
                <w:sz w:val="16"/>
                <w:szCs w:val="16"/>
                <w:color w:val="auto"/>
              </w:rPr>
            </w:pPr>
          </w:p>
        </w:tc>
        <w:tc>
          <w:tcPr>
            <w:tcW w:w="780" w:type="dxa"/>
            <w:vAlign w:val="bottom"/>
          </w:tcPr>
          <w:p>
            <w:pPr>
              <w:jc w:val="right"/>
              <w:ind w:right="19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6"/>
                <w:szCs w:val="16"/>
                <w:color w:val="auto"/>
              </w:rPr>
            </w:pPr>
          </w:p>
        </w:tc>
        <w:tc>
          <w:tcPr>
            <w:tcW w:w="700" w:type="dxa"/>
            <w:vAlign w:val="bottom"/>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5"/>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Foreign exchange</w:t>
            </w: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8,164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29"/>
        </w:trPr>
        <w:tc>
          <w:tcPr>
            <w:tcW w:w="1500" w:type="dxa"/>
            <w:vAlign w:val="bottom"/>
          </w:tcPr>
          <w:p>
            <w:pPr>
              <w:ind w:left="40"/>
              <w:spacing w:after="0"/>
              <w:rPr>
                <w:sz w:val="20"/>
                <w:szCs w:val="20"/>
                <w:color w:val="auto"/>
              </w:rPr>
            </w:pPr>
            <w:r>
              <w:rPr>
                <w:rFonts w:ascii="Arial" w:cs="Arial" w:eastAsia="Arial" w:hAnsi="Arial"/>
                <w:sz w:val="18"/>
                <w:szCs w:val="18"/>
                <w:color w:val="auto"/>
              </w:rPr>
              <w:t>Cash flow interest</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rate swap</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0"/>
                <w:szCs w:val="20"/>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0"/>
                <w:szCs w:val="20"/>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 interest</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cap</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9,033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10,091</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8,164</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tables below present the effect of the Company's derivative financial instruments on the Consolidated Statements of Operations for the three and nine months ended September 30, 2013 and 2012 ($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 of Gain (Loss)</w:t>
            </w:r>
          </w:p>
        </w:tc>
        <w:tc>
          <w:tcPr>
            <w:tcW w:w="14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 of Gain (Loss)</w:t>
            </w: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Location of Gain (Loss)</w:t>
            </w:r>
          </w:p>
        </w:tc>
        <w:tc>
          <w:tcPr>
            <w:tcW w:w="120" w:type="dxa"/>
            <w:vAlign w:val="bottom"/>
          </w:tcPr>
          <w:p>
            <w:pPr>
              <w:spacing w:after="0"/>
              <w:rPr>
                <w:sz w:val="12"/>
                <w:szCs w:val="12"/>
                <w:color w:val="auto"/>
              </w:rPr>
            </w:pP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in Hedging Relationships</w:t>
            </w:r>
          </w:p>
        </w:tc>
        <w:tc>
          <w:tcPr>
            <w:tcW w:w="120" w:type="dxa"/>
            <w:vAlign w:val="bottom"/>
            <w:vMerge w:val="restart"/>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 Income</w:t>
            </w:r>
          </w:p>
        </w:tc>
        <w:tc>
          <w:tcPr>
            <w:tcW w:w="1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8"/>
              </w:rPr>
              <w:t>Comprehensive Income into</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Earnings (Ineffective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Recognized in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(Effective Portion)</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Earnings (Effective Portion)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Portion)</w:t>
            </w:r>
          </w:p>
        </w:tc>
        <w:tc>
          <w:tcPr>
            <w:tcW w:w="0" w:type="dxa"/>
            <w:vAlign w:val="bottom"/>
          </w:tcPr>
          <w:p>
            <w:pPr>
              <w:spacing w:after="0"/>
              <w:rPr>
                <w:sz w:val="1"/>
                <w:szCs w:val="1"/>
                <w:color w:val="auto"/>
              </w:rPr>
            </w:pPr>
          </w:p>
        </w:tc>
      </w:tr>
      <w:tr>
        <w:trPr>
          <w:trHeight w:val="236"/>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 Ended September 30, 2013</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Cash flow interest rate cap</w:t>
            </w:r>
          </w:p>
        </w:tc>
        <w:tc>
          <w:tcPr>
            <w:tcW w:w="17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(1,590)</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flow interest rate swap</w:t>
            </w: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Foreign exchange contracts</w:t>
            </w:r>
          </w:p>
        </w:tc>
        <w:tc>
          <w:tcPr>
            <w:tcW w:w="1720" w:type="dxa"/>
            <w:vAlign w:val="bottom"/>
            <w:gridSpan w:val="2"/>
          </w:tcPr>
          <w:p>
            <w:pPr>
              <w:ind w:left="20"/>
              <w:spacing w:after="0"/>
              <w:rPr>
                <w:sz w:val="20"/>
                <w:szCs w:val="20"/>
                <w:color w:val="auto"/>
              </w:rPr>
            </w:pPr>
            <w:r>
              <w:rPr>
                <w:rFonts w:ascii="Arial" w:cs="Arial" w:eastAsia="Arial" w:hAnsi="Arial"/>
                <w:sz w:val="16"/>
                <w:szCs w:val="16"/>
                <w:color w:val="auto"/>
              </w:rPr>
              <w:t>Other Expense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2"/>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 Ended September 30, 2012</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Cash flow interest rate swap</w:t>
            </w:r>
          </w:p>
        </w:tc>
        <w:tc>
          <w:tcPr>
            <w:tcW w:w="17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For the Nine Months Ended September 30, 2013</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Cash flow interest rate cap</w:t>
            </w:r>
          </w:p>
        </w:tc>
        <w:tc>
          <w:tcPr>
            <w:tcW w:w="17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(1,590)</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flow interest rate swap</w:t>
            </w: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Foreign exchange contracts</w:t>
            </w:r>
          </w:p>
        </w:tc>
        <w:tc>
          <w:tcPr>
            <w:tcW w:w="1720" w:type="dxa"/>
            <w:vAlign w:val="bottom"/>
            <w:gridSpan w:val="2"/>
          </w:tcPr>
          <w:p>
            <w:pPr>
              <w:ind w:left="20"/>
              <w:spacing w:after="0"/>
              <w:rPr>
                <w:sz w:val="20"/>
                <w:szCs w:val="20"/>
                <w:color w:val="auto"/>
              </w:rPr>
            </w:pPr>
            <w:r>
              <w:rPr>
                <w:rFonts w:ascii="Arial" w:cs="Arial" w:eastAsia="Arial" w:hAnsi="Arial"/>
                <w:sz w:val="16"/>
                <w:szCs w:val="16"/>
                <w:color w:val="auto"/>
              </w:rPr>
              <w:t>Other Expense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2"/>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For the Nine Months Ended September 30, 2012</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Cash flow interest rate swap</w:t>
            </w:r>
          </w:p>
        </w:tc>
        <w:tc>
          <w:tcPr>
            <w:tcW w:w="17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color w:val="auto"/>
        </w:rPr>
        <w:t>Foreign exchange contracts</w:t>
      </w:r>
      <w:r>
        <w:rPr>
          <w:rFonts w:ascii="Arial" w:cs="Arial" w:eastAsia="Arial" w:hAnsi="Arial"/>
          <w:sz w:val="17"/>
          <w:szCs w:val="17"/>
          <w:color w:val="auto"/>
        </w:rPr>
        <w:t>—The Company is exposed to fluctuations in foreign exchange rates on investments it holds in foreign entities.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uses currency forward agreements to hedge its exposure to changes in foreign exchange rates on its foreign investments. Currency forward agreements involve fixing the USD to the respective foreign currency exchange rate for delivery of a specified amount of foreign currency on a specified date. The currency forward agreements are typically cash settled in US dollars for their fair value at or close to their settlement date.</w:t>
      </w:r>
    </w:p>
    <w:p>
      <w:pPr>
        <w:spacing w:after="0" w:line="12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net investment is either sold or substantially liquidated. In June 2013, the Company entered into a foreign exchange contract to hedge its exposure in a subsidiary whose functional currency is INR. As of September 30, 2013, the Company had the following outstanding foreign currency derivatives that were used to hedge its net investments in foreign operations that were designated:</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Notional</w:t>
            </w: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5"/>
              </w:rPr>
              <w:t>(USD Equivalent)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Sells INR/Buys USD Forward</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456,000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7,291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January 2014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derivatives not designated as net investment hedges, the changes in the fair value of the derivatives are reported in the Consolidated Statements of Operations within other expense. As of September 30, 2013, the Company had the following outstanding foreign currency derivatives that were used to hedge its net investments in foreign operations that were not designated:</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Notional</w:t>
            </w: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3940" w:type="dxa"/>
            <w:vAlign w:val="bottom"/>
            <w:vMerge w:val="continue"/>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(USD Equivalent)</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Sells EUR/Buys USD Forward</w:t>
            </w:r>
          </w:p>
        </w:tc>
        <w:tc>
          <w:tcPr>
            <w:tcW w:w="2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84,400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114,155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9"/>
              </w:rPr>
              <w:t>October 2013</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Sells GBP/Buys USD Forward</w:t>
            </w:r>
          </w:p>
        </w:tc>
        <w:tc>
          <w:tcPr>
            <w:tcW w:w="2740" w:type="dxa"/>
            <w:vAlign w:val="bottom"/>
            <w:gridSpan w:val="3"/>
          </w:tcPr>
          <w:p>
            <w:pPr>
              <w:ind w:left="23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44,512</w:t>
            </w:r>
          </w:p>
        </w:tc>
        <w:tc>
          <w:tcPr>
            <w:tcW w:w="100" w:type="dxa"/>
            <w:vAlign w:val="bottom"/>
          </w:tcPr>
          <w:p>
            <w:pPr>
              <w:spacing w:after="0"/>
              <w:rPr>
                <w:sz w:val="21"/>
                <w:szCs w:val="21"/>
                <w:color w:val="auto"/>
              </w:rPr>
            </w:pPr>
          </w:p>
        </w:tc>
        <w:tc>
          <w:tcPr>
            <w:tcW w:w="1360" w:type="dxa"/>
            <w:vAlign w:val="bottom"/>
          </w:tcPr>
          <w:p>
            <w:pPr>
              <w:ind w:left="360"/>
              <w:spacing w:after="0"/>
              <w:rPr>
                <w:sz w:val="20"/>
                <w:szCs w:val="20"/>
                <w:color w:val="auto"/>
              </w:rPr>
            </w:pPr>
            <w:r>
              <w:rPr>
                <w:rFonts w:ascii="Arial" w:cs="Arial" w:eastAsia="Arial" w:hAnsi="Arial"/>
                <w:sz w:val="18"/>
                <w:szCs w:val="18"/>
                <w:color w:val="auto"/>
                <w:w w:val="89"/>
              </w:rPr>
              <w:t>October 2013</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Sells CAD/Buys USD Forward</w:t>
            </w:r>
          </w:p>
        </w:tc>
        <w:tc>
          <w:tcPr>
            <w:tcW w:w="2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41,832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9"/>
              </w:rPr>
              <w:t>October 2013</w:t>
            </w:r>
          </w:p>
        </w:tc>
        <w:tc>
          <w:tcPr>
            <w:tcW w:w="0" w:type="dxa"/>
            <w:vAlign w:val="bottom"/>
          </w:tcPr>
          <w:p>
            <w:pPr>
              <w:spacing w:after="0"/>
              <w:rPr>
                <w:sz w:val="1"/>
                <w:szCs w:val="1"/>
                <w:color w:val="auto"/>
              </w:rPr>
            </w:pPr>
          </w:p>
        </w:tc>
      </w:tr>
      <w:tr>
        <w:trPr>
          <w:trHeight w:val="635"/>
        </w:trPr>
        <w:tc>
          <w:tcPr>
            <w:tcW w:w="3940" w:type="dxa"/>
            <w:vAlign w:val="bottom"/>
          </w:tcPr>
          <w:p>
            <w:pPr>
              <w:spacing w:after="0"/>
              <w:rPr>
                <w:sz w:val="24"/>
                <w:szCs w:val="24"/>
                <w:color w:val="auto"/>
              </w:rPr>
            </w:pPr>
          </w:p>
        </w:tc>
        <w:tc>
          <w:tcPr>
            <w:tcW w:w="2220" w:type="dxa"/>
            <w:vAlign w:val="bottom"/>
          </w:tcPr>
          <w:p>
            <w:pPr>
              <w:jc w:val="right"/>
              <w:ind w:right="2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Amount of Gain or (Loss)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Recognized in Income</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Location of Gain or</w:t>
            </w:r>
          </w:p>
        </w:tc>
        <w:tc>
          <w:tcPr>
            <w:tcW w:w="300" w:type="dxa"/>
            <w:vAlign w:val="bottom"/>
          </w:tcPr>
          <w:p>
            <w:pPr>
              <w:spacing w:after="0"/>
              <w:rPr>
                <w:sz w:val="13"/>
                <w:szCs w:val="13"/>
                <w:color w:val="auto"/>
              </w:rPr>
            </w:pPr>
          </w:p>
        </w:tc>
        <w:tc>
          <w:tcPr>
            <w:tcW w:w="2440" w:type="dxa"/>
            <w:vAlign w:val="bottom"/>
            <w:gridSpan w:val="5"/>
          </w:tcPr>
          <w:p>
            <w:pPr>
              <w:jc w:val="right"/>
              <w:ind w:right="740"/>
              <w:spacing w:after="0" w:line="153" w:lineRule="exact"/>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3"/>
                <w:szCs w:val="13"/>
                <w:color w:val="auto"/>
              </w:rPr>
            </w:pPr>
          </w:p>
        </w:tc>
        <w:tc>
          <w:tcPr>
            <w:tcW w:w="2280" w:type="dxa"/>
            <w:vAlign w:val="bottom"/>
            <w:gridSpan w:val="4"/>
          </w:tcPr>
          <w:p>
            <w:pPr>
              <w:ind w:left="340"/>
              <w:spacing w:after="0" w:line="153" w:lineRule="exact"/>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44"/>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440" w:type="dxa"/>
            <w:vAlign w:val="bottom"/>
            <w:gridSpan w:val="5"/>
          </w:tcPr>
          <w:p>
            <w:pPr>
              <w:jc w:val="right"/>
              <w:ind w:right="760"/>
              <w:spacing w:after="0" w:line="145" w:lineRule="exact"/>
              <w:rPr>
                <w:sz w:val="20"/>
                <w:szCs w:val="20"/>
                <w:color w:val="auto"/>
              </w:rPr>
            </w:pPr>
            <w:r>
              <w:rPr>
                <w:rFonts w:ascii="Arial" w:cs="Arial" w:eastAsia="Arial" w:hAnsi="Arial"/>
                <w:sz w:val="14"/>
                <w:szCs w:val="14"/>
                <w:b w:val="1"/>
                <w:bCs w:val="1"/>
                <w:color w:val="auto"/>
              </w:rPr>
              <w:t>Ended September 30,</w:t>
            </w:r>
          </w:p>
        </w:tc>
        <w:tc>
          <w:tcPr>
            <w:tcW w:w="300" w:type="dxa"/>
            <w:vAlign w:val="bottom"/>
          </w:tcPr>
          <w:p>
            <w:pPr>
              <w:spacing w:after="0"/>
              <w:rPr>
                <w:sz w:val="12"/>
                <w:szCs w:val="12"/>
                <w:color w:val="auto"/>
              </w:rPr>
            </w:pPr>
          </w:p>
        </w:tc>
        <w:tc>
          <w:tcPr>
            <w:tcW w:w="2280" w:type="dxa"/>
            <w:vAlign w:val="bottom"/>
            <w:gridSpan w:val="4"/>
          </w:tcPr>
          <w:p>
            <w:pPr>
              <w:ind w:left="340"/>
              <w:spacing w:after="0" w:line="145" w:lineRule="exact"/>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94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89"/>
              </w:rPr>
              <w:t>(Loss) Recognized in</w:t>
            </w: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not Designated in Hedging Relationships</w:t>
            </w:r>
          </w:p>
        </w:tc>
        <w:tc>
          <w:tcPr>
            <w:tcW w:w="120" w:type="dxa"/>
            <w:vAlign w:val="bottom"/>
            <w:vMerge w:val="continue"/>
          </w:tcPr>
          <w:p>
            <w:pPr>
              <w:spacing w:after="0"/>
              <w:rPr>
                <w:sz w:val="5"/>
                <w:szCs w:val="5"/>
                <w:color w:val="auto"/>
              </w:rPr>
            </w:pPr>
          </w:p>
        </w:tc>
        <w:tc>
          <w:tcPr>
            <w:tcW w:w="19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marks its foreign investments to market each quarter based on current exchange rates and records the gain or loss through “Other expense” on its Consolidated Statements of Operations for loan investments or “Accumulated other comprehensive income (loss),” on its Consolidated Balance Sheets for net investments in foreign subsidiaries. The Company recorded net losses related to foreign investments of $1.1 million and $0.5 million during the three months ended September 30, 2013 and 2012, respectively, and $1.5 million and $0.8 million during the nine months ended September 30, 2013 and 2012, respectively, in its Consolidated Statements of Operations.</w:t>
      </w:r>
    </w:p>
    <w:p>
      <w:pPr>
        <w:spacing w:after="0" w:line="144"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Qualifying cash flow hedges</w:t>
      </w:r>
      <w:r>
        <w:rPr>
          <w:rFonts w:ascii="Arial" w:cs="Arial" w:eastAsia="Arial" w:hAnsi="Arial"/>
          <w:sz w:val="18"/>
          <w:szCs w:val="18"/>
          <w:color w:val="auto"/>
        </w:rPr>
        <w:t>—In August 2013, the Company entered into an interest rate cap agreement to reduce exposure to variability in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future interest payments associated with variable interest rate debt. In October 2012, the Company entered into an interest rate swap to convert its variable rate debt to fixed rate on a $28.0 million secured term loan maturing in 2019. The following table presents the Company's interest rate cap and swap outstanding as of September 30, 2013 ($ in thousands).</w:t>
      </w:r>
    </w:p>
    <w:p>
      <w:pPr>
        <w:spacing w:after="0" w:line="28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4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Notional</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Variable Rate</w:t>
            </w:r>
          </w:p>
        </w:tc>
        <w:tc>
          <w:tcPr>
            <w:tcW w:w="100" w:type="dxa"/>
            <w:vAlign w:val="bottom"/>
            <w:vMerge w:val="restart"/>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Fixed Rate</w:t>
            </w:r>
          </w:p>
        </w:tc>
        <w:tc>
          <w:tcPr>
            <w:tcW w:w="100" w:type="dxa"/>
            <w:vAlign w:val="bottom"/>
            <w:vMerge w:val="restart"/>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20" w:type="dxa"/>
            <w:vAlign w:val="bottom"/>
            <w:vMerge w:val="restart"/>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Cap</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LIBOR</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July 2014</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2017</w:t>
            </w:r>
          </w:p>
        </w:tc>
        <w:tc>
          <w:tcPr>
            <w:tcW w:w="0" w:type="dxa"/>
            <w:vAlign w:val="bottom"/>
          </w:tcPr>
          <w:p>
            <w:pPr>
              <w:spacing w:after="0"/>
              <w:rPr>
                <w:sz w:val="1"/>
                <w:szCs w:val="1"/>
                <w:color w:val="auto"/>
              </w:rPr>
            </w:pPr>
          </w:p>
        </w:tc>
      </w:tr>
      <w:tr>
        <w:trPr>
          <w:trHeight w:val="243"/>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28,000</w:t>
            </w:r>
          </w:p>
        </w:tc>
        <w:tc>
          <w:tcPr>
            <w:tcW w:w="12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LIBOR + 2.00%</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3.47%</w:t>
            </w:r>
          </w:p>
        </w:tc>
        <w:tc>
          <w:tcPr>
            <w:tcW w:w="100" w:type="dxa"/>
            <w:vAlign w:val="bottom"/>
          </w:tcPr>
          <w:p>
            <w:pPr>
              <w:spacing w:after="0"/>
              <w:rPr>
                <w:sz w:val="21"/>
                <w:szCs w:val="21"/>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2012</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November 2019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Over the next 12 months, the Company expects that $0.4 million will be reclassified to interest expense from cash flow hedges and $0.2 million will be reclassified to income related to terminated cash flow hedges from "Accumulated other comprehensive income (loss)" into earnings.</w:t>
      </w:r>
    </w:p>
    <w:p>
      <w:pPr>
        <w:spacing w:after="0" w:line="10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risk-related contingent features</w:t>
      </w:r>
      <w:r>
        <w:rPr>
          <w:rFonts w:ascii="Arial" w:cs="Arial" w:eastAsia="Arial" w:hAnsi="Arial"/>
          <w:sz w:val="18"/>
          <w:szCs w:val="18"/>
          <w:color w:val="auto"/>
        </w:rPr>
        <w:t>—The Company has agreements with each of its derivative counterparties that contain a provision where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either defaults or is capable of being declared in default on any of its indebtedness, then the Company could also be declared in default on its derivative obligations.</w:t>
      </w:r>
    </w:p>
    <w:p>
      <w:pPr>
        <w:spacing w:after="0" w:line="14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its foreign currency derivatives, as of September 30, 2013 and December 31, 2012, the Company has posted collateral of $10.2 million and $9.6 million, respectively, which is included in "Restricted cash" on the Company's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Preferred stock</w:t>
      </w:r>
      <w:r>
        <w:rPr>
          <w:rFonts w:ascii="Arial" w:cs="Arial" w:eastAsia="Arial" w:hAnsi="Arial"/>
          <w:sz w:val="17"/>
          <w:szCs w:val="17"/>
          <w:color w:val="auto"/>
        </w:rPr>
        <w:t>—The Company had the following series of Cumulative Redeemable Preferred Stock outstanding as of September 30, 2013:</w:t>
      </w:r>
    </w:p>
    <w:p>
      <w:pPr>
        <w:spacing w:after="0" w:line="34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Cumulative Preferential Cash</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Dividends(1)(2)</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Shares Issued and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Liquidation</w:t>
            </w: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3"/>
              </w:rPr>
              <w:t>Equivalent to</w:t>
            </w:r>
          </w:p>
        </w:tc>
        <w:tc>
          <w:tcPr>
            <w:tcW w:w="0" w:type="dxa"/>
            <w:vAlign w:val="bottom"/>
          </w:tcPr>
          <w:p>
            <w:pPr>
              <w:spacing w:after="0"/>
              <w:rPr>
                <w:sz w:val="1"/>
                <w:szCs w:val="1"/>
                <w:color w:val="auto"/>
              </w:rPr>
            </w:pPr>
          </w:p>
        </w:tc>
      </w:tr>
      <w:tr>
        <w:trPr>
          <w:trHeight w:val="149"/>
        </w:trPr>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Series</w:t>
            </w:r>
          </w:p>
        </w:tc>
        <w:tc>
          <w:tcPr>
            <w:tcW w:w="120" w:type="dxa"/>
            <w:vAlign w:val="bottom"/>
            <w:vMerge w:val="restart"/>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Rate per Annum</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3"/>
              </w:rPr>
              <w:t>Fixed Annual</w:t>
            </w:r>
          </w:p>
        </w:tc>
        <w:tc>
          <w:tcPr>
            <w:tcW w:w="0" w:type="dxa"/>
            <w:vAlign w:val="bottom"/>
          </w:tcPr>
          <w:p>
            <w:pPr>
              <w:spacing w:after="0"/>
              <w:rPr>
                <w:sz w:val="1"/>
                <w:szCs w:val="1"/>
                <w:color w:val="auto"/>
              </w:rPr>
            </w:pPr>
          </w:p>
        </w:tc>
      </w:tr>
      <w:tr>
        <w:trPr>
          <w:trHeight w:val="192"/>
        </w:trPr>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Rate (per share)</w:t>
            </w:r>
          </w:p>
        </w:tc>
        <w:tc>
          <w:tcPr>
            <w:tcW w:w="0" w:type="dxa"/>
            <w:vAlign w:val="bottom"/>
          </w:tcPr>
          <w:p>
            <w:pPr>
              <w:spacing w:after="0"/>
              <w:rPr>
                <w:sz w:val="1"/>
                <w:szCs w:val="1"/>
                <w:color w:val="auto"/>
              </w:rPr>
            </w:pPr>
          </w:p>
        </w:tc>
      </w:tr>
      <w:tr>
        <w:trPr>
          <w:trHeight w:val="250"/>
        </w:trPr>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D</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E</w:t>
            </w:r>
          </w:p>
        </w:tc>
        <w:tc>
          <w:tcPr>
            <w:tcW w:w="1760" w:type="dxa"/>
            <w:vAlign w:val="bottom"/>
          </w:tcPr>
          <w:p>
            <w:pPr>
              <w:jc w:val="right"/>
              <w:ind w:right="15"/>
              <w:spacing w:after="0"/>
              <w:rPr>
                <w:sz w:val="20"/>
                <w:szCs w:val="20"/>
                <w:color w:val="auto"/>
              </w:rPr>
            </w:pPr>
            <w:r>
              <w:rPr>
                <w:rFonts w:ascii="Arial" w:cs="Arial" w:eastAsia="Arial" w:hAnsi="Arial"/>
                <w:sz w:val="18"/>
                <w:szCs w:val="18"/>
                <w:color w:val="auto"/>
              </w:rPr>
              <w:t>5,600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25.00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7.875%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w:t>
            </w:r>
          </w:p>
        </w:tc>
        <w:tc>
          <w:tcPr>
            <w:tcW w:w="1760" w:type="dxa"/>
            <w:vAlign w:val="bottom"/>
          </w:tcPr>
          <w:p>
            <w:pPr>
              <w:jc w:val="right"/>
              <w:ind w:right="15"/>
              <w:spacing w:after="0"/>
              <w:rPr>
                <w:sz w:val="20"/>
                <w:szCs w:val="20"/>
                <w:color w:val="auto"/>
              </w:rPr>
            </w:pPr>
            <w:r>
              <w:rPr>
                <w:rFonts w:ascii="Arial" w:cs="Arial" w:eastAsia="Arial" w:hAnsi="Arial"/>
                <w:sz w:val="18"/>
                <w:szCs w:val="18"/>
                <w:color w:val="auto"/>
              </w:rPr>
              <w:t>3,200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25.00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I</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1420" w:type="dxa"/>
            <w:vAlign w:val="bottom"/>
            <w:gridSpan w:val="2"/>
          </w:tcPr>
          <w:p>
            <w:pPr>
              <w:jc w:val="center"/>
              <w:ind w:right="120"/>
              <w:spacing w:after="0"/>
              <w:rPr>
                <w:sz w:val="20"/>
                <w:szCs w:val="20"/>
                <w:color w:val="auto"/>
              </w:rPr>
            </w:pPr>
            <w:r>
              <w:rPr>
                <w:rFonts w:ascii="Arial" w:cs="Arial" w:eastAsia="Arial" w:hAnsi="Arial"/>
                <w:sz w:val="17"/>
                <w:szCs w:val="17"/>
                <w:color w:val="auto"/>
                <w:w w:val="70"/>
              </w:rPr>
              <w:t>J</w:t>
            </w:r>
          </w:p>
        </w:tc>
        <w:tc>
          <w:tcPr>
            <w:tcW w:w="176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50.00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1114"/>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44"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Holders of shares of the Series D, E, F, G, I and J preferred stock are entitled to receive dividends, when and as declared by the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10 days prior to the dividend payment date.</w:t>
      </w:r>
    </w:p>
    <w:p>
      <w:pPr>
        <w:spacing w:after="0" w:line="2" w:lineRule="exact"/>
        <w:rPr>
          <w:rFonts w:ascii="Arial" w:cs="Arial" w:eastAsia="Arial" w:hAnsi="Arial"/>
          <w:sz w:val="14"/>
          <w:szCs w:val="14"/>
          <w:color w:val="auto"/>
        </w:rPr>
      </w:pPr>
    </w:p>
    <w:p>
      <w:pPr>
        <w:jc w:val="both"/>
        <w:ind w:left="660" w:hanging="652"/>
        <w:spacing w:after="0" w:line="276" w:lineRule="auto"/>
        <w:tabs>
          <w:tab w:leader="none" w:pos="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Company declared and paid dividends of $6.0 million, $8.3 million, $5.9 million, $4.6 million, and $7.0 million on its Series D, E, F, G, and I preferred stock, respectively, during each of the nine months ended September 30, 2013 and 2012. The Company also declared and paid dividends of $4.5 million on its Series J preferred stock during the nine months ended September 30, 2013. All of the dividends qualified as return of capital for tax reporting purposes. There are no dividend arrearages on any of the preferred shares currently outstanding.</w:t>
      </w:r>
    </w:p>
    <w:p>
      <w:pPr>
        <w:spacing w:after="0" w:line="1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March 2013, the Company completed a public offering of $200.0 million of its 4.5% Series J Cumulative Convertible Perpetual Preferred Stock, having a liquidation preference of $50.00 per share. Each share of the Series J Preferred Stock is convertible at the holder's option at any time, initially into 3.9087 shares of the Company's common stock (equal to an initial conversion price of approximately $12.79 per share), subject to specified adjustments. The Company may not redeem the Series J Preferred Stock prior to March 15, 2018. On or after March 15, 2018, the Company may, at its option, redeem the Series J Preferred Stock, in whole or in part, at any time and from time to time, for cash at a redemption price equal to 100% of the liquidation preference of $50.00 per share, plus accrued and unpaid dividends, if any, to the redemption date.</w:t>
      </w:r>
    </w:p>
    <w:p>
      <w:pPr>
        <w:spacing w:after="0" w:line="13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—In order to maintain its election to qualify as a REIT, the Company must currently distribute, at a minimum, an amount equal to 90% of its</w:t>
      </w:r>
      <w:r>
        <w:rPr>
          <w:rFonts w:ascii="Arial" w:cs="Arial" w:eastAsia="Arial" w:hAnsi="Arial"/>
          <w:sz w:val="16"/>
          <w:szCs w:val="16"/>
          <w:b w:val="1"/>
          <w:bCs w:val="1"/>
          <w:color w:val="auto"/>
        </w:rPr>
        <w:t xml:space="preserve"> </w:t>
      </w:r>
      <w:r>
        <w:rPr>
          <w:rFonts w:ascii="Arial" w:cs="Arial" w:eastAsia="Arial" w:hAnsi="Arial"/>
          <w:sz w:val="16"/>
          <w:szCs w:val="16"/>
          <w:color w:val="auto"/>
        </w:rPr>
        <w:t>taxable income, excluding net capital gains, and must distribute 100% of its taxable income (including net capital gains) to avoid paying corporate federal income taxes. The Company has recorded net operating losses and may record net operating losses in the future, which may reduce its taxable income in future periods and lower or eliminate entirely the Company's obligation to pay dividends for such periods in order to maintain its REIT qualification. As of December 31, 2012, the Company had $634.2 million of net operating loss carryforwards at the corporate REIT level that can generally be used to offset both ordinary and capital taxable income in future years and will expire through 2032 if unused. The amount net of operating loss carryforwards as of September 30, 2013 will be determined upon finalization of the Company's 2013 tax return.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Company's 2013 and 2012 Secured Credit Facilities permit the Company to distribute 100% of its REIT taxable income on an annual basis, for so long as the Company maintains its qualification as a REIT. The 2013 and 2012 Secured Credit Facilities restrict the Company from paying any common dividends if it ceases to qualify as a REIT. The Company did not declare or pay any Common Stock dividends for the nine months ended September 30, 2013 and 2012.</w:t>
      </w:r>
    </w:p>
    <w:p>
      <w:pPr>
        <w:spacing w:after="0" w:line="128"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color w:val="auto"/>
        </w:rPr>
        <w:t>Stock repurchase programs</w:t>
      </w:r>
      <w:r>
        <w:rPr>
          <w:rFonts w:ascii="Arial" w:cs="Arial" w:eastAsia="Arial" w:hAnsi="Arial"/>
          <w:sz w:val="17"/>
          <w:szCs w:val="17"/>
          <w:color w:val="auto"/>
        </w:rPr>
        <w:t>—In September 2013, the Company's Board of Directors approved an increase in the repurchase limit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stock repurchase program, which authorizes the Company's repurchase of its Common Stock in open market and privately negotiated purchases, including pursuant to one or more trading plans. The authorization raised the repurchase limit to $50.0 million from the $16.0 million that remained from the previously approved program. There were no stock repurchases during the nine months ended September 30, 2013.</w:t>
      </w:r>
    </w:p>
    <w:p>
      <w:pPr>
        <w:spacing w:after="0" w:line="124"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2013</w:t>
            </w:r>
          </w:p>
        </w:tc>
        <w:tc>
          <w:tcPr>
            <w:tcW w:w="200" w:type="dxa"/>
            <w:vAlign w:val="bottom"/>
          </w:tcPr>
          <w:p>
            <w:pPr>
              <w:spacing w:after="0"/>
              <w:rPr>
                <w:sz w:val="22"/>
                <w:szCs w:val="22"/>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2012</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available-for-sale securities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Unrealized gains on cash flow hedges</w:t>
            </w:r>
          </w:p>
        </w:tc>
        <w:tc>
          <w:tcPr>
            <w:tcW w:w="18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607</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cumulative translation adjustment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w:t>
      </w:r>
    </w:p>
    <w:p>
      <w:pPr>
        <w:spacing w:after="0" w:line="18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recorded stock-based compensation expense of $4.6 million and $3.5 million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2013 and 2012, respectively, and $14.5 million and $11.6 million for the nine months ended September 30, 2013 and 2012, respectively, in "General and administrative" on the Company's Consolidated Statements of Operations. As of September 30, 2013, there was $6.9 million of total unrecognized compensation cost related to all unvested restricted stock units that is expected to be recognized over a weighted average remaining vesting/service period of 0.58 years.</w:t>
      </w:r>
    </w:p>
    <w:p>
      <w:pPr>
        <w:spacing w:after="0" w:line="14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September 30, 2013, an aggregate of 4.0 million shares remain available for issuance pursuant to future awards under the Company's 2006 and 2009 Long-Term Incentive Plans.</w:t>
      </w:r>
    </w:p>
    <w:p>
      <w:pPr>
        <w:spacing w:after="0" w:line="13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b w:val="1"/>
          <w:bCs w:val="1"/>
          <w:i w:val="1"/>
          <w:iCs w:val="1"/>
          <w:color w:val="auto"/>
        </w:rPr>
        <w:t>2013 Activity</w:t>
      </w:r>
      <w:r>
        <w:rPr>
          <w:rFonts w:ascii="Arial" w:cs="Arial" w:eastAsia="Arial" w:hAnsi="Arial"/>
          <w:sz w:val="16"/>
          <w:szCs w:val="16"/>
          <w:color w:val="auto"/>
        </w:rPr>
        <w:t>—During the nine months ended September 30, 2013, 3,051,139 restricted stock units vested, resulting in the issuance of 1,565,912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Common Stock to employees, net of statutory minimum required tax withholdings. These vested restricted stock units were primarily comprised of 1,719,304 Amended Units which vested on January 1, 2013 (see below), 185,720 service-based restricted stock units granted to employees in February 2011 that cliff vested on February 11, 2013, 164,685 of annual incentive restricted stock units granted to employees and vested in February 2013 (see below), 313,334 service-based restricted stock units granted to employees in March 2011 that cliff vested on March 20, 2013, and 600,000 service-based restricted stock units granted to the Company's Chairman and Chief Executive Officer in October 2011 that vested on June 15, 2013.</w:t>
      </w:r>
    </w:p>
    <w:p>
      <w:pPr>
        <w:spacing w:after="0" w:line="12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the nine months ended September 30, 2013, the Company made stock-based compensation awards to certain employees in the form of annual incentive awards and long-term incentive awards:</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Effective February 1, 2013, the Company granted 164,685 shares of our Common Stock in connection with annual incentive awards. The shares are fully-vested and were issued to certain employees, net of statutory minimum required tax withholdings. The employees are restricted from selling these shares for up to two years from the date of grant.</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Effective February 1, 2013, the Company also granted service-based restricted stock units, or Units, representing the right to receive an equivalent number of shares of our Common Stock (after deducting shares for minimum required statutory withholdings) if and when the Units vest. The Units will cliff vest in one installment three years from the grant date, if the employee remains employed by the Company on the vesting date, subject to certain accelerated vesting rights. Dividends will accrue but will not be paid unless and until the Units vest and are settled. As of September 30, 2013, 197,164 units were outstanding.</w:t>
      </w:r>
    </w:p>
    <w:p>
      <w:pPr>
        <w:spacing w:after="0" w:line="1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Effective February 1, 2013, the Company also granted performance-based Units based on the Company's total shareholder return, or TSR, measured over the one-year and two-year performance periods ending on the vesting dates, respectively. Vesting will range from 0% to 200% of the target amount of the awards, depending on the Company's TSR performance relative to the NAREIT All REITs Index (one-half of the target amount of the award) and the Russell 2000 Index (one-half of the target amount of the award). The Company and any companies not included in the index at the beginning and end of the performance period are excluded from calculation of the performance of such index. To the extent Units vest based on the Company's TSR performance, holders will receive an equivalent number of shares of our Common Stock (after deducting shares for minimum required statutory withholdings), if the employee remains employed by the Company on the vesting date, subject to certain accelerated vesting rights. Dividends will accrue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0.26% for risk-free interest rate and 50.44% for expected stock price volatility. As of September 30, 2013, 97,802 units with a vesting date on December 31, 2013, and 195,605 units with a vesting date on December 31, 2014 were outstanding.</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2013, the Company also had the following restricted stock awards outstanding:</w:t>
      </w:r>
    </w:p>
    <w:p>
      <w:pPr>
        <w:spacing w:after="0" w:line="185" w:lineRule="exact"/>
        <w:rPr>
          <w:sz w:val="20"/>
          <w:szCs w:val="20"/>
          <w:color w:val="auto"/>
        </w:rPr>
      </w:pPr>
    </w:p>
    <w:p>
      <w:pPr>
        <w:jc w:val="both"/>
        <w:ind w:left="660" w:hanging="247"/>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600,000 service-based restricted stock units granted to the Company's Chairman and Chief Executive Officer that will vest on June 15, 2014. Upon vesting of these units, the holder will receive shares of the Company's Common Stock in the amount of the vested units, net of statutory minimum required tax withholdings. These awards carry dividend equivalent rights that entitle the holder to receive dividend payments prior to vesting, if and when dividends are paid on shares of the Company's Common Stock.</w:t>
      </w:r>
    </w:p>
    <w:p>
      <w:pPr>
        <w:spacing w:after="0" w:line="146"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1,684,803 restricted stock units originally granted to executives and other officers of the Company on December 19, 2008 (the "Original Units") and subsequently modified in July 2011 (the "Amended Units"). The number of Amended Units is equal to 75% of the Original Units granted to an employee </w:t>
      </w:r>
      <w:r>
        <w:rPr>
          <w:rFonts w:ascii="Arial" w:cs="Arial" w:eastAsia="Arial" w:hAnsi="Arial"/>
          <w:sz w:val="18"/>
          <w:szCs w:val="18"/>
          <w:i w:val="1"/>
          <w:iCs w:val="1"/>
          <w:color w:val="auto"/>
        </w:rPr>
        <w:t>less</w:t>
      </w:r>
      <w:r>
        <w:rPr>
          <w:rFonts w:ascii="Arial" w:cs="Arial" w:eastAsia="Arial" w:hAnsi="Arial"/>
          <w:sz w:val="18"/>
          <w:szCs w:val="18"/>
          <w:color w:val="auto"/>
        </w:rPr>
        <w:t>, in the case of each executive level employee,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60"/>
        <w:spacing w:after="0" w:line="325" w:lineRule="auto"/>
        <w:rPr>
          <w:sz w:val="20"/>
          <w:szCs w:val="20"/>
          <w:color w:val="auto"/>
        </w:rPr>
      </w:pPr>
      <w:r>
        <w:rPr>
          <w:rFonts w:ascii="Arial" w:cs="Arial" w:eastAsia="Arial" w:hAnsi="Arial"/>
          <w:sz w:val="17"/>
          <w:szCs w:val="17"/>
          <w:color w:val="auto"/>
        </w:rPr>
        <w:t>number of restricted stock units granted to the executive in March 2011. The remaining Amended Units will vest on January 1, 2014, so long as the employee remains employed by the Company on the vesting dates, subject to certain accelerated vesting rights in the event of termination of employment without cause.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w:t>
      </w:r>
    </w:p>
    <w:p>
      <w:pPr>
        <w:spacing w:after="0" w:line="108" w:lineRule="exact"/>
        <w:rPr>
          <w:sz w:val="20"/>
          <w:szCs w:val="20"/>
          <w:color w:val="auto"/>
        </w:rPr>
      </w:pPr>
    </w:p>
    <w:p>
      <w:pPr>
        <w:jc w:val="both"/>
        <w:ind w:left="660" w:right="20" w:hanging="247"/>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97,333 service-based restricted stock units granted to employees with an original vesting term of three years.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w:t>
      </w:r>
    </w:p>
    <w:p>
      <w:pPr>
        <w:spacing w:after="0" w:line="142"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b w:val="1"/>
          <w:bCs w:val="1"/>
          <w:color w:val="auto"/>
        </w:rPr>
        <w:t>Directors' awards</w:t>
      </w:r>
      <w:r>
        <w:rPr>
          <w:rFonts w:ascii="Arial" w:cs="Arial" w:eastAsia="Arial" w:hAnsi="Arial"/>
          <w:sz w:val="17"/>
          <w:szCs w:val="17"/>
          <w:color w:val="auto"/>
        </w:rPr>
        <w:t>—During the nine months ended September 30, 2013, the Company awarded to Directors 33,474 common share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("CSEs") and restricted shares at a fair value per share of $12.30 at the time of grant. These CSEs and restricted shares have a one year vesting period and pay dividends in an amount equal to the dividends paid on the equivalent number of shares of the Company's Common stock from the date of grant, as and when dividends are paid on Common Stock. In addition, during the nine months ended September 30, 2013, the Company issued 51,091 shares to a former director in settlement of previously vested CSE awards. As of September 30, 2013, there were 344,164 CSEs and restricted shares granted to members of the Company's Board of Directors that remained outstanding with an aggregate intrinsic value of $4.1 million.</w:t>
      </w:r>
    </w:p>
    <w:p>
      <w:pPr>
        <w:spacing w:after="0" w:line="133" w:lineRule="exact"/>
        <w:rPr>
          <w:sz w:val="20"/>
          <w:szCs w:val="20"/>
          <w:color w:val="auto"/>
        </w:rPr>
      </w:pPr>
    </w:p>
    <w:p>
      <w:pPr>
        <w:jc w:val="both"/>
        <w:ind w:right="20" w:firstLine="432"/>
        <w:spacing w:after="0" w:line="313" w:lineRule="auto"/>
        <w:rPr>
          <w:sz w:val="20"/>
          <w:szCs w:val="20"/>
          <w:color w:val="auto"/>
        </w:rPr>
      </w:pPr>
      <w:r>
        <w:rPr>
          <w:rFonts w:ascii="Arial" w:cs="Arial" w:eastAsia="Arial" w:hAnsi="Arial"/>
          <w:sz w:val="17"/>
          <w:szCs w:val="17"/>
          <w:b w:val="1"/>
          <w:bCs w:val="1"/>
          <w:color w:val="auto"/>
        </w:rPr>
        <w:t>401(k) plan</w:t>
      </w:r>
      <w:r>
        <w:rPr>
          <w:rFonts w:ascii="Arial" w:cs="Arial" w:eastAsia="Arial" w:hAnsi="Arial"/>
          <w:sz w:val="17"/>
          <w:szCs w:val="17"/>
          <w:color w:val="auto"/>
        </w:rPr>
        <w:t>—The Company made gross contributions of approximately $0.1 million and $0.1 million for the three months ended September 30, 2013</w:t>
      </w:r>
      <w:r>
        <w:rPr>
          <w:rFonts w:ascii="Arial" w:cs="Arial" w:eastAsia="Arial" w:hAnsi="Arial"/>
          <w:sz w:val="17"/>
          <w:szCs w:val="17"/>
          <w:b w:val="1"/>
          <w:bCs w:val="1"/>
          <w:color w:val="auto"/>
        </w:rPr>
        <w:t xml:space="preserve"> </w:t>
      </w:r>
      <w:r>
        <w:rPr>
          <w:rFonts w:ascii="Arial" w:cs="Arial" w:eastAsia="Arial" w:hAnsi="Arial"/>
          <w:sz w:val="17"/>
          <w:szCs w:val="17"/>
          <w:color w:val="auto"/>
        </w:rPr>
        <w:t>and 2012, respectively and $0.8 million and $0.8 million for the nine months ended September 30, 2013 and 2012,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EPS is calculated using the two-class method, which allocates earnings among common stock and participating securities to calculate EPS when an entity's capital structure includes either two or more classes of common stock or common stock and participating securities. HPU holders are current and former Company employees who purchased high performance common stock units under the Company's High Performance Unit (HPU) Program. These HPU units are treated as a separate class of common stock.</w:t>
      </w:r>
    </w:p>
    <w:p>
      <w:pPr>
        <w:spacing w:after="0" w:line="1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a reconciliation of income (loss) from continuing operations used in the basic and diluted earnings per share calculations ($ in thousands, except for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For the Three Months</w:t>
            </w:r>
          </w:p>
        </w:tc>
        <w:tc>
          <w:tcPr>
            <w:tcW w:w="260" w:type="dxa"/>
            <w:vAlign w:val="bottom"/>
          </w:tcPr>
          <w:p>
            <w:pPr>
              <w:spacing w:after="0"/>
              <w:rPr>
                <w:sz w:val="14"/>
                <w:szCs w:val="14"/>
                <w:color w:val="auto"/>
              </w:rPr>
            </w:pPr>
          </w:p>
        </w:tc>
        <w:tc>
          <w:tcPr>
            <w:tcW w:w="2140" w:type="dxa"/>
            <w:vAlign w:val="bottom"/>
            <w:gridSpan w:val="4"/>
          </w:tcPr>
          <w:p>
            <w:pPr>
              <w:ind w:left="30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Ended September 30,</w:t>
            </w:r>
          </w:p>
        </w:tc>
        <w:tc>
          <w:tcPr>
            <w:tcW w:w="260" w:type="dxa"/>
            <w:vAlign w:val="bottom"/>
          </w:tcPr>
          <w:p>
            <w:pPr>
              <w:spacing w:after="0"/>
              <w:rPr>
                <w:sz w:val="16"/>
                <w:szCs w:val="16"/>
                <w:color w:val="auto"/>
              </w:rPr>
            </w:pPr>
          </w:p>
        </w:tc>
        <w:tc>
          <w:tcPr>
            <w:tcW w:w="2140" w:type="dxa"/>
            <w:vAlign w:val="bottom"/>
            <w:gridSpan w:val="4"/>
          </w:tcPr>
          <w:p>
            <w:pPr>
              <w:ind w:left="3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(206,230)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35,583</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(31,740)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attributable to iStar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Financial Inc. and allocable to common shareholders, HPU holders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(40,967)</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(69,686)</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(124,846)</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(201,024)</w:t>
            </w: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Participating Security Holders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756"/>
              <w:spacing w:after="0"/>
              <w:rPr>
                <w:sz w:val="20"/>
                <w:szCs w:val="20"/>
                <w:color w:val="auto"/>
              </w:rPr>
            </w:pPr>
            <w:r>
              <w:rPr>
                <w:rFonts w:ascii="Arial" w:cs="Arial" w:eastAsia="Arial" w:hAnsi="Arial"/>
                <w:sz w:val="18"/>
                <w:szCs w:val="18"/>
                <w:color w:val="auto"/>
                <w:w w:val="79"/>
              </w:rPr>
              <w:t>28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4"/>
                <w:szCs w:val="14"/>
                <w:color w:val="auto"/>
              </w:rPr>
            </w:pPr>
          </w:p>
        </w:tc>
        <w:tc>
          <w:tcPr>
            <w:tcW w:w="2080" w:type="dxa"/>
            <w:vAlign w:val="bottom"/>
            <w:gridSpan w:val="4"/>
          </w:tcPr>
          <w:p>
            <w:pPr>
              <w:ind w:left="28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tcPr>
          <w:p>
            <w:pPr>
              <w:spacing w:after="0"/>
              <w:rPr>
                <w:sz w:val="16"/>
                <w:szCs w:val="16"/>
                <w:color w:val="auto"/>
              </w:rPr>
            </w:pPr>
          </w:p>
        </w:tc>
        <w:tc>
          <w:tcPr>
            <w:tcW w:w="2080" w:type="dxa"/>
            <w:vAlign w:val="bottom"/>
            <w:gridSpan w:val="4"/>
          </w:tcPr>
          <w:p>
            <w:pPr>
              <w:ind w:left="28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allocable to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i w:val="1"/>
                <w:iCs w:val="1"/>
                <w:color w:val="auto"/>
              </w:rPr>
              <w:t>Numerator for basic and diluted earnings per share:</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Income (loss) from continuing operations attributable to iStar Financial Inc. 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allocable to common 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(194,436)</w:t>
            </w:r>
          </w:p>
        </w:tc>
        <w:tc>
          <w:tcPr>
            <w:tcW w:w="0" w:type="dxa"/>
            <w:vAlign w:val="bottom"/>
          </w:tcPr>
          <w:p>
            <w:pPr>
              <w:spacing w:after="0"/>
              <w:rPr>
                <w:sz w:val="1"/>
                <w:szCs w:val="1"/>
                <w:color w:val="auto"/>
              </w:rPr>
            </w:pPr>
          </w:p>
        </w:tc>
      </w:tr>
      <w:tr>
        <w:trPr>
          <w:trHeight w:val="243"/>
        </w:trPr>
        <w:tc>
          <w:tcPr>
            <w:tcW w:w="610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(17,501)</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26,364</w:t>
            </w:r>
          </w:p>
        </w:tc>
        <w:tc>
          <w:tcPr>
            <w:tcW w:w="0" w:type="dxa"/>
            <w:vAlign w:val="bottom"/>
          </w:tcPr>
          <w:p>
            <w:pPr>
              <w:spacing w:after="0"/>
              <w:rPr>
                <w:sz w:val="1"/>
                <w:szCs w:val="1"/>
                <w:color w:val="auto"/>
              </w:rPr>
            </w:pPr>
          </w:p>
        </w:tc>
      </w:tr>
      <w:tr>
        <w:trPr>
          <w:trHeight w:val="209"/>
        </w:trPr>
        <w:tc>
          <w:tcPr>
            <w:tcW w:w="6100" w:type="dxa"/>
            <w:vAlign w:val="bottom"/>
          </w:tcPr>
          <w:p>
            <w:pPr>
              <w:ind w:left="180"/>
              <w:spacing w:after="0"/>
              <w:rPr>
                <w:sz w:val="20"/>
                <w:szCs w:val="20"/>
                <w:color w:val="auto"/>
              </w:rPr>
            </w:pPr>
            <w:r>
              <w:rPr>
                <w:rFonts w:ascii="Arial" w:cs="Arial" w:eastAsia="Arial" w:hAnsi="Arial"/>
                <w:sz w:val="18"/>
                <w:szCs w:val="18"/>
                <w:color w:val="auto"/>
                <w:w w:val="96"/>
              </w:rPr>
              <w:t>Net income (loss) attributable to iStar Financial Inc. and allocable to common</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(30,571)</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(71,784)</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(97,839)</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(185,573)</w:t>
            </w:r>
          </w:p>
        </w:tc>
        <w:tc>
          <w:tcPr>
            <w:tcW w:w="0" w:type="dxa"/>
            <w:vAlign w:val="bottom"/>
          </w:tcPr>
          <w:p>
            <w:pPr>
              <w:spacing w:after="0"/>
              <w:rPr>
                <w:sz w:val="1"/>
                <w:szCs w:val="1"/>
                <w:color w:val="auto"/>
              </w:rPr>
            </w:pPr>
          </w:p>
        </w:tc>
      </w:tr>
      <w:tr>
        <w:trPr>
          <w:trHeight w:val="277"/>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shareholders</w:t>
            </w:r>
          </w:p>
        </w:tc>
        <w:tc>
          <w:tcPr>
            <w:tcW w:w="2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w w:val="90"/>
              </w:rPr>
              <w:t>Weighted average common shares outstanding for basic and diluted earnings per</w:t>
            </w:r>
          </w:p>
        </w:tc>
        <w:tc>
          <w:tcPr>
            <w:tcW w:w="260" w:type="dxa"/>
            <w:vAlign w:val="bottom"/>
          </w:tcPr>
          <w:p>
            <w:pPr>
              <w:spacing w:after="0"/>
              <w:rPr>
                <w:sz w:val="19"/>
                <w:szCs w:val="19"/>
                <w:color w:val="auto"/>
              </w:rPr>
            </w:pPr>
          </w:p>
        </w:tc>
        <w:tc>
          <w:tcPr>
            <w:tcW w:w="840" w:type="dxa"/>
            <w:vAlign w:val="bottom"/>
            <w:vMerge w:val="restart"/>
          </w:tcPr>
          <w:p>
            <w:pPr>
              <w:jc w:val="right"/>
              <w:ind w:right="34"/>
              <w:spacing w:after="0"/>
              <w:rPr>
                <w:sz w:val="20"/>
                <w:szCs w:val="20"/>
                <w:color w:val="auto"/>
              </w:rPr>
            </w:pPr>
            <w:r>
              <w:rPr>
                <w:rFonts w:ascii="Arial" w:cs="Arial" w:eastAsia="Arial" w:hAnsi="Arial"/>
                <w:sz w:val="18"/>
                <w:szCs w:val="18"/>
                <w:color w:val="auto"/>
              </w:rPr>
              <w:t>85,392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restart"/>
          </w:tcPr>
          <w:p>
            <w:pPr>
              <w:jc w:val="right"/>
              <w:ind w:right="32"/>
              <w:spacing w:after="0"/>
              <w:rPr>
                <w:sz w:val="20"/>
                <w:szCs w:val="20"/>
                <w:color w:val="auto"/>
              </w:rPr>
            </w:pPr>
            <w:r>
              <w:rPr>
                <w:rFonts w:ascii="Arial" w:cs="Arial" w:eastAsia="Arial" w:hAnsi="Arial"/>
                <w:sz w:val="18"/>
                <w:szCs w:val="18"/>
                <w:color w:val="auto"/>
              </w:rPr>
              <w:t>83,629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8"/>
                <w:szCs w:val="18"/>
                <w:color w:val="auto"/>
              </w:rPr>
              <w:t>85,116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restart"/>
          </w:tcPr>
          <w:p>
            <w:pPr>
              <w:jc w:val="right"/>
              <w:ind w:right="32"/>
              <w:spacing w:after="0"/>
              <w:rPr>
                <w:sz w:val="20"/>
                <w:szCs w:val="20"/>
                <w:color w:val="auto"/>
              </w:rPr>
            </w:pPr>
            <w:r>
              <w:rPr>
                <w:rFonts w:ascii="Arial" w:cs="Arial" w:eastAsia="Arial" w:hAnsi="Arial"/>
                <w:sz w:val="18"/>
                <w:szCs w:val="18"/>
                <w:color w:val="auto"/>
              </w:rPr>
              <w:t>83,765</w:t>
            </w:r>
          </w:p>
        </w:tc>
        <w:tc>
          <w:tcPr>
            <w:tcW w:w="0" w:type="dxa"/>
            <w:vAlign w:val="bottom"/>
          </w:tcPr>
          <w:p>
            <w:pPr>
              <w:spacing w:after="0"/>
              <w:rPr>
                <w:sz w:val="1"/>
                <w:szCs w:val="1"/>
                <w:color w:val="auto"/>
              </w:rPr>
            </w:pPr>
          </w:p>
        </w:tc>
      </w:tr>
      <w:tr>
        <w:trPr>
          <w:trHeight w:val="277"/>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share</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earnings per common share:</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w w:val="94"/>
              </w:rPr>
              <w:t>Income (loss) from continuing operations attributable to iStar Financial Inc. and</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allocable to common 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3"/>
        </w:trPr>
        <w:tc>
          <w:tcPr>
            <w:tcW w:w="610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26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Net income (loss) attributable to iStar Financial Inc. and allocable to common</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6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24"/>
                <w:szCs w:val="24"/>
                <w:color w:val="auto"/>
              </w:rPr>
            </w:pPr>
          </w:p>
        </w:tc>
        <w:tc>
          <w:tcPr>
            <w:tcW w:w="2080" w:type="dxa"/>
            <w:vAlign w:val="bottom"/>
            <w:gridSpan w:val="4"/>
          </w:tcPr>
          <w:p>
            <w:pPr>
              <w:ind w:left="28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Ended September 30,</w:t>
            </w:r>
          </w:p>
        </w:tc>
        <w:tc>
          <w:tcPr>
            <w:tcW w:w="220" w:type="dxa"/>
            <w:vAlign w:val="bottom"/>
          </w:tcPr>
          <w:p>
            <w:pPr>
              <w:spacing w:after="0"/>
              <w:rPr>
                <w:sz w:val="16"/>
                <w:szCs w:val="16"/>
                <w:color w:val="auto"/>
              </w:rPr>
            </w:pPr>
          </w:p>
        </w:tc>
        <w:tc>
          <w:tcPr>
            <w:tcW w:w="2080" w:type="dxa"/>
            <w:vAlign w:val="bottom"/>
            <w:gridSpan w:val="4"/>
          </w:tcPr>
          <w:p>
            <w:pPr>
              <w:ind w:left="28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allocable to High Performance Units: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i w:val="1"/>
                <w:iCs w:val="1"/>
                <w:color w:val="auto"/>
              </w:rPr>
              <w:t>Numerator for basic and diluted earnings per HPU share:</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Income (loss) from continuing operations attributable to iStar Financial Inc. 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allocable to HPU 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43"/>
        </w:trPr>
        <w:tc>
          <w:tcPr>
            <w:tcW w:w="610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09"/>
        </w:trPr>
        <w:tc>
          <w:tcPr>
            <w:tcW w:w="6100" w:type="dxa"/>
            <w:vAlign w:val="bottom"/>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 HPU</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77"/>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holders</w:t>
            </w:r>
          </w:p>
        </w:tc>
        <w:tc>
          <w:tcPr>
            <w:tcW w:w="2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 for basic and diluted earnings per HPU share:</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w w:val="97"/>
              </w:rPr>
              <w:t>Weighted average High Performance Units outstanding for basic and diluted</w:t>
            </w:r>
          </w:p>
        </w:tc>
        <w:tc>
          <w:tcPr>
            <w:tcW w:w="260" w:type="dxa"/>
            <w:vAlign w:val="bottom"/>
          </w:tcPr>
          <w:p>
            <w:pPr>
              <w:spacing w:after="0"/>
              <w:rPr>
                <w:sz w:val="19"/>
                <w:szCs w:val="19"/>
                <w:color w:val="auto"/>
              </w:rPr>
            </w:pPr>
          </w:p>
        </w:tc>
        <w:tc>
          <w:tcPr>
            <w:tcW w:w="840" w:type="dxa"/>
            <w:vAlign w:val="bottom"/>
            <w:vMerge w:val="restart"/>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restart"/>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restart"/>
          </w:tcPr>
          <w:p>
            <w:pPr>
              <w:jc w:val="right"/>
              <w:ind w:right="3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7"/>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earnings per HPU share:</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w w:val="94"/>
              </w:rPr>
              <w:t>Income (loss) from continuing operations attributable to iStar Financial Inc. and</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allocable to HPU 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(87.87)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(152.47)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(268.67)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(439.20)</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43"/>
        </w:trPr>
        <w:tc>
          <w:tcPr>
            <w:tcW w:w="610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26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 HPU</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(162.40)</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(217.54)</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(419.20)</w:t>
            </w: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530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6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121" w:right="5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and nine months ended September 30, 2013 and 2012, the following shares were anti-dilutive (in thousands):</w:t>
      </w:r>
    </w:p>
    <w:p>
      <w:pPr>
        <w:spacing w:after="0" w:line="32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8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For the Three Months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3"/>
          </w:tcPr>
          <w:p>
            <w:pPr>
              <w:ind w:left="480"/>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616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Ended 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61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Joint venture shares</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3% Senior convertible unsecured notes</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16,992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16,992</w:t>
            </w:r>
          </w:p>
        </w:tc>
        <w:tc>
          <w:tcPr>
            <w:tcW w:w="1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J convertible perpetual preferred stock</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15,635</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15,635</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Values</w:t>
      </w:r>
    </w:p>
    <w:p>
      <w:pPr>
        <w:spacing w:after="0" w:line="1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0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1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Fair Value Using</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Quoted market</w:t>
            </w:r>
          </w:p>
        </w:tc>
        <w:tc>
          <w:tcPr>
            <w:tcW w:w="160" w:type="dxa"/>
            <w:vAlign w:val="bottom"/>
          </w:tcPr>
          <w:p>
            <w:pPr>
              <w:spacing w:after="0"/>
              <w:rPr>
                <w:sz w:val="13"/>
                <w:szCs w:val="13"/>
                <w:color w:val="auto"/>
              </w:rPr>
            </w:pPr>
          </w:p>
        </w:tc>
        <w:tc>
          <w:tcPr>
            <w:tcW w:w="14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 other</w:t>
            </w:r>
          </w:p>
        </w:tc>
        <w:tc>
          <w:tcPr>
            <w:tcW w:w="220" w:type="dxa"/>
            <w:vAlign w:val="bottom"/>
          </w:tcPr>
          <w:p>
            <w:pPr>
              <w:spacing w:after="0"/>
              <w:rPr>
                <w:sz w:val="13"/>
                <w:szCs w:val="13"/>
                <w:color w:val="auto"/>
              </w:rPr>
            </w:pPr>
          </w:p>
        </w:tc>
        <w:tc>
          <w:tcPr>
            <w:tcW w:w="124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prices in</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2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2013</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Recurring basis: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Derivative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8,164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8,164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Non-recurring basis: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Impaired loan(1)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Impaired real estate(2)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39,204</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2012</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basis: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Derivative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Non-recurring basis: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Impaired loans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57,201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57,201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Impaired real estate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7,649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23,948</w:t>
            </w:r>
          </w:p>
        </w:tc>
        <w:tc>
          <w:tcPr>
            <w:tcW w:w="0" w:type="dxa"/>
            <w:vAlign w:val="bottom"/>
          </w:tcPr>
          <w:p>
            <w:pPr>
              <w:spacing w:after="0"/>
              <w:rPr>
                <w:sz w:val="1"/>
                <w:szCs w:val="1"/>
                <w:color w:val="auto"/>
              </w:rPr>
            </w:pPr>
          </w:p>
        </w:tc>
      </w:tr>
      <w:tr>
        <w:trPr>
          <w:trHeight w:val="635"/>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273"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impaired its junior position in a loan based upon the anticipated proceeds expected to be realized by the Company pursuant to the proposed terms of a restructuring of the loan.</w:t>
      </w:r>
    </w:p>
    <w:p>
      <w:pPr>
        <w:spacing w:after="0" w:line="11" w:lineRule="exact"/>
        <w:rPr>
          <w:rFonts w:ascii="Arial" w:cs="Arial" w:eastAsia="Arial" w:hAnsi="Arial"/>
          <w:sz w:val="14"/>
          <w:szCs w:val="14"/>
          <w:color w:val="auto"/>
        </w:rPr>
      </w:pPr>
    </w:p>
    <w:p>
      <w:pPr>
        <w:ind w:left="660" w:hanging="652"/>
        <w:spacing w:after="0" w:line="273"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recorded the fair value of an impaired real estate asset using discounted cash flows based on discount rates with a range of 9.0% to 11.0% and average annual revenue growth with a range of 0.0% and 3.0%.</w:t>
      </w:r>
    </w:p>
    <w:p>
      <w:pPr>
        <w:spacing w:after="0" w:line="120"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color w:val="auto"/>
        </w:rPr>
        <w:t>Fair values of financial instruments—</w:t>
      </w:r>
      <w:r>
        <w:rPr>
          <w:rFonts w:ascii="Arial" w:cs="Arial" w:eastAsia="Arial" w:hAnsi="Arial"/>
          <w:sz w:val="16"/>
          <w:szCs w:val="16"/>
          <w:color w:val="auto"/>
        </w:rPr>
        <w:t>The Company's estimated fair values of its loans receivable and other lending investments and debt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were $1.4 billion and $4.5 billion, respectively, as of September 30, 2013 and $1.9 billion and $4.9 billion, respectively, as of December 31, 2012. The Company determined that the significant inputs used to value its loans receivable and debt obligations fall within Level 3 of the fair value hierarchy.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are included in the fair value hierarchy table above.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15—Segment Reporting</w:t>
      </w:r>
    </w:p>
    <w:p>
      <w:pPr>
        <w:spacing w:after="0" w:line="18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has determined that it has four reportable segments based on how management reviews and manages its business. These reportable segments include: Real Estate Finance, Net Lease, Operating Properties and Land. The Real Estate Finance segment includes all of the Company's activities related to senior and mezzanine real estate loans and real estate related securities. The Net Lease segment includes all of the Company's activities related to the ownership and leasing of corporate facilities. The Operating Properties segment includes all of the Company's activities and operations related to its commercial and residential properties. The Land segment includes the Company's activities related to its developable land portfolio.</w:t>
      </w:r>
    </w:p>
    <w:p>
      <w:pPr>
        <w:spacing w:after="0" w:line="11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 evaluates performance based on the following financial measures for each segment, and has conformed the prior periods' presentation for the change in composition of its business segments ($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Real Estate</w:t>
            </w:r>
          </w:p>
        </w:tc>
        <w:tc>
          <w:tcPr>
            <w:tcW w:w="26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Net</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Land</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4"/>
                <w:szCs w:val="14"/>
                <w:color w:val="auto"/>
              </w:rPr>
            </w:pPr>
          </w:p>
        </w:tc>
        <w:tc>
          <w:tcPr>
            <w:tcW w:w="1040" w:type="dxa"/>
            <w:vAlign w:val="bottom"/>
          </w:tcPr>
          <w:p>
            <w:pPr>
              <w:jc w:val="right"/>
              <w:ind w:right="24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26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Lease</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Properties</w:t>
            </w: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Other(1)</w:t>
            </w:r>
          </w:p>
        </w:tc>
        <w:tc>
          <w:tcPr>
            <w:tcW w:w="200" w:type="dxa"/>
            <w:vAlign w:val="bottom"/>
          </w:tcPr>
          <w:p>
            <w:pPr>
              <w:spacing w:after="0"/>
              <w:rPr>
                <w:sz w:val="16"/>
                <w:szCs w:val="16"/>
                <w:color w:val="auto"/>
              </w:rPr>
            </w:pPr>
          </w:p>
        </w:tc>
        <w:tc>
          <w:tcPr>
            <w:tcW w:w="1040" w:type="dxa"/>
            <w:vAlign w:val="bottom"/>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 Ended September 30, 2013</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36,142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24,164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60,306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24,235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1,731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8,072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1,125</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11,261</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25,966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36,142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95,802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Earnings (loss) from equity method investments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5,311</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4,345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sales of residential property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14,075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w w:val="97"/>
              </w:rPr>
              <w:t>Net operating income from discontinued operations(2)</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9,166</w:t>
            </w:r>
          </w:p>
        </w:tc>
        <w:tc>
          <w:tcPr>
            <w:tcW w:w="0" w:type="dxa"/>
            <w:vAlign w:val="bottom"/>
          </w:tcPr>
          <w:p>
            <w:pPr>
              <w:spacing w:after="0"/>
              <w:rPr>
                <w:sz w:val="1"/>
                <w:szCs w:val="1"/>
                <w:color w:val="auto"/>
              </w:rPr>
            </w:pPr>
          </w:p>
        </w:tc>
      </w:tr>
      <w:tr>
        <w:trPr>
          <w:trHeight w:val="217"/>
        </w:trPr>
        <w:tc>
          <w:tcPr>
            <w:tcW w:w="3780" w:type="dxa"/>
            <w:vAlign w:val="bottom"/>
          </w:tcPr>
          <w:p>
            <w:pPr>
              <w:ind w:left="180"/>
              <w:spacing w:after="0"/>
              <w:rPr>
                <w:sz w:val="20"/>
                <w:szCs w:val="20"/>
                <w:color w:val="auto"/>
              </w:rPr>
            </w:pPr>
            <w:r>
              <w:rPr>
                <w:rFonts w:ascii="Arial" w:cs="Arial" w:eastAsia="Arial" w:hAnsi="Arial"/>
                <w:sz w:val="16"/>
                <w:szCs w:val="16"/>
                <w:color w:val="auto"/>
              </w:rPr>
              <w:t>Revenue and other earnings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25,966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37,124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56,495</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6,436</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124,176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(37,604)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(1,242)</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Direct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(39,099)</w:t>
            </w:r>
          </w:p>
        </w:tc>
        <w:tc>
          <w:tcPr>
            <w:tcW w:w="0" w:type="dxa"/>
            <w:vAlign w:val="bottom"/>
          </w:tcPr>
          <w:p>
            <w:pPr>
              <w:spacing w:after="0"/>
              <w:rPr>
                <w:sz w:val="1"/>
                <w:szCs w:val="1"/>
                <w:color w:val="auto"/>
              </w:rPr>
            </w:pPr>
          </w:p>
        </w:tc>
      </w:tr>
      <w:tr>
        <w:trPr>
          <w:trHeight w:val="217"/>
        </w:trPr>
        <w:tc>
          <w:tcPr>
            <w:tcW w:w="3780" w:type="dxa"/>
            <w:vAlign w:val="bottom"/>
          </w:tcPr>
          <w:p>
            <w:pPr>
              <w:ind w:left="180"/>
              <w:spacing w:after="0"/>
              <w:rPr>
                <w:sz w:val="20"/>
                <w:szCs w:val="20"/>
                <w:color w:val="auto"/>
              </w:rPr>
            </w:pPr>
            <w:r>
              <w:rPr>
                <w:rFonts w:ascii="Arial" w:cs="Arial" w:eastAsia="Arial" w:hAnsi="Arial"/>
                <w:sz w:val="16"/>
                <w:szCs w:val="16"/>
                <w:color w:val="auto"/>
              </w:rPr>
              <w:t>Direct segment profit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25,713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31,901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31,317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(9,048)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5,194</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85,077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Allocated interest expense(2)</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(63,793)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Allocated general and administrative(3)</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(6,608)</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(19,722)</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Segment profit (loss)(4)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8,553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Real Estate</w:t>
            </w:r>
          </w:p>
        </w:tc>
        <w:tc>
          <w:tcPr>
            <w:tcW w:w="26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Net</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Land</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4"/>
                <w:szCs w:val="14"/>
                <w:color w:val="auto"/>
              </w:rPr>
            </w:pPr>
          </w:p>
        </w:tc>
        <w:tc>
          <w:tcPr>
            <w:tcW w:w="1040" w:type="dxa"/>
            <w:vAlign w:val="bottom"/>
          </w:tcPr>
          <w:p>
            <w:pPr>
              <w:jc w:val="right"/>
              <w:ind w:right="239"/>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26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Lease</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Properties</w:t>
            </w: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Other(1)</w:t>
            </w:r>
          </w:p>
        </w:tc>
        <w:tc>
          <w:tcPr>
            <w:tcW w:w="200" w:type="dxa"/>
            <w:vAlign w:val="bottom"/>
          </w:tcPr>
          <w:p>
            <w:pPr>
              <w:spacing w:after="0"/>
              <w:rPr>
                <w:sz w:val="16"/>
                <w:szCs w:val="16"/>
                <w:color w:val="auto"/>
              </w:rPr>
            </w:pPr>
          </w:p>
        </w:tc>
        <w:tc>
          <w:tcPr>
            <w:tcW w:w="1040" w:type="dxa"/>
            <w:vAlign w:val="bottom"/>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significant non-cash items: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Provision for loan losses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(9,834)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(9,834)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assets(2)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6,785</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Depreciation and amortization(2)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9,556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8,884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Borders>
              <w:right w:val="single" w:sz="8" w:color="auto"/>
            </w:tcBorders>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19,019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expenditures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25,105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For the Nine Months Ended September 30, 2013</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175,638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78,584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78,584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35,778</w:t>
            </w:r>
          </w:p>
        </w:tc>
        <w:tc>
          <w:tcPr>
            <w:tcW w:w="0" w:type="dxa"/>
            <w:vAlign w:val="bottom"/>
          </w:tcPr>
          <w:p>
            <w:pPr>
              <w:spacing w:after="0"/>
              <w:rPr>
                <w:sz w:val="1"/>
                <w:szCs w:val="1"/>
                <w:color w:val="auto"/>
              </w:rPr>
            </w:pPr>
          </w:p>
        </w:tc>
      </w:tr>
      <w:tr>
        <w:trPr>
          <w:trHeight w:val="217"/>
        </w:trPr>
        <w:tc>
          <w:tcPr>
            <w:tcW w:w="378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82,813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108,781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94,480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3,093</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290,000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equity method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32,591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34,346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Income from sales of residential property</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68,615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72,092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Net operating income from discontinued operations(2)</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Gain from discontinued operations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19,093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22,488</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 and other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115,338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188,522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35,684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421,399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 expense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(16,508)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(75,695)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(112,437)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(7,266)</w:t>
            </w:r>
          </w:p>
        </w:tc>
        <w:tc>
          <w:tcPr>
            <w:tcW w:w="0" w:type="dxa"/>
            <w:vAlign w:val="bottom"/>
          </w:tcPr>
          <w:p>
            <w:pPr>
              <w:spacing w:after="0"/>
              <w:rPr>
                <w:sz w:val="1"/>
                <w:szCs w:val="1"/>
                <w:color w:val="auto"/>
              </w:rPr>
            </w:pPr>
          </w:p>
        </w:tc>
      </w:tr>
      <w:tr>
        <w:trPr>
          <w:trHeight w:val="217"/>
        </w:trPr>
        <w:tc>
          <w:tcPr>
            <w:tcW w:w="3780" w:type="dxa"/>
            <w:vAlign w:val="bottom"/>
          </w:tcPr>
          <w:p>
            <w:pPr>
              <w:ind w:left="180"/>
              <w:spacing w:after="0"/>
              <w:rPr>
                <w:sz w:val="20"/>
                <w:szCs w:val="20"/>
                <w:color w:val="auto"/>
              </w:rPr>
            </w:pPr>
            <w:r>
              <w:rPr>
                <w:rFonts w:ascii="Arial" w:cs="Arial" w:eastAsia="Arial" w:hAnsi="Arial"/>
                <w:sz w:val="16"/>
                <w:szCs w:val="16"/>
                <w:color w:val="auto"/>
              </w:rPr>
              <w:t>Direct expenses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(16,508)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(75,695)</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(20,234)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(5,680)</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(119,703)</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Direct segment profit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81,227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98,830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112,827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(21,192)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301,696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Allocated interest expense(2)</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(55,500)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(59,296)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(37,259)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(23,226)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(29,235)</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(204,516)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Allocated general and administrative(3)</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(19,248)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(52,524)</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Segment profit (loss)(4)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16,066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29,181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68,428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(50,540)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(18,479)</w:t>
            </w:r>
          </w:p>
        </w:tc>
        <w:tc>
          <w:tcPr>
            <w:tcW w:w="120" w:type="dxa"/>
            <w:vAlign w:val="bottom"/>
            <w:tcBorders>
              <w:bottom w:val="single" w:sz="8" w:color="CCEEFF"/>
              <w:right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44,656</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significant non-cash items: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Provision for loan losses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5,392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5,392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assets(2)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7,181</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Depreciation and amortization(2)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28,787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23,321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948</w:t>
            </w:r>
          </w:p>
        </w:tc>
        <w:tc>
          <w:tcPr>
            <w:tcW w:w="120" w:type="dxa"/>
            <w:vAlign w:val="bottom"/>
            <w:tcBorders>
              <w:right w:val="single" w:sz="8" w:color="auto"/>
            </w:tcBorders>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53,873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expenditures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72,765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For the Three Months Ended September 30, 2012</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53,029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31,171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31,171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9,334</w:t>
            </w:r>
          </w:p>
        </w:tc>
        <w:tc>
          <w:tcPr>
            <w:tcW w:w="0" w:type="dxa"/>
            <w:vAlign w:val="bottom"/>
          </w:tcPr>
          <w:p>
            <w:pPr>
              <w:spacing w:after="0"/>
              <w:rPr>
                <w:sz w:val="1"/>
                <w:szCs w:val="1"/>
                <w:color w:val="auto"/>
              </w:rPr>
            </w:pPr>
          </w:p>
        </w:tc>
      </w:tr>
      <w:tr>
        <w:trPr>
          <w:trHeight w:val="217"/>
        </w:trPr>
        <w:tc>
          <w:tcPr>
            <w:tcW w:w="378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32,471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37,378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22,767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918</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93,534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from equity method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20,499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22,719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Income from sales of residential property</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15,584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15,584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Net operating income from discontinued operations(2)</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Gain from discontinued operations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 and other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32,471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21,417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132,347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Real estate expense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(24,439)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(37,797)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0" w:type="dxa"/>
            <w:vAlign w:val="bottom"/>
          </w:tcPr>
          <w:p>
            <w:pPr>
              <w:spacing w:after="0"/>
              <w:rPr>
                <w:sz w:val="1"/>
                <w:szCs w:val="1"/>
                <w:color w:val="auto"/>
              </w:rPr>
            </w:pPr>
          </w:p>
        </w:tc>
      </w:tr>
      <w:tr>
        <w:trPr>
          <w:trHeight w:val="217"/>
        </w:trPr>
        <w:tc>
          <w:tcPr>
            <w:tcW w:w="3780" w:type="dxa"/>
            <w:vAlign w:val="bottom"/>
          </w:tcPr>
          <w:p>
            <w:pPr>
              <w:ind w:left="180"/>
              <w:spacing w:after="0"/>
              <w:rPr>
                <w:sz w:val="20"/>
                <w:szCs w:val="20"/>
                <w:color w:val="auto"/>
              </w:rPr>
            </w:pPr>
            <w:r>
              <w:rPr>
                <w:rFonts w:ascii="Arial" w:cs="Arial" w:eastAsia="Arial" w:hAnsi="Arial"/>
                <w:sz w:val="16"/>
                <w:szCs w:val="16"/>
                <w:color w:val="auto"/>
              </w:rPr>
              <w:t>Direct expenses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(6,676)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(24,439)</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(6,682)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(40,191)</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Direct 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30,993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31,977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20,501</w:t>
            </w: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92,156</w:t>
            </w:r>
          </w:p>
        </w:tc>
        <w:tc>
          <w:tcPr>
            <w:tcW w:w="0" w:type="dxa"/>
            <w:vAlign w:val="bottom"/>
          </w:tcPr>
          <w:p>
            <w:pPr>
              <w:spacing w:after="0"/>
              <w:rPr>
                <w:sz w:val="1"/>
                <w:szCs w:val="1"/>
                <w:color w:val="auto"/>
              </w:rPr>
            </w:pPr>
          </w:p>
        </w:tc>
      </w:tr>
      <w:tr>
        <w:trPr>
          <w:trHeight w:val="33"/>
        </w:trPr>
        <w:tc>
          <w:tcPr>
            <w:tcW w:w="3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Real Estate</w:t>
            </w:r>
          </w:p>
        </w:tc>
        <w:tc>
          <w:tcPr>
            <w:tcW w:w="2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Net</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Land</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4"/>
                <w:szCs w:val="14"/>
                <w:color w:val="auto"/>
              </w:rPr>
            </w:pPr>
          </w:p>
        </w:tc>
        <w:tc>
          <w:tcPr>
            <w:tcW w:w="1040" w:type="dxa"/>
            <w:vAlign w:val="bottom"/>
          </w:tcPr>
          <w:p>
            <w:pPr>
              <w:jc w:val="right"/>
              <w:ind w:right="239"/>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24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Lease</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Properties</w:t>
            </w: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Other(1)</w:t>
            </w:r>
          </w:p>
        </w:tc>
        <w:tc>
          <w:tcPr>
            <w:tcW w:w="200" w:type="dxa"/>
            <w:vAlign w:val="bottom"/>
          </w:tcPr>
          <w:p>
            <w:pPr>
              <w:spacing w:after="0"/>
              <w:rPr>
                <w:sz w:val="16"/>
                <w:szCs w:val="16"/>
                <w:color w:val="auto"/>
              </w:rPr>
            </w:pPr>
          </w:p>
        </w:tc>
        <w:tc>
          <w:tcPr>
            <w:tcW w:w="1040" w:type="dxa"/>
            <w:vAlign w:val="bottom"/>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Allocated interest expense(2)</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(18,396)</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(91,777)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Allocated general and administrative(3)</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(5,543)</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(15,525)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Segment profit (loss)(4)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(15,146)</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6"/>
                <w:szCs w:val="16"/>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16,834</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Impairment of assets(2)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4,808</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1,529</w:t>
            </w:r>
          </w:p>
        </w:tc>
        <w:tc>
          <w:tcPr>
            <w:tcW w:w="120" w:type="dxa"/>
            <w:vAlign w:val="bottom"/>
            <w:tcBorders>
              <w:right w:val="single" w:sz="8" w:color="auto"/>
            </w:tcBorders>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6,542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16,787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Capitalized expenditures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6,142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13,022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Nine Months Ended September 30, 2012</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111,343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48,327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159,670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104,822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104,822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8,162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24,997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3,537</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36,696</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112,984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111,343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301,188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Earnings (loss) from equity method investments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20,764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58,215</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75,925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sales of residential property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35,583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w w:val="97"/>
              </w:rPr>
              <w:t>Net operating income from discontinued operations(2)</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5,890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6,227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27,257</w:t>
            </w:r>
          </w:p>
        </w:tc>
        <w:tc>
          <w:tcPr>
            <w:tcW w:w="0" w:type="dxa"/>
            <w:vAlign w:val="bottom"/>
          </w:tcPr>
          <w:p>
            <w:pPr>
              <w:spacing w:after="0"/>
              <w:rPr>
                <w:sz w:val="1"/>
                <w:szCs w:val="1"/>
                <w:color w:val="auto"/>
              </w:rPr>
            </w:pPr>
          </w:p>
        </w:tc>
      </w:tr>
      <w:tr>
        <w:trPr>
          <w:trHeight w:val="217"/>
        </w:trPr>
        <w:tc>
          <w:tcPr>
            <w:tcW w:w="3780" w:type="dxa"/>
            <w:vAlign w:val="bottom"/>
          </w:tcPr>
          <w:p>
            <w:pPr>
              <w:ind w:left="180"/>
              <w:spacing w:after="0"/>
              <w:rPr>
                <w:sz w:val="20"/>
                <w:szCs w:val="20"/>
                <w:color w:val="auto"/>
              </w:rPr>
            </w:pPr>
            <w:r>
              <w:rPr>
                <w:rFonts w:ascii="Arial" w:cs="Arial" w:eastAsia="Arial" w:hAnsi="Arial"/>
                <w:sz w:val="16"/>
                <w:szCs w:val="16"/>
                <w:color w:val="auto"/>
              </w:rPr>
              <w:t>Revenue and other earnings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112,984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146,452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130,008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61,752</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446,180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(111,048)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(2,848)</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(6,754)</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Direct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(117,802)</w:t>
            </w:r>
          </w:p>
        </w:tc>
        <w:tc>
          <w:tcPr>
            <w:tcW w:w="0" w:type="dxa"/>
            <w:vAlign w:val="bottom"/>
          </w:tcPr>
          <w:p>
            <w:pPr>
              <w:spacing w:after="0"/>
              <w:rPr>
                <w:sz w:val="1"/>
                <w:szCs w:val="1"/>
                <w:color w:val="auto"/>
              </w:rPr>
            </w:pPr>
          </w:p>
        </w:tc>
      </w:tr>
      <w:tr>
        <w:trPr>
          <w:trHeight w:val="217"/>
        </w:trPr>
        <w:tc>
          <w:tcPr>
            <w:tcW w:w="3780" w:type="dxa"/>
            <w:vAlign w:val="bottom"/>
          </w:tcPr>
          <w:p>
            <w:pPr>
              <w:ind w:left="180"/>
              <w:spacing w:after="0"/>
              <w:rPr>
                <w:sz w:val="20"/>
                <w:szCs w:val="20"/>
                <w:color w:val="auto"/>
              </w:rPr>
            </w:pPr>
            <w:r>
              <w:rPr>
                <w:rFonts w:ascii="Arial" w:cs="Arial" w:eastAsia="Arial" w:hAnsi="Arial"/>
                <w:sz w:val="16"/>
                <w:szCs w:val="16"/>
                <w:color w:val="auto"/>
              </w:rPr>
              <w:t>Direct segment profit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109,078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127,778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53,894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(21,276)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58,904</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328,378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Allocated interest expense(2)</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(49,671)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(272,659)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Allocated general and administrative(3)</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(18,936)</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(50,049)</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Segment profit (loss)(4)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53,886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5,670</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6"/>
                <w:szCs w:val="16"/>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60,865</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Impairment of assets(2)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6,670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22,209</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977</w:t>
            </w:r>
          </w:p>
        </w:tc>
        <w:tc>
          <w:tcPr>
            <w:tcW w:w="120" w:type="dxa"/>
            <w:vAlign w:val="bottom"/>
            <w:tcBorders>
              <w:right w:val="single" w:sz="8" w:color="auto"/>
            </w:tcBorders>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30,061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51,205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Capitalized expenditures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2,826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31,073</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11,837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45,736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September 30, 2013</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Real estate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Real estate, at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1,631,017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777,848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3,224,167</w:t>
            </w:r>
          </w:p>
        </w:tc>
        <w:tc>
          <w:tcPr>
            <w:tcW w:w="0" w:type="dxa"/>
            <w:vAlign w:val="bottom"/>
          </w:tcPr>
          <w:p>
            <w:pPr>
              <w:spacing w:after="0"/>
              <w:rPr>
                <w:sz w:val="1"/>
                <w:szCs w:val="1"/>
                <w:color w:val="auto"/>
              </w:rPr>
            </w:pPr>
          </w:p>
        </w:tc>
      </w:tr>
      <w:tr>
        <w:trPr>
          <w:trHeight w:val="237"/>
        </w:trPr>
        <w:tc>
          <w:tcPr>
            <w:tcW w:w="3780" w:type="dxa"/>
            <w:vAlign w:val="bottom"/>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(335,301)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(100,325)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(438,732)</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Real estate,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1,295,716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677,523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812,196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2,785,435</w:t>
            </w:r>
          </w:p>
        </w:tc>
        <w:tc>
          <w:tcPr>
            <w:tcW w:w="0" w:type="dxa"/>
            <w:vAlign w:val="bottom"/>
          </w:tcPr>
          <w:p>
            <w:pPr>
              <w:spacing w:after="0"/>
              <w:rPr>
                <w:sz w:val="1"/>
                <w:szCs w:val="1"/>
                <w:color w:val="auto"/>
              </w:rPr>
            </w:pPr>
          </w:p>
        </w:tc>
      </w:tr>
      <w:tr>
        <w:trPr>
          <w:trHeight w:val="237"/>
        </w:trPr>
        <w:tc>
          <w:tcPr>
            <w:tcW w:w="3780" w:type="dxa"/>
            <w:vAlign w:val="bottom"/>
          </w:tcPr>
          <w:p>
            <w:pPr>
              <w:ind w:left="380"/>
              <w:spacing w:after="0"/>
              <w:rPr>
                <w:sz w:val="20"/>
                <w:szCs w:val="20"/>
                <w:color w:val="auto"/>
              </w:rPr>
            </w:pPr>
            <w:r>
              <w:rPr>
                <w:rFonts w:ascii="Arial" w:cs="Arial" w:eastAsia="Arial" w:hAnsi="Arial"/>
                <w:sz w:val="16"/>
                <w:szCs w:val="16"/>
                <w:color w:val="auto"/>
              </w:rPr>
              <w:t>Real estate available and held for sale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262,332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147,748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410,080</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1,295,716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939,855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959,944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3,195,515</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w w:val="96"/>
              </w:rPr>
              <w:t>Loans receivable and other lending investments, net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1,362,752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1,362,752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141,582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187,510</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1,362,752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1,312,142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956,548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972,753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141,582</w:t>
            </w:r>
          </w:p>
        </w:tc>
        <w:tc>
          <w:tcPr>
            <w:tcW w:w="120" w:type="dxa"/>
            <w:vAlign w:val="bottom"/>
            <w:tcBorders>
              <w:bottom w:val="single" w:sz="8" w:color="CCEEFF"/>
              <w:right w:val="single" w:sz="8" w:color="auto"/>
            </w:tcBorders>
          </w:tcPr>
          <w:p>
            <w:pPr>
              <w:spacing w:after="0"/>
              <w:rPr>
                <w:sz w:val="24"/>
                <w:szCs w:val="24"/>
                <w:color w:val="auto"/>
              </w:rPr>
            </w:pPr>
          </w:p>
        </w:tc>
        <w:tc>
          <w:tcPr>
            <w:tcW w:w="200" w:type="dxa"/>
            <w:vAlign w:val="bottom"/>
            <w:tcBorders>
              <w:top w:val="single" w:sz="8" w:color="auto"/>
              <w:bottom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tcPr>
          <w:p>
            <w:pPr>
              <w:jc w:val="right"/>
              <w:ind w:right="19"/>
              <w:spacing w:after="0"/>
              <w:rPr>
                <w:sz w:val="20"/>
                <w:szCs w:val="20"/>
                <w:color w:val="auto"/>
              </w:rPr>
            </w:pPr>
            <w:r>
              <w:rPr>
                <w:rFonts w:ascii="Arial" w:cs="Arial" w:eastAsia="Arial" w:hAnsi="Arial"/>
                <w:sz w:val="16"/>
                <w:szCs w:val="16"/>
                <w:color w:val="auto"/>
              </w:rPr>
              <w:t>4,745,777</w:t>
            </w: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1,027,563</w:t>
            </w:r>
          </w:p>
        </w:tc>
        <w:tc>
          <w:tcPr>
            <w:tcW w:w="0" w:type="dxa"/>
            <w:vAlign w:val="bottom"/>
          </w:tcPr>
          <w:p>
            <w:pPr>
              <w:spacing w:after="0"/>
              <w:rPr>
                <w:sz w:val="1"/>
                <w:szCs w:val="1"/>
                <w:color w:val="auto"/>
              </w:rPr>
            </w:pPr>
          </w:p>
        </w:tc>
      </w:tr>
      <w:tr>
        <w:trPr>
          <w:trHeight w:val="244"/>
        </w:trPr>
        <w:tc>
          <w:tcPr>
            <w:tcW w:w="378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5,773,340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Real Estate</w:t>
            </w:r>
          </w:p>
        </w:tc>
        <w:tc>
          <w:tcPr>
            <w:tcW w:w="2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Net</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Land</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4"/>
                <w:szCs w:val="14"/>
                <w:color w:val="auto"/>
              </w:rPr>
            </w:pPr>
          </w:p>
        </w:tc>
        <w:tc>
          <w:tcPr>
            <w:tcW w:w="1040" w:type="dxa"/>
            <w:vAlign w:val="bottom"/>
          </w:tcPr>
          <w:p>
            <w:pPr>
              <w:jc w:val="right"/>
              <w:ind w:right="24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24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Lease</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Properties</w:t>
            </w: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Other(1)</w:t>
            </w:r>
          </w:p>
        </w:tc>
        <w:tc>
          <w:tcPr>
            <w:tcW w:w="200" w:type="dxa"/>
            <w:vAlign w:val="bottom"/>
          </w:tcPr>
          <w:p>
            <w:pPr>
              <w:spacing w:after="0"/>
              <w:rPr>
                <w:sz w:val="16"/>
                <w:szCs w:val="16"/>
                <w:color w:val="auto"/>
              </w:rPr>
            </w:pPr>
          </w:p>
        </w:tc>
        <w:tc>
          <w:tcPr>
            <w:tcW w:w="1040" w:type="dxa"/>
            <w:vAlign w:val="bottom"/>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2012</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Real estate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Real estate, at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1,639,320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801,214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786,114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3,226,648</w:t>
            </w:r>
          </w:p>
        </w:tc>
        <w:tc>
          <w:tcPr>
            <w:tcW w:w="0" w:type="dxa"/>
            <w:vAlign w:val="bottom"/>
          </w:tcPr>
          <w:p>
            <w:pPr>
              <w:spacing w:after="0"/>
              <w:rPr>
                <w:sz w:val="1"/>
                <w:szCs w:val="1"/>
                <w:color w:val="auto"/>
              </w:rPr>
            </w:pPr>
          </w:p>
        </w:tc>
      </w:tr>
      <w:tr>
        <w:trPr>
          <w:trHeight w:val="237"/>
        </w:trPr>
        <w:tc>
          <w:tcPr>
            <w:tcW w:w="3780" w:type="dxa"/>
            <w:vAlign w:val="bottom"/>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(315,699)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(109,634)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(427,625)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Real estate,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1,323,621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691,580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783,822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2,799,023</w:t>
            </w:r>
          </w:p>
        </w:tc>
        <w:tc>
          <w:tcPr>
            <w:tcW w:w="0" w:type="dxa"/>
            <w:vAlign w:val="bottom"/>
          </w:tcPr>
          <w:p>
            <w:pPr>
              <w:spacing w:after="0"/>
              <w:rPr>
                <w:sz w:val="1"/>
                <w:szCs w:val="1"/>
                <w:color w:val="auto"/>
              </w:rPr>
            </w:pPr>
          </w:p>
        </w:tc>
      </w:tr>
      <w:tr>
        <w:trPr>
          <w:trHeight w:val="237"/>
        </w:trPr>
        <w:tc>
          <w:tcPr>
            <w:tcW w:w="3780" w:type="dxa"/>
            <w:vAlign w:val="bottom"/>
          </w:tcPr>
          <w:p>
            <w:pPr>
              <w:ind w:left="380"/>
              <w:spacing w:after="0"/>
              <w:rPr>
                <w:sz w:val="20"/>
                <w:szCs w:val="20"/>
                <w:color w:val="auto"/>
              </w:rPr>
            </w:pPr>
            <w:r>
              <w:rPr>
                <w:rFonts w:ascii="Arial" w:cs="Arial" w:eastAsia="Arial" w:hAnsi="Arial"/>
                <w:sz w:val="16"/>
                <w:szCs w:val="16"/>
                <w:color w:val="auto"/>
              </w:rPr>
              <w:t>Real estate available and held for sale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454,587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181,278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635,865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1,323,621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1,146,167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965,100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3,434,888</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w w:val="96"/>
              </w:rPr>
              <w:t>Loans receivable and other lending investments, net</w:t>
            </w:r>
          </w:p>
        </w:tc>
        <w:tc>
          <w:tcPr>
            <w:tcW w:w="1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1,829,985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1,829,985</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16,380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25,745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351,225</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398,843</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1,829,985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1,340,001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1,171,912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970,593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351,225</w:t>
            </w:r>
          </w:p>
        </w:tc>
        <w:tc>
          <w:tcPr>
            <w:tcW w:w="120" w:type="dxa"/>
            <w:vAlign w:val="bottom"/>
            <w:tcBorders>
              <w:bottom w:val="single" w:sz="8" w:color="CCEEFF"/>
              <w:right w:val="single" w:sz="8" w:color="auto"/>
            </w:tcBorders>
          </w:tcPr>
          <w:p>
            <w:pPr>
              <w:spacing w:after="0"/>
              <w:rPr>
                <w:sz w:val="24"/>
                <w:szCs w:val="24"/>
                <w:color w:val="auto"/>
              </w:rPr>
            </w:pPr>
          </w:p>
        </w:tc>
        <w:tc>
          <w:tcPr>
            <w:tcW w:w="200" w:type="dxa"/>
            <w:vAlign w:val="bottom"/>
            <w:tcBorders>
              <w:top w:val="single" w:sz="8" w:color="auto"/>
              <w:bottom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5,663,716</w:t>
            </w: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487,073</w:t>
            </w:r>
          </w:p>
        </w:tc>
        <w:tc>
          <w:tcPr>
            <w:tcW w:w="0" w:type="dxa"/>
            <w:vAlign w:val="bottom"/>
          </w:tcPr>
          <w:p>
            <w:pPr>
              <w:spacing w:after="0"/>
              <w:rPr>
                <w:sz w:val="1"/>
                <w:szCs w:val="1"/>
                <w:color w:val="auto"/>
              </w:rPr>
            </w:pPr>
          </w:p>
        </w:tc>
      </w:tr>
      <w:tr>
        <w:trPr>
          <w:trHeight w:val="244"/>
        </w:trPr>
        <w:tc>
          <w:tcPr>
            <w:tcW w:w="378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6,150,789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45"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related to the other reportable segments above, including the Company's equity investment in LNR of $205.8 million as of December 31, 2012 and the Company's share of equity in earnings from LNR of $0.0 million and $15.2 million for the three months ended September 30, 2013 and 2012, respectively, and $16.5 million and $36.0 million for the nine months ended September 30, 2013 and 2012, respectively. See Note 6 for further details on the Company's accounting policy and summarized financial information for its investment in LNR.</w:t>
      </w:r>
    </w:p>
    <w:p>
      <w:pPr>
        <w:ind w:left="660" w:hanging="652"/>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related amounts reclassified to discontinued operations on the Company's Consolidated Statements of Operations.</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General and administrative excludes stock-based compensation expense of $4.6 million and $3.5 million for the three months ended September 30, 2013 and 2012, respectively, and $14.5 million and $11.6 million for the nine months ended September 30, 2013 and 2012, respectively.</w:t>
      </w:r>
    </w:p>
    <w:p>
      <w:pPr>
        <w:ind w:left="660" w:hanging="652"/>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following is a reconciliation of segment profit (loss) to net income (loss) ($ in thousands):</w:t>
      </w:r>
    </w:p>
    <w:p>
      <w:pPr>
        <w:spacing w:after="0" w:line="2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For the Three Months</w:t>
            </w:r>
          </w:p>
        </w:tc>
        <w:tc>
          <w:tcPr>
            <w:tcW w:w="240" w:type="dxa"/>
            <w:vAlign w:val="bottom"/>
          </w:tcPr>
          <w:p>
            <w:pPr>
              <w:spacing w:after="0"/>
              <w:rPr>
                <w:sz w:val="14"/>
                <w:szCs w:val="14"/>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Ended September 30,</w:t>
            </w:r>
          </w:p>
        </w:tc>
        <w:tc>
          <w:tcPr>
            <w:tcW w:w="240" w:type="dxa"/>
            <w:vAlign w:val="bottom"/>
          </w:tcPr>
          <w:p>
            <w:pPr>
              <w:spacing w:after="0"/>
              <w:rPr>
                <w:sz w:val="16"/>
                <w:szCs w:val="16"/>
                <w:color w:val="auto"/>
              </w:rPr>
            </w:pPr>
          </w:p>
        </w:tc>
        <w:tc>
          <w:tcPr>
            <w:tcW w:w="1980" w:type="dxa"/>
            <w:vAlign w:val="bottom"/>
            <w:gridSpan w:val="4"/>
          </w:tcPr>
          <w:p>
            <w:pPr>
              <w:ind w:left="220"/>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5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2012</w:t>
            </w:r>
          </w:p>
        </w:tc>
      </w:tr>
      <w:tr>
        <w:trPr>
          <w:trHeight w:val="25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profit (loss)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5,670</w:t>
            </w:r>
          </w:p>
        </w:tc>
      </w:tr>
      <w:tr>
        <w:trPr>
          <w:trHeight w:val="264"/>
        </w:trPr>
        <w:tc>
          <w:tcPr>
            <w:tcW w:w="5120" w:type="dxa"/>
            <w:vAlign w:val="bottom"/>
          </w:tcPr>
          <w:p>
            <w:pPr>
              <w:ind w:left="20"/>
              <w:spacing w:after="0"/>
              <w:rPr>
                <w:sz w:val="20"/>
                <w:szCs w:val="20"/>
                <w:color w:val="auto"/>
              </w:rPr>
            </w:pPr>
            <w:r>
              <w:rPr>
                <w:rFonts w:ascii="Arial" w:cs="Arial" w:eastAsia="Arial" w:hAnsi="Arial"/>
                <w:sz w:val="14"/>
                <w:szCs w:val="14"/>
                <w:color w:val="auto"/>
              </w:rPr>
              <w:t>Less: Provision for loan losses</w:t>
            </w: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9,834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(5,392)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(60,865)</w:t>
            </w:r>
          </w:p>
        </w:tc>
      </w:tr>
      <w:tr>
        <w:trPr>
          <w:trHeight w:val="27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Impairment of assets(2)</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(30,061)</w:t>
            </w:r>
          </w:p>
        </w:tc>
      </w:tr>
      <w:tr>
        <w:trPr>
          <w:trHeight w:val="264"/>
        </w:trPr>
        <w:tc>
          <w:tcPr>
            <w:tcW w:w="5120" w:type="dxa"/>
            <w:vAlign w:val="bottom"/>
          </w:tcPr>
          <w:p>
            <w:pPr>
              <w:ind w:left="20"/>
              <w:spacing w:after="0"/>
              <w:rPr>
                <w:sz w:val="20"/>
                <w:szCs w:val="20"/>
                <w:color w:val="auto"/>
              </w:rPr>
            </w:pPr>
            <w:r>
              <w:rPr>
                <w:rFonts w:ascii="Arial" w:cs="Arial" w:eastAsia="Arial" w:hAnsi="Arial"/>
                <w:sz w:val="14"/>
                <w:szCs w:val="14"/>
                <w:color w:val="auto"/>
              </w:rPr>
              <w:t>Less: Stock-based compensation expense</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(14,484)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(11,625)</w:t>
            </w:r>
          </w:p>
        </w:tc>
      </w:tr>
      <w:tr>
        <w:trPr>
          <w:trHeight w:val="27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Depreciation and amortization(2)</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(51,205)</w:t>
            </w:r>
          </w:p>
        </w:tc>
      </w:tr>
      <w:tr>
        <w:trPr>
          <w:trHeight w:val="264"/>
        </w:trPr>
        <w:tc>
          <w:tcPr>
            <w:tcW w:w="5120" w:type="dxa"/>
            <w:vAlign w:val="bottom"/>
          </w:tcPr>
          <w:p>
            <w:pPr>
              <w:ind w:left="20"/>
              <w:spacing w:after="0"/>
              <w:rPr>
                <w:sz w:val="20"/>
                <w:szCs w:val="20"/>
                <w:color w:val="auto"/>
              </w:rPr>
            </w:pPr>
            <w:r>
              <w:rPr>
                <w:rFonts w:ascii="Arial" w:cs="Arial" w:eastAsia="Arial" w:hAnsi="Arial"/>
                <w:sz w:val="14"/>
                <w:szCs w:val="14"/>
                <w:color w:val="auto"/>
              </w:rPr>
              <w:t>Less: Income tax (expense) benefit(2)</w:t>
            </w:r>
          </w:p>
        </w:tc>
        <w:tc>
          <w:tcPr>
            <w:tcW w:w="2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3,879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(6,540)</w:t>
            </w:r>
          </w:p>
        </w:tc>
      </w:tr>
      <w:tr>
        <w:trPr>
          <w:trHeight w:val="270"/>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Gain (loss) on early extinguishment of debt, net</w:t>
            </w: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(28,282)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(6,858)</w:t>
            </w:r>
          </w:p>
        </w:tc>
      </w:tr>
      <w:tr>
        <w:trPr>
          <w:trHeight w:val="243"/>
        </w:trPr>
        <w:tc>
          <w:tcPr>
            <w:tcW w:w="51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(64,306)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(65,244)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(161,484)</w:t>
            </w: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Financial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2012 Annual Report (as defined below), all of which could affect our future results of operations, financial condition and liquidity. For purposes of Management's Discussion and Analysis of Financial Condition and Results of Operations, the terms "we," "our" and "us" refer to iStar Financial Inc. and its consolidated subsidiaries, unless the context indicates otherwise.</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discussion below should be read in conjunction with our consolidated financial statements and related notes in this quarterly report on Form 10-Q and our annual report on Form 10-K for the year ended December 31, 2012 (the "2012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iStar Financial Inc. is a fully-integrated finance and investment company focused on the commercial real estate industry. We provide custom-tailored investment capital to high-end private and corporate owners of real estate and invest directly across a range of real estate sectors. We are taxed as a real estate investment trust, or "REIT," and have invested more than $35 billion over the past two decades. Our primary business segments are real estate finance, net lease, operating properties and land.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8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have made significant progress in strengthening our balance sheet and positioning the Company for the future. We executed several capital markets transactions across a broad spectrum of debt products that have satisfied all of our 2013 debt maturities and meaningfully extended our debt maturity profile. These transactions have included five unsecured note issuances at declining interest rates, a refinancing of our largest secured credit facility at a reduced interest rate and the issuance of convertible preferred stock. These transactions have allowed us to reduce our cost of capital while maintaining lower leverage. During the quarter ended September 30, 2013, we increased investment originations and continued to see an active pipeline of potential investments.</w:t>
      </w:r>
    </w:p>
    <w:p>
      <w:pPr>
        <w:spacing w:after="0" w:line="11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Within our real estate and loan portfolios, we continued to work towards resolving non-performing loans and enhancing the value of our commercial operating properties and land assets through the investment of capital and intensive asset management. We intend to continue these efforts, with the objective of having these assets contribute positively to earnings in the future. Non-performing loans, net of specific reserves, declined 53% from $503.1 million at December 31, 2012 to $235.3 million at September 30, 2013.</w:t>
      </w:r>
    </w:p>
    <w:p>
      <w:pPr>
        <w:spacing w:after="0" w:line="14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the quarter ended September 30, 2013, our performing loans, net lease assets and sales of our residential operating properties contributed positively to earnings. However, the performance of nonperforming loans, transitional commercial operating properties and the sizable carrying costs associated with our land assets continued to negatively impact our earnings. In addition, we realized less earnings from equity method investments as a result of the sale of our investment in LNR in the second quarter of 2013. For the quarter ended September 30, 2013, we recorded a net loss allocable to common shareholders of $(30.6) million, compared to a loss of $(71.8) million during the same period in the prior year. Adjusted income (loss) allocable to common shareholders for the third quarter of 2013 was $(7.3) million, compared to $(26.0) million for the third quarter of 2012.</w:t>
      </w:r>
    </w:p>
    <w:p>
      <w:pPr>
        <w:spacing w:after="0" w:line="13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With respect to liquidity, we received $346.0 million of proceeds from our portfolio during the quarter ended September 30, 2013. We originated and funded investments totaling $116.4 million during the quarter ended September 30, 2013. As of September 30, 2013, we had no debt outstanding with 2013 scheduled maturities. We ended the quarter with $735.5 million of cash, which we intend to use primarily to fund additional investment activity.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2013 compared to the Three Months Ended September 30, 2012</w:t>
      </w:r>
    </w:p>
    <w:p>
      <w:pPr>
        <w:spacing w:after="0" w:line="33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For the Three Months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2"/>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Ended September 30,</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64"/>
        </w:trPr>
        <w:tc>
          <w:tcPr>
            <w:tcW w:w="536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31,171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7"/>
        </w:trPr>
        <w:tc>
          <w:tcPr>
            <w:tcW w:w="536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95,802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93,534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91,777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Real estate expenses</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37,604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37,797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24,285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19,037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5,248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(26,668)</w:t>
            </w:r>
          </w:p>
        </w:tc>
        <w:tc>
          <w:tcPr>
            <w:tcW w:w="15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&gt;100%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4,527</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&gt;100%</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536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142,573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186,124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(43,551)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early extinguishment of debt,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22,719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(18,374)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5,670</w:t>
            </w:r>
          </w:p>
        </w:tc>
        <w:tc>
          <w:tcPr>
            <w:tcW w:w="15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&gt;100%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4,748</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&gt;100%</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9,166</w:t>
            </w:r>
          </w:p>
        </w:tc>
        <w:tc>
          <w:tcPr>
            <w:tcW w:w="15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&gt;100%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Income from sales of residential property</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15,584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45,716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included income from net lease assets and commercial operating properties, increased to $60.3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2013 from $53.0 million for the same period in 2012.</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Operating lease income from commercial operating properties increased to $24.2 million during the three months ended September 30, 2013 from $15.6 million for the same period in 2012. We acquired title to additional commercial operating properties at the end of 2012, which contributed $5.8 million in operating lease income for the three months ended September 30, 2013. The impact of new leases and other leasing related activities within the portfolio also contributed $3.3 million to the increase period over period. As of September 30, 2013, commercial operating properties, excluding hotels and multifamily properties, were 62.3% leased compared to 45.5% leased as of September 30, 2012.</w:t>
      </w:r>
    </w:p>
    <w:p>
      <w:pPr>
        <w:spacing w:after="0" w:line="14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Operating lease income from net lease assets decreased to $36.1 million during the three months ended September 30, 2013 from $37.4 million for the same period in 2012 primarily due to lease expirations since 2012. As of September 30, 2013, net lease assets were 94.6% leased compared to 94.8% leased as of September 30, 2012. For the three months ended September 30, 2013, the net lease portfolio generated an unleveraged weighted average effective yield of 7.36% compared to 7.44% during the same period in 2012 based on gross carrying value.</w:t>
      </w:r>
    </w:p>
    <w:p>
      <w:pPr>
        <w:spacing w:after="0" w:line="13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Interest income for the three months ended September 30, 2013 declined to $24.2 million as compared to $31.2 million for the three months ended September 30, 2012 primarily due to a decrease in the average balance of performing loans to $1.16 billion from $1.59 billion for the same period in 2012. The decrease in performing loans was primarily due to loan repayments received during the period. Offsetting the decline were new investment originations that increased our weighted average effective yield. For the three months ended September 30, 2013, performing loans generated a weighted average effective yield of 8.0% as compared to 7.5% in 2012.</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income increased to $11.3 million for the three months ended September 30, 2013 as compared to $9.3 million for the three months ended September 30, 2012. The increase was due primarily to loan prepayment penalties received of $1.0 million and a $1.3 million increase in ancillary loan income earned during the quarter ended September 30, 2013.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—Interest expense decreased 30% to $63.8 million for the three months ended September 30, 2013 as compared to $91.8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2012 due to a lower average outstanding debt balance and a lower weighted average cost of debt. The average outstanding balance of our debt declined to $4.35 billion for the three months ended September 30, 2013 from $5.50 billion for the three months ended September 30, 2012. Our weighted average effective cost of debt decreased to 5.74% for the three months ended September 30, 2013 from 6.52% during the quarter ended September 30, 2012. The decline is a result of the refinancing of our largest senior secured credit facility at a lower interest rate during the first quarter of 2013 as well as the repayment of higher interest rate senior unsecured notes with the proceeds from the issuance of lower interest rate senior unsecured notes during the second quarter of 2013.</w:t>
      </w:r>
    </w:p>
    <w:p>
      <w:pPr>
        <w:spacing w:after="0" w:line="14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Real estate expenses remained steady at $37.6 million for the three months ended September 30, 2013 as compared to $37.8 million for the same period in 2012. Expenses associated with unsold residential units declined to $5.4 million for the three months ended September 30, 2013 from $6.2 million for the same period in 2012 due to continued unit sales, which reduced our homeowners association fees and other related expenses. Operating expenses for net lease assets decreased to $5.2 million for the three months ended September 30, 2013 from $6.7 million for the same period in 2012 due primarily to improvements in collectability of receivables. The decreases were offset by an increase in expenses for commercial operating properties, which were $19.8 million for the three months ended September 30, 2013 as compared to $18.2 million for the same period in 2012, primarily driven by additional properties to which we took title. Additionally, carrying costs and other expenses on our land assets increased to $7.2 million for the three months ended September 30, 2013 from $6.7 million for the same period in 2012, primarily related to increased pre-development activities.</w:t>
      </w:r>
    </w:p>
    <w:p>
      <w:pPr>
        <w:spacing w:after="0" w:line="12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increased to $19.0 million for the three months ended September 30, 2013 as compared to $16.6 million for the same period in 2012 primarily due to the acquisition of additional operating properties.</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expenses increased to $24.3 million for the three months ended September 30, 2013 as compared to $19.0 million for the same period in 2012 due to an increase in compensation related costs pertaining to annual performance based bonuses.</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net recovery of loan loss reserves was $9.8 million during the three months ended September 30, 2013 as compared to a provision for loan losses of $16.8 million during the same period in 2012. Included in the provision for the three months ended September 30, 2013 were recoveries of previously recorded loan loss reserves of $44.1 million offset by specific reserves totaling $38.8 million which were established on non-performing loans during the period.</w:t>
      </w:r>
    </w:p>
    <w:p>
      <w:pPr>
        <w:spacing w:after="0" w:line="1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September 30, 2013, we recorded $6.8 million of impairments on real estate assets, including $0.5 million recorded in discontinued operations. For the three months ended September 30, 2012, we recorded impairments of $5.0 million on real estate assets and $1.5 million on cost method investments, including $4.8 million recorded in discontinued operations for real estate assets.</w:t>
      </w:r>
    </w:p>
    <w:p>
      <w:pPr>
        <w:spacing w:after="0" w:line="1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expense decreased to $1.5 million for the three months ended September 30, 2013 as compared to $2.4 million for the same period in 2012 due primarily to declining legal costs associated with loan resolutions.</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Gain (loss) on early extinguishment of debt, net</w:t>
      </w:r>
      <w:r>
        <w:rPr>
          <w:rFonts w:ascii="Arial" w:cs="Arial" w:eastAsia="Arial" w:hAnsi="Arial"/>
          <w:sz w:val="18"/>
          <w:szCs w:val="18"/>
          <w:color w:val="auto"/>
        </w:rPr>
        <w:t>—During the three months ended September 30, 2013, we made repayments on our February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Secured Credit Facility and our March 2012 Secured Credit Facilities, which resulted in $3.5 million of net losses on the early extinguishment of debt due to accelerated amortization of discounts and fees.</w:t>
      </w:r>
    </w:p>
    <w:p>
      <w:pPr>
        <w:spacing w:after="0" w:line="1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same period in 2012, we made repayments on the A-1 Tranches of the 2011 and 2012 Secured Credit Facilities and repurchases of our senior unsecured convertible notes, which resulted in $3.7 million of net losses on early extinguishments of debt due to accelerated amortization of discounts and fees.</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Earnings from equity method investments</w:t>
      </w:r>
      <w:r>
        <w:rPr>
          <w:rFonts w:ascii="Arial" w:cs="Arial" w:eastAsia="Arial" w:hAnsi="Arial"/>
          <w:sz w:val="18"/>
          <w:szCs w:val="18"/>
          <w:color w:val="auto"/>
        </w:rPr>
        <w:t>—Earnings from equity method investments decreased to $4.3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2013 as compared to $22.7 million for the same period in 2012 primarily due to lower income from LNR, which was sold in April 2013, and lower income from sales of residential property units recorded by one of our real estate equity investments for a building that is approaching complete sell-out.</w:t>
      </w:r>
    </w:p>
    <w:p>
      <w:pPr>
        <w:spacing w:after="0" w:line="1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Income tax benefit /expense</w:t>
      </w:r>
      <w:r>
        <w:rPr>
          <w:rFonts w:ascii="Arial" w:cs="Arial" w:eastAsia="Arial" w:hAnsi="Arial"/>
          <w:sz w:val="18"/>
          <w:szCs w:val="18"/>
          <w:color w:val="auto"/>
        </w:rPr>
        <w:t>—There was a decrease in income tax expense for the three months ended September 30, 2013 due primarily to the sale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interest in LNR, which was sold in April 2013.</w:t>
      </w:r>
    </w:p>
    <w:p>
      <w:pPr>
        <w:spacing w:after="0" w:line="13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b w:val="1"/>
          <w:bCs w:val="1"/>
          <w:i w:val="1"/>
          <w:iCs w:val="1"/>
          <w:color w:val="auto"/>
        </w:rPr>
        <w:t>Discontinued operations</w:t>
      </w:r>
      <w:r>
        <w:rPr>
          <w:rFonts w:ascii="Arial" w:cs="Arial" w:eastAsia="Arial" w:hAnsi="Arial"/>
          <w:sz w:val="17"/>
          <w:szCs w:val="17"/>
          <w:color w:val="auto"/>
        </w:rPr>
        <w:t>—During the three months ended September 30, 2013, we sold two commercial operating properties with a carrying value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$27.4 million which resulted in a gain of $9.1 million and one net lease asset with a carrying value of $2.3 million which resulted in an impairment loss of $0.5 million. There were no sales during the three months ended September 30, 2012 impacting discontinued operations.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Income (loss) from discontinued operations includes operating results from net lease assets and commercial operating properties held for sale or sold as of September 30, 2013. For the three months ended September 30, 2012, income (loss) from discontinued operations includes impairment of assets of $4.8 million.</w:t>
      </w:r>
    </w:p>
    <w:p>
      <w:pPr>
        <w:spacing w:after="0" w:line="14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b w:val="1"/>
          <w:bCs w:val="1"/>
          <w:i w:val="1"/>
          <w:iCs w:val="1"/>
          <w:color w:val="auto"/>
        </w:rPr>
        <w:t>Income from sales of residential property</w:t>
      </w:r>
      <w:r>
        <w:rPr>
          <w:rFonts w:ascii="Arial" w:cs="Arial" w:eastAsia="Arial" w:hAnsi="Arial"/>
          <w:sz w:val="17"/>
          <w:szCs w:val="17"/>
          <w:color w:val="auto"/>
        </w:rPr>
        <w:t>—During the three months ended September 30, 2013 and 2012, we sold 107 and 131 condominium units,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respectively, that resulted in income from sales of residential properties totaling $14.1 million and $15.6 million,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2013 compared to the Nine Months Ended September 30, 2012</w:t>
      </w:r>
    </w:p>
    <w:p>
      <w:pPr>
        <w:spacing w:after="0" w:line="33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5"/>
          </w:tcPr>
          <w:p>
            <w:pPr>
              <w:ind w:left="420"/>
              <w:spacing w:after="0"/>
              <w:rPr>
                <w:sz w:val="20"/>
                <w:szCs w:val="20"/>
                <w:color w:val="auto"/>
              </w:rPr>
            </w:pPr>
            <w:r>
              <w:rPr>
                <w:rFonts w:ascii="Arial" w:cs="Arial" w:eastAsia="Arial" w:hAnsi="Arial"/>
                <w:sz w:val="14"/>
                <w:szCs w:val="14"/>
                <w:b w:val="1"/>
                <w:bCs w:val="1"/>
                <w:color w:val="auto"/>
              </w:rPr>
              <w:t>For the Nine Months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2"/>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420"/>
              <w:spacing w:after="0"/>
              <w:rPr>
                <w:sz w:val="20"/>
                <w:szCs w:val="20"/>
                <w:color w:val="auto"/>
              </w:rPr>
            </w:pPr>
            <w:r>
              <w:rPr>
                <w:rFonts w:ascii="Arial" w:cs="Arial" w:eastAsia="Arial" w:hAnsi="Arial"/>
                <w:sz w:val="14"/>
                <w:szCs w:val="14"/>
                <w:b w:val="1"/>
                <w:bCs w:val="1"/>
                <w:color w:val="auto"/>
              </w:rPr>
              <w:t>Ended September 30,</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64"/>
        </w:trPr>
        <w:tc>
          <w:tcPr>
            <w:tcW w:w="536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175,638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159,670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15,968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78,584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104,822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(26,238)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36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290,000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301,188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271,594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(67,078)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Real estate expenses</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112,437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111,048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1,389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67,008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61,674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5,334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(55,473)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8,632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7"/>
        </w:trPr>
        <w:tc>
          <w:tcPr>
            <w:tcW w:w="536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456,519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569,945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(113,426)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early extinguishment of debt,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(21,424)</w:t>
            </w:r>
          </w:p>
        </w:tc>
        <w:tc>
          <w:tcPr>
            <w:tcW w:w="15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&gt;100%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75,925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(41,579)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19,350</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&gt;100%</w:t>
            </w:r>
          </w:p>
        </w:tc>
      </w:tr>
      <w:tr>
        <w:trPr>
          <w:trHeight w:val="27"/>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Income from sales of residential property</w:t>
            </w: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72,092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35,583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36,509</w:t>
            </w:r>
          </w:p>
        </w:tc>
        <w:tc>
          <w:tcPr>
            <w:tcW w:w="1560" w:type="dxa"/>
            <w:vAlign w:val="bottom"/>
            <w:gridSpan w:val="2"/>
          </w:tcPr>
          <w:p>
            <w:pPr>
              <w:jc w:val="right"/>
              <w:ind w:right="188"/>
              <w:spacing w:after="0"/>
              <w:rPr>
                <w:sz w:val="20"/>
                <w:szCs w:val="20"/>
                <w:color w:val="auto"/>
              </w:rPr>
            </w:pPr>
            <w:r>
              <w:rPr>
                <w:rFonts w:ascii="Arial" w:cs="Arial" w:eastAsia="Arial" w:hAnsi="Arial"/>
                <w:sz w:val="18"/>
                <w:szCs w:val="18"/>
                <w:color w:val="auto"/>
              </w:rPr>
              <w:t>&gt;100%</w:t>
            </w: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96,240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included income from net lease assets and commercial operating properties, increased to $175.6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nine months ended September 30, 2013 from $159.7 million for the same period in 2012.</w:t>
      </w:r>
    </w:p>
    <w:p>
      <w:pPr>
        <w:spacing w:after="0" w:line="13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Operating lease income from commercial operating properties increased to $66.8 million during the nine months ended September 30, 2013 from $48.3 million for the same period in 2012. We acquired title to additional commercial operating properties at the end of 2012, which contributed $13.8 million in operating lease income for the nine months ended September 30, 2013. The impact of new leases and other leasing related activities within the portfolio also contributed $5.9 million to the increase period over period. As of September 30, 2013, commercial operating properties, excluding hotels and multifamily properties, were 62.3% leased compared to 45.5% leased as of September 30, 2012.</w:t>
      </w:r>
    </w:p>
    <w:p>
      <w:pPr>
        <w:spacing w:after="0" w:line="132"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Operating lease income from net lease assets decreased to $108.8 million during the nine months ended September 30, 2013 from $111.4 million for the same period in 2012 primarily due to lease expirations. As of September 30, 2013, net lease assets were 94.6% leased compared to 94.8% leased as of September 30, 2012. For the nine months ended September 30, 2013, the net lease portfolio generated an unleveraged weighted average effective yield of 7.32% compared to 7.40% during the same period in 2012 based on gross carrying value.</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income for the nine months ended September 30, 2013 declined to $78.6 million as compared to $104.8 million for the nine months ended September 30, 2012 primarily due to a decrease in the average balance of performing loans to $1.20 billion from $1.74 billion for the same period in 2012. The decrease in performing loans was primarily due to loan repayments received during the period. For the nine months ended September 30, 2013 and 2012, performing loans generated a weighted average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yield of 7.50%. The decrease in interest income was partially offset by $8.0 million of interest income recorded during the nine months ended September 30, 2013, which related to a non-performing loan that was resolved and includes interest not previously recognized due to the loan being on non-accrual status.</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Other income decreased to $35.8 million for the nine months ended September 30, 2013 as compared to $36.7 million for the nine months ended September 30, 2012. Other income includes revenue related to hotel properties included in the operating property portfolio, which decreased to $22.7 million for the nine months ended September 30, 2013 from $25.0 million for the same period in 2012 due primarily to a reduction in ancillary revenue related to a hotel property of $2.2 million. In addition, there was a decline of $3.2 million in loan related income. The declines are offset by $4.0 million received for the settlement of a property-related lawsuit.</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—Interest expense decreased 25.0% to $204.5 million for the nine months ended September 30, 2013 as compared to $271.6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same period in 2012 due to a lower average outstanding debt balance and a lower weighted average cost of debt. The average outstanding balance of our debt declined to $4.52 billion for the nine months ended September 30, 2013 from $5.67 billion for the nine months ended September 30, 2012. Our weighted average effective cost of debt was lower at 5.97% for the nine months ended September 30, 2013 as compared to 6.30% during the nine months ended September 30, 2012. The decline is a result of the refinancing of our largest senior secured credit facility at a lower interest rate during the first quarter of 2013 as well as the repayment of higher interest rate senior unsecured notes with the issuance of lower interest rate senior unsecured notes during the second quarter of 2013.</w:t>
      </w:r>
    </w:p>
    <w:p>
      <w:pPr>
        <w:spacing w:after="0" w:line="14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Real estate expenses increased to $112.4 million for the nine months ended September 30, 2013 as compared to $111.0 million for the same period in 2012. Expenses for commercial operating properties increased to $60.3 million for the nine months ended September 30, 2013 from $54.9 million for the same period in 2012, primarily driven by a property to which we took title, offset by a reduction in ancillary expenses related to a hotel property. Carrying costs and other expenses on our land assets increased to $20.2 million for the nine months ended September 30, 2013 from $16.2 million for the same period in 2012, primarily related to increased pre-development activities. The increases were offset by a decrease in costs associated with residential units to $15.4 million for the nine months ended September 30, 2013 from $21.2 million for the same period in 2012 due to continued unit sales, which reduced our homeowners association fees and other related expenses. Additionally, operating expenses for net lease assets decreased to $16.5 million for the nine months ended September 30, 2013 from $18.7 million for the same period in 2012 due primarily to improvements in collectability of receivables.</w:t>
      </w:r>
    </w:p>
    <w:p>
      <w:pPr>
        <w:spacing w:after="0" w:line="12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increased to $53.6 million for the nine months ended September 30, 2013 from $49.4 million primarily due to the acquisition of additional operating properties.</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expenses increased to $67.0 million for the nine months ended September 30, 2013 as compared to $61.7 million for the same period in 2012 due to an increase in compensation related costs pertaining to annual performance based bonuses.</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Provisions for loan losses declined $55.5 million to $5.4 million during the nine months ended September 30, 2013 as compared to $60.9 million during the same period in 2012 as less specific reserves were required on a lower balance of non-performing loans. Included in the provision for the nine months ended September 30, 2013 were specific reserves totaling $65.8 million which were established on non-performing loans offset by recoveries of previously recorded loan loss reserves of $55.1 million.</w:t>
      </w:r>
    </w:p>
    <w:p>
      <w:pPr>
        <w:spacing w:after="0" w:line="1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nine months ended September 30, 2013, we recorded $7.2 million of impairments on real estate assets, including $0.9 million recorded in discontinued operations. For the nine months ended September 30, 2012, we recorded impairments of $29.1 million on real estate assets and $0.9 million on other investments, including $21.4 million recorded in discontinued operations for real estate assets.</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Other expense increased to $7.3 million for the nine months ended September 30, 2013 as compared to $6.8 million for the same period in 2012 due primarily to $4.4 million of third party expenses incurred in connection with the refinancing of our October 2012 Secured Credit Facility with our February 2013 Secured Credit Facility (see Liquidity and Capital Resources below) during the first quarter of 2013 and $1.5 million of foreign exchange losses. During the nine months ended September 30, 2012, we recognized $2.3 million more in legal costs associated with loan resolutions than during the same period in 2013 and costs related to a shareholder litigation settlement of $2.0 million.</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Gain (loss) on early extinguishment of debt, net</w:t>
      </w:r>
      <w:r>
        <w:rPr>
          <w:rFonts w:ascii="Arial" w:cs="Arial" w:eastAsia="Arial" w:hAnsi="Arial"/>
          <w:sz w:val="18"/>
          <w:szCs w:val="18"/>
          <w:color w:val="auto"/>
        </w:rPr>
        <w:t>—During the nine months ended September 30, 2013, we incurred losses on the early extinguishment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debt due to accelerated amortization of discounts and fees of $7.7 million relating to the refinancing of our October 2012 Secured Credit Facility and $11.1 million relating to accelerated amortization of discount and fees associated with the repayments on our 2012 and 2013 Secured Credit Facilities. We also redeemed our $448.5 million 5.95% senior unsecured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notes due October 2013 prior to maturity and incurred $9.5 million of losses related to a prepayment penalty and the acceleration of amortization of discounts (see Liquidity and Capital Resources below).</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same period in 2012, we made repayments on the A-1 Tranches of the 2011 and 2012 Secured Credit Facilities and repurchases of our senior unsecured convertible notes, which resulted in $6.9 million of net losses on early extinguishments of debt due to accelerated amortization of discounts and fees.</w:t>
      </w:r>
    </w:p>
    <w:p>
      <w:pPr>
        <w:spacing w:after="0" w:line="14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b w:val="1"/>
          <w:bCs w:val="1"/>
          <w:i w:val="1"/>
          <w:iCs w:val="1"/>
          <w:color w:val="auto"/>
        </w:rPr>
        <w:t>Earnings from equity method investments</w:t>
      </w:r>
      <w:r>
        <w:rPr>
          <w:rFonts w:ascii="Arial" w:cs="Arial" w:eastAsia="Arial" w:hAnsi="Arial"/>
          <w:sz w:val="17"/>
          <w:szCs w:val="17"/>
          <w:color w:val="auto"/>
        </w:rPr>
        <w:t>—Earnings from equity method investments decreased to $34.3 million during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2013 as compared to $75.9 million for the same period in 2012. For one of our real estate equity investments, our equity in earnings decreased to $4.1 million for the nine months ended September 30, 2013 from $20.8 million for the same period in 2012 due to lower income from sales of residential property units for a building that is approaching complete sell-out. For LNR, which was sold in April 2013, our equity in earnings increased to $57.5 million for the nine months ended September 30, 2013 from $36.0 million for the same period in 2012 due primarily to a gain recognized on the sale of an LNR subsidiary. Our equity in earnings for the nine months ended September 30, 2013 was offset by an other than temporary impairment of $41.0 million arising from the terms of the sale of the Company's investment in LNR. The Company and other owners of LNR entered into negotiations with potential purchasers of LNR beginning in September 2012. After an extensive due diligence and negotiation process, the LNR owners entered into a definitive contract to sell LNR in January 2013 at a fixed sale price which, from the Company's perspective, reflected in part the Company's then-current expectations about the future results of LNR and potential volatility in its business. The definitive sale contract provided that LNR would not make cash distributions to its owners during the fourth quarter of 2012 through the closing of the sale. Notwithstanding the fixed terms of the contract, our investment balance in LNR increased due to equity in earnings recorded which resulted in our recognition of other than temporary impairment on our investment during the nine months ended September 30, 2013.</w:t>
      </w:r>
    </w:p>
    <w:p>
      <w:pPr>
        <w:spacing w:after="0" w:line="14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b w:val="1"/>
          <w:bCs w:val="1"/>
          <w:i w:val="1"/>
          <w:iCs w:val="1"/>
          <w:color w:val="auto"/>
        </w:rPr>
        <w:t>Income tax expense</w:t>
      </w:r>
      <w:r>
        <w:rPr>
          <w:rFonts w:ascii="Arial" w:cs="Arial" w:eastAsia="Arial" w:hAnsi="Arial"/>
          <w:sz w:val="16"/>
          <w:szCs w:val="16"/>
          <w:color w:val="auto"/>
        </w:rPr>
        <w:t>—Income tax expense decreased to $0.6 million during the nine months ended September 30, 2013 as compared to $6.5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2012 due primarily to lower taxable income from LNR, which was sold in April 2013, and lower gains from sales of residential property.</w:t>
      </w:r>
    </w:p>
    <w:p>
      <w:pPr>
        <w:spacing w:after="0" w:line="8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b w:val="1"/>
          <w:bCs w:val="1"/>
          <w:i w:val="1"/>
          <w:iCs w:val="1"/>
          <w:color w:val="auto"/>
        </w:rPr>
        <w:t>Discontinued operations</w:t>
      </w:r>
      <w:r>
        <w:rPr>
          <w:rFonts w:ascii="Arial" w:cs="Arial" w:eastAsia="Arial" w:hAnsi="Arial"/>
          <w:sz w:val="16"/>
          <w:szCs w:val="16"/>
          <w:color w:val="auto"/>
        </w:rPr>
        <w:t>—During the nine months ended September 30, 2013, we sold five commercial operating properties with a carrying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$70.5 million which resulted in a gain of $19.1 million and four net lease assets with a carrying value of $15.7 million which resulted in a net gain of $2.9 million. During the nine months ended September 30, 2012, we sold 14 net lease assets with a carrying value of $115.5 million for a net gain of $27.3 million.</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Income (loss) from discontinued operations includes operating results from net lease assets and commercial operating properties held for sale or sold as of September 30, 2013. For the nine months ended September 30, 2012, income (loss) from discontinued operations includes impairment of assets of $21.4 million.</w:t>
      </w:r>
    </w:p>
    <w:p>
      <w:pPr>
        <w:spacing w:after="0" w:line="14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b w:val="1"/>
          <w:bCs w:val="1"/>
          <w:i w:val="1"/>
          <w:iCs w:val="1"/>
          <w:color w:val="auto"/>
        </w:rPr>
        <w:t>Income from sales of residential property</w:t>
      </w:r>
      <w:r>
        <w:rPr>
          <w:rFonts w:ascii="Arial" w:cs="Arial" w:eastAsia="Arial" w:hAnsi="Arial"/>
          <w:sz w:val="17"/>
          <w:szCs w:val="17"/>
          <w:color w:val="auto"/>
        </w:rPr>
        <w:t>—During the nine months ended September 30, 2013 and 2012, we sold 347 and 393 condominium units,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respectively, that resulted in income from sales of residential properties totaling $68.7 million and $35.6 million, respectively. During the nine months ended September 30, 2013, we also sold land for proceeds of $30.0 million that resulted in income of $3.4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 and Adjusted EBITDA</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to net income (loss), we use Adjusted income and Adjusted EBITDA to measure our operating performance. Adjusted income represents net income (loss) allocable to common shareholders, prior to the effect of depreciation and amortization, provision for loan losses, impairment of assets, stock-based compensation expense, and gain (loss) on early extinguishment of debt. Adjusted EBITDA represents net income (loss) plus the sum of interest expense, income taxes, depreciation and amortization, provision for loan losses, impairment of assets and stock-based compensation expense, less gain (loss) on early extinguishment of debt.</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believe Adjusted income and Adjusted EBITDA are useful measures to consider in addition to net income (loss), as they may help investors evaluate our core operating performance. Adjusted income and Adjusted EBITDA should be examined in conjunction with net income (loss) as shown in our Consolidated Statements of Operations. Adjusted income and Adjusted EBITDA should not be considered as an alternative to net income (loss) (determined in accordance with GAAP), as an indicator of our performance, or to cash flows from operating activities (determined in accordance with GAAP) as a measure of our liquidity, nor are Adjusted income and Adjusted EBITDA indicative of funds available to fund our cash needs or available for distribution to shareholders. Rather, Adjusted income and Adjusted EBITDA are additional measures for us to use to analyze how our business is performing. It should be noted that our manner of calculating Adjusted income and Adjusted EBITDA may differ from the calculations of similarly-titled measures by other companies.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5980" w:type="dxa"/>
            <w:vAlign w:val="bottom"/>
            <w:gridSpan w:val="3"/>
          </w:tcPr>
          <w:p>
            <w:pPr>
              <w:spacing w:after="0"/>
              <w:rPr>
                <w:sz w:val="20"/>
                <w:szCs w:val="20"/>
                <w:color w:val="auto"/>
              </w:rPr>
            </w:pPr>
            <w:r>
              <w:rPr>
                <w:rFonts w:ascii="Arial" w:cs="Arial" w:eastAsia="Arial" w:hAnsi="Arial"/>
                <w:sz w:val="14"/>
                <w:szCs w:val="14"/>
                <w:b w:val="1"/>
                <w:bCs w:val="1"/>
                <w:color w:val="0000FF"/>
              </w:rPr>
              <w:t>Table of Contents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38"/>
        </w:trPr>
        <w:tc>
          <w:tcPr>
            <w:tcW w:w="5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24"/>
                <w:szCs w:val="24"/>
                <w:color w:val="auto"/>
              </w:rPr>
            </w:pPr>
          </w:p>
        </w:tc>
        <w:tc>
          <w:tcPr>
            <w:tcW w:w="2000" w:type="dxa"/>
            <w:vAlign w:val="bottom"/>
            <w:gridSpan w:val="4"/>
          </w:tcPr>
          <w:p>
            <w:pPr>
              <w:ind w:left="140"/>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r>
      <w:tr>
        <w:trPr>
          <w:trHeight w:val="250"/>
        </w:trPr>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540" w:type="dxa"/>
            <w:vAlign w:val="bottom"/>
          </w:tcPr>
          <w:p>
            <w:pPr>
              <w:spacing w:after="0"/>
              <w:rPr>
                <w:sz w:val="22"/>
                <w:szCs w:val="22"/>
                <w:color w:val="auto"/>
              </w:rPr>
            </w:pP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income</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40" w:type="dxa"/>
            <w:vAlign w:val="bottom"/>
          </w:tcPr>
          <w:p>
            <w:pPr>
              <w:spacing w:after="0"/>
              <w:rPr>
                <w:sz w:val="21"/>
                <w:szCs w:val="21"/>
                <w:color w:val="auto"/>
              </w:rPr>
            </w:pPr>
          </w:p>
        </w:tc>
        <w:tc>
          <w:tcPr>
            <w:tcW w:w="5440" w:type="dxa"/>
            <w:vAlign w:val="bottom"/>
            <w:gridSpan w:val="2"/>
          </w:tcPr>
          <w:p>
            <w:pPr>
              <w:ind w:left="260"/>
              <w:spacing w:after="0"/>
              <w:rPr>
                <w:sz w:val="20"/>
                <w:szCs w:val="20"/>
                <w:color w:val="auto"/>
              </w:rPr>
            </w:pPr>
            <w:r>
              <w:rPr>
                <w:rFonts w:ascii="Arial" w:cs="Arial" w:eastAsia="Arial" w:hAnsi="Arial"/>
                <w:sz w:val="18"/>
                <w:szCs w:val="18"/>
                <w:color w:val="auto"/>
              </w:rPr>
              <w:t>Net income (loss) allocable to common shareholders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(30,571)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(71,784)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(97,839)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(185,573)</w:t>
            </w:r>
          </w:p>
        </w:tc>
      </w:tr>
      <w:tr>
        <w:trPr>
          <w:trHeight w:val="27"/>
        </w:trPr>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Add: Depreciation and amortization(1)</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53,873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51,205</w:t>
            </w:r>
          </w:p>
        </w:tc>
      </w:tr>
      <w:tr>
        <w:trPr>
          <w:trHeight w:val="243"/>
        </w:trPr>
        <w:tc>
          <w:tcPr>
            <w:tcW w:w="540" w:type="dxa"/>
            <w:vAlign w:val="bottom"/>
          </w:tcPr>
          <w:p>
            <w:pPr>
              <w:spacing w:after="0"/>
              <w:rPr>
                <w:sz w:val="21"/>
                <w:szCs w:val="21"/>
                <w:color w:val="auto"/>
              </w:rPr>
            </w:pPr>
          </w:p>
        </w:tc>
        <w:tc>
          <w:tcPr>
            <w:tcW w:w="5440" w:type="dxa"/>
            <w:vAlign w:val="bottom"/>
            <w:gridSpan w:val="2"/>
          </w:tcPr>
          <w:p>
            <w:pPr>
              <w:ind w:left="260"/>
              <w:spacing w:after="0"/>
              <w:rPr>
                <w:sz w:val="20"/>
                <w:szCs w:val="20"/>
                <w:color w:val="auto"/>
              </w:rPr>
            </w:pPr>
            <w:r>
              <w:rPr>
                <w:rFonts w:ascii="Arial" w:cs="Arial" w:eastAsia="Arial" w:hAnsi="Arial"/>
                <w:sz w:val="18"/>
                <w:szCs w:val="18"/>
                <w:color w:val="auto"/>
              </w:rPr>
              <w:t>Add: Provision for loan losses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16,834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5,392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60,865</w:t>
            </w:r>
          </w:p>
        </w:tc>
      </w:tr>
      <w:tr>
        <w:trPr>
          <w:trHeight w:val="27"/>
        </w:trPr>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Add: Impairment of assets(2)</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30,061</w:t>
            </w:r>
          </w:p>
        </w:tc>
      </w:tr>
      <w:tr>
        <w:trPr>
          <w:trHeight w:val="243"/>
        </w:trPr>
        <w:tc>
          <w:tcPr>
            <w:tcW w:w="540" w:type="dxa"/>
            <w:vAlign w:val="bottom"/>
          </w:tcPr>
          <w:p>
            <w:pPr>
              <w:spacing w:after="0"/>
              <w:rPr>
                <w:sz w:val="21"/>
                <w:szCs w:val="21"/>
                <w:color w:val="auto"/>
              </w:rPr>
            </w:pPr>
          </w:p>
        </w:tc>
        <w:tc>
          <w:tcPr>
            <w:tcW w:w="5440" w:type="dxa"/>
            <w:vAlign w:val="bottom"/>
            <w:gridSpan w:val="2"/>
          </w:tcPr>
          <w:p>
            <w:pPr>
              <w:ind w:left="260"/>
              <w:spacing w:after="0"/>
              <w:rPr>
                <w:sz w:val="20"/>
                <w:szCs w:val="20"/>
                <w:color w:val="auto"/>
              </w:rPr>
            </w:pPr>
            <w:r>
              <w:rPr>
                <w:rFonts w:ascii="Arial" w:cs="Arial" w:eastAsia="Arial" w:hAnsi="Arial"/>
                <w:sz w:val="18"/>
                <w:szCs w:val="18"/>
                <w:color w:val="auto"/>
              </w:rPr>
              <w:t>Add: Stock-based compensation expense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3,512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14,484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11,625</w:t>
            </w:r>
          </w:p>
        </w:tc>
      </w:tr>
      <w:tr>
        <w:trPr>
          <w:trHeight w:val="27"/>
        </w:trPr>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Less: (Gain) loss on early extinguishment of debt, net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6,858</w:t>
            </w:r>
          </w:p>
        </w:tc>
      </w:tr>
      <w:tr>
        <w:trPr>
          <w:trHeight w:val="243"/>
        </w:trPr>
        <w:tc>
          <w:tcPr>
            <w:tcW w:w="540" w:type="dxa"/>
            <w:vAlign w:val="bottom"/>
          </w:tcPr>
          <w:p>
            <w:pPr>
              <w:spacing w:after="0"/>
              <w:rPr>
                <w:sz w:val="21"/>
                <w:szCs w:val="21"/>
                <w:color w:val="auto"/>
              </w:rPr>
            </w:pPr>
          </w:p>
        </w:tc>
        <w:tc>
          <w:tcPr>
            <w:tcW w:w="5440" w:type="dxa"/>
            <w:vAlign w:val="bottom"/>
            <w:gridSpan w:val="2"/>
          </w:tcPr>
          <w:p>
            <w:pPr>
              <w:ind w:left="260"/>
              <w:spacing w:after="0"/>
              <w:rPr>
                <w:sz w:val="20"/>
                <w:szCs w:val="20"/>
                <w:color w:val="auto"/>
              </w:rPr>
            </w:pPr>
            <w:r>
              <w:rPr>
                <w:rFonts w:ascii="Arial" w:cs="Arial" w:eastAsia="Arial" w:hAnsi="Arial"/>
                <w:sz w:val="18"/>
                <w:szCs w:val="18"/>
                <w:color w:val="auto"/>
              </w:rPr>
              <w:t>Less: HPU/Participating Security allocation</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(5,264)</w:t>
            </w:r>
          </w:p>
        </w:tc>
      </w:tr>
      <w:tr>
        <w:trPr>
          <w:trHeight w:val="27"/>
        </w:trPr>
        <w:tc>
          <w:tcPr>
            <w:tcW w:w="540" w:type="dxa"/>
            <w:vAlign w:val="bottom"/>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(30,223)</w:t>
            </w:r>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47"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the three months ended September 30, 2013 and 2012, depreciation and amortization includes $50 and $236, respectively, of depreciation and amortization reclassified to discontinued operations. For the nine months ended September 30, 2013 and 2012, depreciation and amortization includes $234 and $1,827, respectively, of depreciation and amortization reclassified to discontinued operations.</w:t>
      </w:r>
    </w:p>
    <w:p>
      <w:pPr>
        <w:spacing w:after="0" w:line="1" w:lineRule="exact"/>
        <w:rPr>
          <w:rFonts w:ascii="Arial" w:cs="Arial" w:eastAsia="Arial" w:hAnsi="Arial"/>
          <w:sz w:val="14"/>
          <w:szCs w:val="14"/>
          <w:color w:val="auto"/>
        </w:rPr>
      </w:pPr>
    </w:p>
    <w:p>
      <w:pPr>
        <w:ind w:left="660" w:hanging="652"/>
        <w:spacing w:after="0" w:line="255"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the three months ended September 30, 2013 and 2012, impairment of assets includes $524 and $4,808 of impairment of assets reclassified to discontinued operations. For the nine months ended September 30, 2013 and 2012, impairment of assets includes $920 and $21,429 of impairment of assets reclassified to discontinued operations.</w:t>
      </w:r>
    </w:p>
    <w:p>
      <w:pPr>
        <w:spacing w:after="0" w:line="291"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2000" w:type="dxa"/>
            <w:vAlign w:val="bottom"/>
            <w:gridSpan w:val="4"/>
          </w:tcPr>
          <w:p>
            <w:pPr>
              <w:ind w:left="140"/>
              <w:spacing w:after="0"/>
              <w:rPr>
                <w:sz w:val="20"/>
                <w:szCs w:val="20"/>
                <w:color w:val="auto"/>
              </w:rPr>
            </w:pPr>
            <w:r>
              <w:rPr>
                <w:rFonts w:ascii="Arial" w:cs="Arial" w:eastAsia="Arial" w:hAnsi="Arial"/>
                <w:sz w:val="14"/>
                <w:szCs w:val="14"/>
                <w:b w:val="1"/>
                <w:bCs w:val="1"/>
                <w:color w:val="auto"/>
              </w:rPr>
              <w:t>For the Nine Months</w:t>
            </w:r>
          </w:p>
        </w:tc>
      </w:tr>
      <w:tr>
        <w:trPr>
          <w:trHeight w:val="192"/>
        </w:trPr>
        <w:tc>
          <w:tcPr>
            <w:tcW w:w="5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Ended September 30,</w:t>
            </w:r>
          </w:p>
        </w:tc>
      </w:tr>
      <w:tr>
        <w:trPr>
          <w:trHeight w:val="264"/>
        </w:trPr>
        <w:tc>
          <w:tcPr>
            <w:tcW w:w="5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r>
      <w:tr>
        <w:trPr>
          <w:trHeight w:val="250"/>
        </w:trPr>
        <w:tc>
          <w:tcPr>
            <w:tcW w:w="5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44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(18,590)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(64,306)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(65,244)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(161,484)</w:t>
            </w: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 Interest expense(1)</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91,777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204,516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272,659</w:t>
            </w:r>
          </w:p>
        </w:tc>
      </w:tr>
      <w:tr>
        <w:trPr>
          <w:trHeight w:val="243"/>
        </w:trPr>
        <w:tc>
          <w:tcPr>
            <w:tcW w:w="5440" w:type="dxa"/>
            <w:vAlign w:val="bottom"/>
          </w:tcPr>
          <w:p>
            <w:pPr>
              <w:ind w:left="260"/>
              <w:spacing w:after="0"/>
              <w:rPr>
                <w:sz w:val="20"/>
                <w:szCs w:val="20"/>
                <w:color w:val="auto"/>
              </w:rPr>
            </w:pPr>
            <w:r>
              <w:rPr>
                <w:rFonts w:ascii="Arial" w:cs="Arial" w:eastAsia="Arial" w:hAnsi="Arial"/>
                <w:sz w:val="18"/>
                <w:szCs w:val="18"/>
                <w:color w:val="auto"/>
              </w:rPr>
              <w:t>Add: Income tax expense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6,540</w:t>
            </w: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 Depreciation and amortization(2)</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16,787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51,205</w:t>
            </w:r>
          </w:p>
        </w:tc>
      </w:tr>
      <w:tr>
        <w:trPr>
          <w:trHeight w:val="237"/>
        </w:trPr>
        <w:tc>
          <w:tcPr>
            <w:tcW w:w="5440" w:type="dxa"/>
            <w:vAlign w:val="bottom"/>
          </w:tcPr>
          <w:p>
            <w:pPr>
              <w:ind w:left="260"/>
              <w:spacing w:after="0"/>
              <w:rPr>
                <w:sz w:val="20"/>
                <w:szCs w:val="20"/>
                <w:color w:val="auto"/>
              </w:rPr>
            </w:pPr>
            <w:r>
              <w:rPr>
                <w:rFonts w:ascii="Arial" w:cs="Arial" w:eastAsia="Arial" w:hAnsi="Arial"/>
                <w:sz w:val="18"/>
                <w:szCs w:val="18"/>
                <w:color w:val="auto"/>
              </w:rPr>
              <w:t>EBITDA</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60,343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46,049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5"/>
              </w:rPr>
              <w:t>193,770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168,920</w:t>
            </w: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 Provision for loan losses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60,865</w:t>
            </w:r>
          </w:p>
        </w:tc>
      </w:tr>
      <w:tr>
        <w:trPr>
          <w:trHeight w:val="243"/>
        </w:trPr>
        <w:tc>
          <w:tcPr>
            <w:tcW w:w="5440" w:type="dxa"/>
            <w:vAlign w:val="bottom"/>
          </w:tcPr>
          <w:p>
            <w:pPr>
              <w:ind w:left="260"/>
              <w:spacing w:after="0"/>
              <w:rPr>
                <w:sz w:val="20"/>
                <w:szCs w:val="20"/>
                <w:color w:val="auto"/>
              </w:rPr>
            </w:pPr>
            <w:r>
              <w:rPr>
                <w:rFonts w:ascii="Arial" w:cs="Arial" w:eastAsia="Arial" w:hAnsi="Arial"/>
                <w:sz w:val="18"/>
                <w:szCs w:val="18"/>
                <w:color w:val="auto"/>
              </w:rPr>
              <w:t>Add: Impairment of assets(3)</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7,181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30,061</w:t>
            </w:r>
          </w:p>
        </w:tc>
      </w:tr>
      <w:tr>
        <w:trPr>
          <w:trHeight w:val="27"/>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 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11,625</w:t>
            </w:r>
          </w:p>
        </w:tc>
      </w:tr>
      <w:tr>
        <w:trPr>
          <w:trHeight w:val="243"/>
        </w:trPr>
        <w:tc>
          <w:tcPr>
            <w:tcW w:w="5440" w:type="dxa"/>
            <w:vAlign w:val="bottom"/>
          </w:tcPr>
          <w:p>
            <w:pPr>
              <w:ind w:left="260"/>
              <w:spacing w:after="0"/>
              <w:rPr>
                <w:sz w:val="20"/>
                <w:szCs w:val="20"/>
                <w:color w:val="auto"/>
              </w:rPr>
            </w:pPr>
            <w:r>
              <w:rPr>
                <w:rFonts w:ascii="Arial" w:cs="Arial" w:eastAsia="Arial" w:hAnsi="Arial"/>
                <w:sz w:val="18"/>
                <w:szCs w:val="18"/>
                <w:color w:val="auto"/>
              </w:rPr>
              <w:t>Less: (Gain) loss on early extinguishment of debt, net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28,282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6,858</w:t>
            </w:r>
          </w:p>
        </w:tc>
      </w:tr>
      <w:tr>
        <w:trPr>
          <w:trHeight w:val="27"/>
        </w:trPr>
        <w:tc>
          <w:tcPr>
            <w:tcW w:w="5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76,631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249,109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278,329</w:t>
            </w: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right="840" w:hanging="652"/>
        <w:spacing w:after="0" w:line="250"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2012, interest expense includes $0 and $1,065 of interest expense reclassified to discontinued operations. There were no reclassifications of interest expense to discontinued operations for the three and nine months ended September 30, 2013.</w:t>
      </w:r>
    </w:p>
    <w:p>
      <w:pPr>
        <w:ind w:left="660" w:right="20" w:hanging="652"/>
        <w:spacing w:after="0" w:line="241"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the three months ended September 30, 2013 and 2012, depreciation and amortization includes $50 and $236, respectively, of depreciation and amortization reclassified to discontinued operations. For the nine months ended September 30, 2013 and 2012, depreciation and amortization includes $234 and $1,827, respectively, of depreciation and amortization reclassified to discontinued operations.</w:t>
      </w:r>
    </w:p>
    <w:p>
      <w:pPr>
        <w:spacing w:after="0" w:line="1" w:lineRule="exact"/>
        <w:rPr>
          <w:rFonts w:ascii="Arial" w:cs="Arial" w:eastAsia="Arial" w:hAnsi="Arial"/>
          <w:sz w:val="14"/>
          <w:szCs w:val="14"/>
          <w:color w:val="auto"/>
        </w:rPr>
      </w:pPr>
    </w:p>
    <w:p>
      <w:pPr>
        <w:ind w:left="660" w:hanging="652"/>
        <w:spacing w:after="0" w:line="255"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the three months ended September 30, 2013 and 2012, impairment of assets includes $524 and $4,808 of impairment of assets reclassified to discontinued operations. For the nine months ended September 30, 2013 and 2012, impairment of assets includes $920 and $21,429 of impairment of assets reclassified to discontinued operations.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4" w:right="2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Loan Credit Statistics</w:t>
      </w:r>
      <w:r>
        <w:rPr>
          <w:rFonts w:ascii="Arial" w:cs="Arial" w:eastAsia="Arial" w:hAnsi="Arial"/>
          <w:sz w:val="18"/>
          <w:szCs w:val="18"/>
          <w:color w:val="auto"/>
        </w:rPr>
        <w:t>—The table below summarizes our non-performing loans and the reserves for loan losses associated with our loans ($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264"/>
        </w:trPr>
        <w:tc>
          <w:tcPr>
            <w:tcW w:w="7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2013</w:t>
            </w:r>
          </w:p>
        </w:tc>
        <w:tc>
          <w:tcPr>
            <w:tcW w:w="200" w:type="dxa"/>
            <w:vAlign w:val="bottom"/>
          </w:tcPr>
          <w:p>
            <w:pPr>
              <w:spacing w:after="0"/>
              <w:rPr>
                <w:sz w:val="22"/>
                <w:szCs w:val="22"/>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2012</w:t>
            </w:r>
          </w:p>
        </w:tc>
      </w:tr>
      <w:tr>
        <w:trPr>
          <w:trHeight w:val="250"/>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Non-performing loans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235,335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503,112</w:t>
            </w: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a percentage of total carrying value of loans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Reserve for loan losses</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reserve for loan losses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380,007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524,499</w:t>
            </w:r>
          </w:p>
        </w:tc>
      </w:tr>
      <w:tr>
        <w:trPr>
          <w:trHeight w:val="243"/>
        </w:trPr>
        <w:tc>
          <w:tcPr>
            <w:tcW w:w="7720" w:type="dxa"/>
            <w:vAlign w:val="bottom"/>
          </w:tcPr>
          <w:p>
            <w:pPr>
              <w:ind w:left="160"/>
              <w:spacing w:after="0"/>
              <w:rPr>
                <w:sz w:val="20"/>
                <w:szCs w:val="20"/>
                <w:color w:val="auto"/>
              </w:rPr>
            </w:pPr>
            <w:r>
              <w:rPr>
                <w:rFonts w:ascii="Arial" w:cs="Arial" w:eastAsia="Arial" w:hAnsi="Arial"/>
                <w:sz w:val="18"/>
                <w:szCs w:val="18"/>
                <w:color w:val="auto"/>
              </w:rPr>
              <w:t>As a percentage of total loans before loan loss reserves</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Non-performing loan asset-specific reserves for loan losses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330,900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476,140</w:t>
            </w:r>
          </w:p>
        </w:tc>
      </w:tr>
      <w:tr>
        <w:trPr>
          <w:trHeight w:val="243"/>
        </w:trPr>
        <w:tc>
          <w:tcPr>
            <w:tcW w:w="7720" w:type="dxa"/>
            <w:vAlign w:val="bottom"/>
          </w:tcPr>
          <w:p>
            <w:pPr>
              <w:ind w:left="160"/>
              <w:spacing w:after="0"/>
              <w:rPr>
                <w:sz w:val="20"/>
                <w:szCs w:val="20"/>
                <w:color w:val="auto"/>
              </w:rPr>
            </w:pPr>
            <w:r>
              <w:rPr>
                <w:rFonts w:ascii="Arial" w:cs="Arial" w:eastAsia="Arial" w:hAnsi="Arial"/>
                <w:sz w:val="18"/>
                <w:szCs w:val="18"/>
                <w:color w:val="auto"/>
              </w:rPr>
              <w:t>As a percentage of gross carrying value of non-performing loans</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48.6%</w:t>
            </w:r>
          </w:p>
        </w:tc>
      </w:tr>
    </w:tbl>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Non-Performing Loans</w:t>
      </w:r>
      <w:r>
        <w:rPr>
          <w:rFonts w:ascii="Arial" w:cs="Arial" w:eastAsia="Arial" w:hAnsi="Arial"/>
          <w:sz w:val="18"/>
          <w:szCs w:val="18"/>
          <w:color w:val="auto"/>
        </w:rPr>
        <w:t>—We designate loans as non-performing at such time as: (1) the loan becomes 90 days delinquent; (2) the loan has a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default; or (3) management determines it is probable that it will be unable to collect all amounts due according to the contractual terms of the loan. All non-performing loans are placed on non-accrual status and income is only recognized in certain cases upon actual cash receipt. As of September 30, 2013, we had non-performing loans with an aggregate carrying value of $235.3 million. Our non-performing loans decreased during the nine months ended September 30, 2013, primarily due to paydowns received on non-performing loans, reclassification of certain non-performing loans to performing status, and receiving title to properties serving as collateral in full or partial satisfaction of such loans. We expect that our level of non-performing loans will fluctuate from period to period.</w:t>
      </w:r>
    </w:p>
    <w:p>
      <w:pPr>
        <w:spacing w:after="0" w:line="14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b w:val="1"/>
          <w:bCs w:val="1"/>
          <w:i w:val="1"/>
          <w:iCs w:val="1"/>
          <w:color w:val="auto"/>
        </w:rPr>
        <w:t>Reserve for Loan Losses</w:t>
      </w:r>
      <w:r>
        <w:rPr>
          <w:rFonts w:ascii="Arial" w:cs="Arial" w:eastAsia="Arial" w:hAnsi="Arial"/>
          <w:sz w:val="17"/>
          <w:szCs w:val="17"/>
          <w:color w:val="auto"/>
        </w:rPr>
        <w:t>—The reserve for loan losses was $380.0 million as of September 30, 2013, or 23.5% of the gross carrying value of total loans,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$524.5 million or 22.3% at December 31, 2012. The change in the balance of the reserve was the result of net provisioning of $5.4 million, which includes recoveries of previously recorded loan loss reserves of $55.1 million, reduced by $149.9 million of charge-offs during the nine months ended September 30, 2013. We expect that our level of reserve for loan losses will fluctuate from period to period. Due to volatility within the commercial real estate market, the process of estimating collateral values and reserves require us to use significant judgment. In addition, the process of estimating values and reserves for our European loan assets is subject to additional risks related to the continued economic uncertainty in the Eurozone. We currently believe there are adequate collateral and reserves to support the carrying values of the loans.</w:t>
      </w:r>
    </w:p>
    <w:p>
      <w:pPr>
        <w:spacing w:after="0" w:line="13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September 30, 2013, asset-specific reserves decreased slightly to $352.2 million compared to $491.4 million at December 31, 2012, primarily due to charge-offs on loans offset by additional reserves established on non-performing loans.</w:t>
      </w:r>
    </w:p>
    <w:p>
      <w:pPr>
        <w:spacing w:after="0" w:line="14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2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general reserve decreased to $27.8 million or 2.6% of the gross carrying value of performing loans as of September 30, 2013, compared to $33.1 million or 2.4% of the gross carrying value of performing loans at December 31, 2012. This reduction is primarily attributable to the reduction in the balance of performing loans.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b w:val="1"/>
          <w:bCs w:val="1"/>
          <w:i w:val="1"/>
          <w:iCs w:val="1"/>
          <w:color w:val="auto"/>
        </w:rPr>
        <w:t>Risk concentrations</w:t>
      </w:r>
      <w:r>
        <w:rPr>
          <w:rFonts w:ascii="Arial" w:cs="Arial" w:eastAsia="Arial" w:hAnsi="Arial"/>
          <w:sz w:val="18"/>
          <w:szCs w:val="18"/>
          <w:color w:val="auto"/>
        </w:rPr>
        <w:t>—As of September 30, 2013, our total investment portfolio, consisting of real estate, loans receivable and other lending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investments was comprised of the following property/collateral types ($ in thousands)(1):</w:t>
      </w:r>
    </w:p>
    <w:p>
      <w:pPr>
        <w:spacing w:after="0" w:line="27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Property/Collateral Types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4"/>
                <w:szCs w:val="14"/>
                <w:color w:val="auto"/>
              </w:rPr>
            </w:pPr>
          </w:p>
        </w:tc>
        <w:tc>
          <w:tcPr>
            <w:tcW w:w="10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Net Lease</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4"/>
                <w:szCs w:val="14"/>
                <w:color w:val="auto"/>
              </w:rPr>
            </w:pP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165,039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975,859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1,140,898</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413,664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309,842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733,535</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Industrial / R&amp;D</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52,195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696,875</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Entertainment / Leisure</w:t>
            </w: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76,685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475,437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552,122</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Hotel</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93,252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466,245</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Retail</w:t>
            </w: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233,143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155,388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446,665</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Mixed Use / Mixed Collateral</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190,698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429,980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Condominium</w:t>
            </w: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114,177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255,098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369,275</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Property Types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224,943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235,131</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Strategic Investments</w:t>
            </w:r>
          </w:p>
        </w:tc>
        <w:tc>
          <w:tcPr>
            <w:tcW w:w="1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141,583</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1,390,552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1,647,442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1,056,873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975,859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5,212,309</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accumulated depreciation and general loan loss reserves.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2013, our total investment portfolio had the following characteristics by geographical region ($ in thousands)(1):</w:t>
      </w:r>
    </w:p>
    <w:p>
      <w:pPr>
        <w:spacing w:after="0" w:line="32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Geographic Region</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4"/>
                <w:szCs w:val="14"/>
                <w:color w:val="auto"/>
              </w:rPr>
            </w:pPr>
          </w:p>
        </w:tc>
        <w:tc>
          <w:tcPr>
            <w:tcW w:w="9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9"/>
              </w:rPr>
              <w:t>Net Lease</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428,575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222,573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368,743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1,166,075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Northeast</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363,063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383,513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163,015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195,114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1,104,705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282,632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837,100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Southwest</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181,303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216,506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192,822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118,559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709,190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Mid-Atlantic</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622,192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Central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82,766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96,819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67,949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257,034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Northwest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162,853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International(2)</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124,495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124,495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Various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87,082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Strategic Investments(2)</w:t>
            </w:r>
          </w:p>
        </w:tc>
        <w:tc>
          <w:tcPr>
            <w:tcW w:w="1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141,583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1,390,552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1,647,442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1,056,873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975,859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5,212,309</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accumulated depreciation and general loan loss reserves.</w:t>
      </w:r>
    </w:p>
    <w:p>
      <w:pPr>
        <w:spacing w:after="0" w:line="13" w:lineRule="exact"/>
        <w:rPr>
          <w:rFonts w:ascii="Arial" w:cs="Arial" w:eastAsia="Arial" w:hAnsi="Arial"/>
          <w:sz w:val="14"/>
          <w:szCs w:val="14"/>
          <w:color w:val="auto"/>
        </w:rPr>
      </w:pPr>
    </w:p>
    <w:p>
      <w:pPr>
        <w:ind w:left="660" w:right="20" w:hanging="652"/>
        <w:spacing w:after="0" w:line="255"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Strategic investments includes $42.0 million of international assets. Additionally, international and strategic investments include $114.3 million of European assets, including $79.2 million in Germany and $35.1 million in the United Kingdom.</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three months ended September 30, 2013, we funded investments totaling $116.4 million. Also during the third quarter of 2013, we received $346.0 million of proceeds from our portfolio, comprised of $239.0 million from repayments and sales of loans, $97.8 million from sales of operating properties and $9.2 million from other investments. As of September 30, 2013, we had unrestricted cash of $735.5 million.</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2013, we had no debt outstanding with maturities in 2013. Over the next 12 months, we currently expect to fund approximately $245 million of capital expenditures within our portfolio. Our capital sources to meet expected cash uses through the next 12 months will primarily include cash on hand, loan repayments from borrowers, and proceeds from unencumbered asset sales. As of September 30, 2013, we had unencumbered assets with a carrying value of approximately $2.98 billion.</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cannot predict with certainty the specific transactions we will undertake to generate sufficient liquidity to meet our obligations as they come due. We may raise capital through debt refinancings or equity capital transactions and will adjust our plans as appropriate in response to changes in our expectations and changes in market conditions. While economic trends have been improving, it is not possible for us to predict whether the improving trends will continue or to quantify the impact of these or other trends on our financial results.</w:t>
      </w:r>
    </w:p>
    <w:p>
      <w:pPr>
        <w:spacing w:after="0" w:line="1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—The following table outlines the contractual obligations related to our long-term debt agreements and operating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as of September 30, 2013 (see Note 8 of the Notes to the Consolidated Financial Statements) ($ in thousands):</w:t>
      </w:r>
    </w:p>
    <w:p>
      <w:pPr>
        <w:spacing w:after="0" w:line="351"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Amounts Due By Period</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240" w:type="dxa"/>
            <w:vAlign w:val="bottom"/>
          </w:tcPr>
          <w:p>
            <w:pPr>
              <w:spacing w:after="0"/>
              <w:rPr>
                <w:sz w:val="13"/>
                <w:szCs w:val="13"/>
                <w:color w:val="auto"/>
              </w:rPr>
            </w:pPr>
          </w:p>
        </w:tc>
        <w:tc>
          <w:tcPr>
            <w:tcW w:w="960" w:type="dxa"/>
            <w:vAlign w:val="bottom"/>
          </w:tcPr>
          <w:p>
            <w:pPr>
              <w:jc w:val="right"/>
              <w:ind w:right="395"/>
              <w:spacing w:after="0" w:line="153" w:lineRule="exact"/>
              <w:rPr>
                <w:sz w:val="20"/>
                <w:szCs w:val="20"/>
                <w:color w:val="auto"/>
              </w:rPr>
            </w:pPr>
            <w:r>
              <w:rPr>
                <w:rFonts w:ascii="Arial" w:cs="Arial" w:eastAsia="Arial" w:hAnsi="Arial"/>
                <w:sz w:val="14"/>
                <w:szCs w:val="14"/>
                <w:b w:val="1"/>
                <w:bCs w:val="1"/>
                <w:color w:val="auto"/>
              </w:rPr>
              <w:t>1 - 3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5 - 10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24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credit facilities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1,915,953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Unsecured notes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2,007,491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200,601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632,168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1,174,722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term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230,597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10,952</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Other debt obligations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principal maturities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4,297,305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200,601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646,994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3,108,161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230,597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110,952</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Interest Payable(1)</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915,642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228,923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422,184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203,291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38,863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22,381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57"/>
        </w:trPr>
        <w:tc>
          <w:tcPr>
            <w:tcW w:w="2860" w:type="dxa"/>
            <w:vAlign w:val="bottom"/>
          </w:tcPr>
          <w:p>
            <w:pPr>
              <w:ind w:left="160"/>
              <w:spacing w:after="0"/>
              <w:rPr>
                <w:sz w:val="20"/>
                <w:szCs w:val="20"/>
                <w:color w:val="auto"/>
              </w:rPr>
            </w:pPr>
            <w:r>
              <w:rPr>
                <w:rFonts w:ascii="Arial" w:cs="Arial" w:eastAsia="Arial" w:hAnsi="Arial"/>
                <w:sz w:val="18"/>
                <w:szCs w:val="18"/>
                <w:b w:val="1"/>
                <w:bCs w:val="1"/>
                <w:color w:val="auto"/>
              </w:rPr>
              <w:t>Total(2)</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5,253,003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434,779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1,080,694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3,321,199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280,448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135,883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variable-rate debt assumes a 3-month LIBOR rate of 0.26%.</w:t>
      </w:r>
    </w:p>
    <w:p>
      <w:pPr>
        <w:spacing w:after="0" w:line="13" w:lineRule="exact"/>
        <w:rPr>
          <w:rFonts w:ascii="Arial" w:cs="Arial" w:eastAsia="Arial" w:hAnsi="Arial"/>
          <w:sz w:val="14"/>
          <w:szCs w:val="14"/>
          <w:color w:val="auto"/>
        </w:rPr>
      </w:pPr>
    </w:p>
    <w:p>
      <w:pPr>
        <w:ind w:left="660" w:hanging="652"/>
        <w:spacing w:after="0" w:line="255"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also have issued letters of credit totaling $3.7 million in connection with four of our investments. See Unfunded Commitments below, for a discussion of certain unfunded commitments related to our lending and net lease businesses.</w:t>
      </w:r>
    </w:p>
    <w:p>
      <w:pPr>
        <w:spacing w:after="0" w:line="146"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February 2013 Secured Credit Facility</w:t>
      </w:r>
      <w:r>
        <w:rPr>
          <w:rFonts w:ascii="Arial" w:cs="Arial" w:eastAsia="Arial" w:hAnsi="Arial"/>
          <w:sz w:val="18"/>
          <w:szCs w:val="18"/>
          <w:color w:val="auto"/>
        </w:rPr>
        <w:t>—On February 11, 2013, we entered into a $1.71 billion senior secured credit facility due October 15, 2017</w:t>
      </w:r>
      <w:r>
        <w:rPr>
          <w:rFonts w:ascii="Arial" w:cs="Arial" w:eastAsia="Arial" w:hAnsi="Arial"/>
          <w:sz w:val="18"/>
          <w:szCs w:val="18"/>
          <w:b w:val="1"/>
          <w:bCs w:val="1"/>
          <w:color w:val="auto"/>
        </w:rPr>
        <w:t xml:space="preserve"> </w:t>
      </w:r>
      <w:r>
        <w:rPr>
          <w:rFonts w:ascii="Arial" w:cs="Arial" w:eastAsia="Arial" w:hAnsi="Arial"/>
          <w:sz w:val="18"/>
          <w:szCs w:val="18"/>
          <w:color w:val="auto"/>
        </w:rPr>
        <w:t>(the “February 2013 Secured Credit Facility”) that amended and restated our $1.82 billion senior secured credit facility, dated October 15, 2012 (the “October 2012 Secured Credit Facility”). The February 2013 Credit Facility amended the October 2012 Secured Credit Facility by: (i) reducing the interest rate from LIBOR plus 4.50%, with a 1.25% LIBOR floor, to LIBOR plus 3.50%, with a 1.00% LIBOR floor; and (ii) extending the call protection period for the lenders from October 15, 2013 to December 31, 2013.</w:t>
      </w:r>
    </w:p>
    <w:p>
      <w:pPr>
        <w:spacing w:after="0" w:line="14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Borrowings under the February 2013 Secured Credit Facility are collateralized by a first lien on a fixed pool of assets, with required minimum collateral coverage of not less than 125% of outstanding borrowings. If collateral coverage is less than 137.5% of outstanding borrowings, 100% of the proceeds from principal repayments and sales of collateral will be applied to repay outstanding borrowings under the February 2013 Secured Credit Facility. For so long as collateral coverage is between 137.5% and 150% of outstanding borrowings, 50% of proceeds from principal repayments and sales of collateral will be applied to repay outstanding borrowings under the February 2013 Secured Credit Facility and for so long as collateral coverage is greater than 150% of outstanding borrowings, we may retain all proceeds from principal repayments and sales of collateral. We retain proceeds from interest, rent, lease payments and fee income in all cases.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connection with the February 2013 Secured Credit Facility transaction, the Company incurred $17.1 million of lender fees, of which $14.4 million was capitalized in "Debt Obligations, net" on the Company's Consolidated Balance Sheets and $2.7 million was recorded in "Gain (loss) on early extinguishment of debt, net" on the Company's Consolidated Statements of Operations as it related to the lenders who did not participate in the new facility. The Company also incurred $3.8 million in third party fees, of which $3.6 million was recognized in “Other expense” on the Company's Consolidated Statements of Operations, as it related primarily to those lenders from the original facility that modified their debt under the new facility, and $0.2 million was recorded in “Deferred expenses and other assets, net” on the Company's Consolidated Balance Sheets, as it related to the new lenders.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Through September 30, 2013, the Company has made cumulative amortization repayments of $230.9 million on the February 2013 Secured Credit Facility. Repayments of the February 2013 Secured Credit Facility prior to the scheduled maturity date have resulted in losses on early extinguishment of debt of $2.6 million and $5.1 million for the three and nine months ended September 30, 2013, respectively, related to the acceleration of discounts and unamortized deferred financing fees on the portion of the facility that was repaid.</w:t>
      </w:r>
    </w:p>
    <w:p>
      <w:pPr>
        <w:spacing w:after="0" w:line="142" w:lineRule="exact"/>
        <w:rPr>
          <w:sz w:val="20"/>
          <w:szCs w:val="20"/>
          <w:color w:val="auto"/>
        </w:rPr>
      </w:pPr>
    </w:p>
    <w:p>
      <w:pPr>
        <w:ind w:firstLine="405"/>
        <w:spacing w:after="0" w:line="347" w:lineRule="auto"/>
        <w:rPr>
          <w:sz w:val="20"/>
          <w:szCs w:val="20"/>
          <w:color w:val="auto"/>
        </w:rPr>
      </w:pPr>
      <w:r>
        <w:rPr>
          <w:rFonts w:ascii="Arial" w:cs="Arial" w:eastAsia="Arial" w:hAnsi="Arial"/>
          <w:sz w:val="16"/>
          <w:szCs w:val="16"/>
          <w:b w:val="1"/>
          <w:bCs w:val="1"/>
          <w:color w:val="auto"/>
        </w:rPr>
        <w:t>October 2012 Secured Credit Facility</w:t>
      </w:r>
      <w:r>
        <w:rPr>
          <w:rFonts w:ascii="Arial" w:cs="Arial" w:eastAsia="Arial" w:hAnsi="Arial"/>
          <w:sz w:val="16"/>
          <w:szCs w:val="16"/>
          <w:color w:val="auto"/>
        </w:rPr>
        <w:t>—On October 15, 2012, we entered into the “October 2012 Secured Credit Facility. Proceeds from the October</w:t>
      </w:r>
      <w:r>
        <w:rPr>
          <w:rFonts w:ascii="Arial" w:cs="Arial" w:eastAsia="Arial" w:hAnsi="Arial"/>
          <w:sz w:val="16"/>
          <w:szCs w:val="16"/>
          <w:b w:val="1"/>
          <w:bCs w:val="1"/>
          <w:color w:val="auto"/>
        </w:rPr>
        <w:t xml:space="preserve"> </w:t>
      </w:r>
      <w:r>
        <w:rPr>
          <w:rFonts w:ascii="Arial" w:cs="Arial" w:eastAsia="Arial" w:hAnsi="Arial"/>
          <w:sz w:val="16"/>
          <w:szCs w:val="16"/>
          <w:color w:val="auto"/>
        </w:rPr>
        <w:t>2012 Secured Credit Facility were used to refinance the remaining outstanding balances of the Company's then existing 2011 Secured Credit Facilities.</w:t>
      </w:r>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October 2012 Secured Credit Facility was refinanced by the February 2013 Secured Credit Facility. Prior to refinancing, we made cumulative amortization repayments of $113.0 million on the October 2012 Secured Credit Facility, which resulted in losses on early extinguishment of debt of $0.8 million for the three months ended June 30, 2013 related to the acceleration of discounts and unamortized deferred financing fees on the portion of the facility that was repaid.</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the time of the refinancing, we had $30.5 million of unamortized discounts and financing fees related to the October 2012 Secured Credit Facility. In connection with the refinancing, we recorded a loss on early extinguishment of debt of $4.9 million, related primarily to the portion of lenders in the original facility that did not participate in the new facility. The remaining $25.6 million of unamortized fees and discounts will continue to be amortized to interest expense over the remaining term of the February 2013 Secured Credit Facility.</w:t>
      </w:r>
    </w:p>
    <w:p>
      <w:pPr>
        <w:spacing w:after="0" w:line="14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color w:val="auto"/>
        </w:rPr>
        <w:t>March 2012 Secured Credit Facilities</w:t>
      </w:r>
      <w:r>
        <w:rPr>
          <w:rFonts w:ascii="Arial" w:cs="Arial" w:eastAsia="Arial" w:hAnsi="Arial"/>
          <w:sz w:val="17"/>
          <w:szCs w:val="17"/>
          <w:color w:val="auto"/>
        </w:rPr>
        <w:t>—In March 2012, we entered into an $880.0 million senior secured credit agreement providing for two tranches</w:t>
      </w:r>
      <w:r>
        <w:rPr>
          <w:rFonts w:ascii="Arial" w:cs="Arial" w:eastAsia="Arial" w:hAnsi="Arial"/>
          <w:sz w:val="17"/>
          <w:szCs w:val="17"/>
          <w:b w:val="1"/>
          <w:bCs w:val="1"/>
          <w:color w:val="auto"/>
        </w:rPr>
        <w:t xml:space="preserve"> </w:t>
      </w:r>
      <w:r>
        <w:rPr>
          <w:rFonts w:ascii="Arial" w:cs="Arial" w:eastAsia="Arial" w:hAnsi="Arial"/>
          <w:sz w:val="17"/>
          <w:szCs w:val="17"/>
          <w:color w:val="auto"/>
        </w:rPr>
        <w:t>of term loans: 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were used to repurchase and repay at maturity $606.7 million aggregate principal amount of our convertible notes due October 2012, to fully repay the $244.0 million balance on our unsecured credit facility due June 2012, and to repay, upon maturity, $90.3 million outstanding principal balance of our 5.50% senior unsecured notes.</w:t>
      </w:r>
    </w:p>
    <w:p>
      <w:pPr>
        <w:spacing w:after="0" w:line="13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us. The 2012 Tranche A-1 Facility requires amortization payments of $41.0 million to be made every six months beginning December 31, 2012. After the 2012 Tranche A-1 Facility is repaid, proceeds from principal repayments and sales of collateral will be used to amortize the 2012 Tranche A-2 Facility. We may make optional prepayments on each tranche of term loans, subject to prepayment fees.</w:t>
      </w:r>
    </w:p>
    <w:p>
      <w:pPr>
        <w:spacing w:after="0" w:line="13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quarter ended September 30, 2013, the Company repaid the remaining outstanding balance of the 2012 Tranche A-1 Facility. Repayments of the 2012 Tranche A-1 Facility prior to scheduled amortization dates have resulted in losses on early extinguishment of debt of $0.2 million and $4.4 million for the three and nine months ended September 30, 2013, respectively, related to the acceleration of discounts and unamortized deferred financing fees on the portion of the facility that was repaid.</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Through September 30, 2013, the Company made cumulative repayments of $30.1 million on the 2012 Tranche A-2 Facility. Repayments of the 2012 Tranche A-2 Facility prior to maturity have resulted in losses on early extinguishment of debt of $0.8 million and $0.8 million for the three and nine months ended September 30, 2013, respectively, related to the acceleration of discounts and unamortized deferred financing fees on the portion of the facility that was repaid.</w:t>
      </w:r>
    </w:p>
    <w:p>
      <w:pPr>
        <w:spacing w:after="0" w:line="142"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Unsecured Notes</w:t>
      </w:r>
      <w:r>
        <w:rPr>
          <w:rFonts w:ascii="Arial" w:cs="Arial" w:eastAsia="Arial" w:hAnsi="Arial"/>
          <w:sz w:val="18"/>
          <w:szCs w:val="18"/>
          <w:color w:val="auto"/>
        </w:rPr>
        <w:t>—In May 2013, the Company issued $265.0 million aggregate principal of 3.875% senior unsecured notes due July 2016 and issued</w:t>
      </w:r>
      <w:r>
        <w:rPr>
          <w:rFonts w:ascii="Arial" w:cs="Arial" w:eastAsia="Arial" w:hAnsi="Arial"/>
          <w:sz w:val="18"/>
          <w:szCs w:val="18"/>
          <w:b w:val="1"/>
          <w:bCs w:val="1"/>
          <w:color w:val="auto"/>
        </w:rPr>
        <w:t xml:space="preserve"> </w:t>
      </w:r>
      <w:r>
        <w:rPr>
          <w:rFonts w:ascii="Arial" w:cs="Arial" w:eastAsia="Arial" w:hAnsi="Arial"/>
          <w:sz w:val="18"/>
          <w:szCs w:val="18"/>
          <w:color w:val="auto"/>
        </w:rPr>
        <w:t>$300.0 million aggregate principal of 4.875% senior unsecured notes due July 2018. Net proceeds from these transactions, together with cash on hand, were used to fully repay the remaining $96.8 million of outstanding 8.625% senior unsecured notes due June 2013 and the remaining $448.5 million of the 5.95% senior unsecured notes due October 2013. In connection with the repayment of outstanding 5.95% senior unsecured notes, the Company incurred $9.5 million of losses related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a prepayment penalty and the acceleration of amortization of discounts, which was recorded in "Gain (loss) on early extinguishment of debt, net" on the Company's Consolidated Statements of Operations for the nine months ended September 30, 2013.</w:t>
      </w:r>
    </w:p>
    <w:p>
      <w:pPr>
        <w:spacing w:after="0" w:line="126"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b w:val="1"/>
          <w:bCs w:val="1"/>
          <w:color w:val="auto"/>
        </w:rPr>
        <w:t>Unencumbered/Encumbered Assets</w:t>
      </w:r>
      <w:r>
        <w:rPr>
          <w:rFonts w:ascii="Arial" w:cs="Arial" w:eastAsia="Arial" w:hAnsi="Arial"/>
          <w:sz w:val="18"/>
          <w:szCs w:val="18"/>
          <w:color w:val="auto"/>
        </w:rPr>
        <w:t>—As of September 30, 2013, the carrying value of our encumbered and unencumbered assets by asset type are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 ($ in thousands):</w:t>
      </w:r>
    </w:p>
    <w:p>
      <w:pPr>
        <w:spacing w:after="0" w:line="347"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September 30, 2013</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Encumbered</w:t>
            </w: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Unencumbered Assets</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Encumbered</w:t>
            </w:r>
          </w:p>
        </w:tc>
        <w:tc>
          <w:tcPr>
            <w:tcW w:w="160" w:type="dxa"/>
            <w:vAlign w:val="bottom"/>
          </w:tcPr>
          <w:p>
            <w:pPr>
              <w:spacing w:after="0"/>
              <w:rPr>
                <w:sz w:val="13"/>
                <w:szCs w:val="13"/>
                <w:color w:val="auto"/>
              </w:rPr>
            </w:pPr>
          </w:p>
        </w:tc>
        <w:tc>
          <w:tcPr>
            <w:tcW w:w="118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Assets</w:t>
            </w:r>
          </w:p>
        </w:tc>
        <w:tc>
          <w:tcPr>
            <w:tcW w:w="15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net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1,683,823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1,101,612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1,794,198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1,004,825</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195,692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214,388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141,673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494,192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receivable, net(1)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919,398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471,154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1,197,373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665,712</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16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26,929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160,581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43,545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355,298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1,027,563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487,073</w:t>
            </w:r>
          </w:p>
        </w:tc>
        <w:tc>
          <w:tcPr>
            <w:tcW w:w="0" w:type="dxa"/>
            <w:vAlign w:val="bottom"/>
          </w:tcPr>
          <w:p>
            <w:pPr>
              <w:spacing w:after="0"/>
              <w:rPr>
                <w:sz w:val="1"/>
                <w:szCs w:val="1"/>
                <w:color w:val="auto"/>
              </w:rPr>
            </w:pPr>
          </w:p>
        </w:tc>
      </w:tr>
      <w:tr>
        <w:trPr>
          <w:trHeight w:val="257"/>
        </w:trPr>
        <w:tc>
          <w:tcPr>
            <w:tcW w:w="5440" w:type="dxa"/>
            <w:vAlign w:val="bottom"/>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2,825,842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2,975,298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3,176,789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3,007,100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of September 30, 2013 and December 31, 2012, the amounts presented are gross of general reserves for loan losses of $27.8 million and $33.1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8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outstanding unsecured debt securities contain corporate level covenants that include a covenant to maintain a ratio of unencumbered assets to unsecured indebtedness of at least 1.2x and a restriction on debt incurrence based upon the effect of the debt incurrence on our fixed charge coverage ratio. If any of our covenants are breached and not cured within applicable cure periods, the breach could result in acceleration of our debt securities unless a waiver or modification is agreed upon with the requisite percentage of the bondholders. While we expect that our ability to incur new indebtedness under the fixed charge coverage ratio will be limited for the foreseeable future, we will continue to be permitted to incur indebtedness for the purpose of refinancing existing indebtedness and for other permitted purposes under the indentures.</w:t>
      </w:r>
    </w:p>
    <w:p>
      <w:pPr>
        <w:spacing w:after="0" w:line="13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March 2012 Secured Credit Facilities and February 2013 Secured Credit Facility are collectively defined as the "Secured Credit Facilities." Our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we are required to maintain collateral coverage of 1.25x outstanding borrowings. In addition, for so long as we maintain our qualification as a REIT, the Secured Credit Facilities permit us to distribute 100% of our REIT taxable income on an annual basis and the February 2013 Secured Credit Facility permits us to distribute to our shareholders real estate assets, or interests therein, having an aggregate equity value not to exceed $200 million, so long as such assets are not collateral for the February 2013 Secured Credit Facility. We may not pay common dividends if we cease to qualify as a REIT (except that the February 2013 Secured Credit Facility permits us to distribute certain real estate assets as described in the preceding sentence).</w:t>
      </w:r>
    </w:p>
    <w:p>
      <w:pPr>
        <w:spacing w:after="0" w:line="13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Secured Credit Facilities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Derivatives</w:t>
      </w:r>
      <w:r>
        <w:rPr>
          <w:rFonts w:ascii="Arial" w:cs="Arial" w:eastAsia="Arial" w:hAnsi="Arial"/>
          <w:sz w:val="18"/>
          <w:szCs w:val="18"/>
          <w:color w:val="auto"/>
        </w:rPr>
        <w:t>—Our use of derivative financial instruments is primarily limited to the utilization of interest rate hedges or other instruments to manage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rate risk exposure and foreign currency hedges to manage our risk to changes in foreign currencies. The principal objectives of such hedges are to minimize the risks and/or costs associated with our operating and financial structure and to manage our exposure to interest rate and foreign currency movements (see Note 10 of the Notes to the Consolidated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Off-Balance Sheet Arrangements</w:t>
      </w:r>
      <w:r>
        <w:rPr>
          <w:rFonts w:ascii="Arial" w:cs="Arial" w:eastAsia="Arial" w:hAnsi="Arial"/>
          <w:sz w:val="18"/>
          <w:szCs w:val="18"/>
          <w:color w:val="auto"/>
        </w:rPr>
        <w:t>—We are not dependent on the use of any off-balance sheet financing arrangements for liquidity.</w:t>
      </w:r>
    </w:p>
    <w:p>
      <w:pPr>
        <w:spacing w:after="0" w:line="18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b w:val="1"/>
          <w:bCs w:val="1"/>
          <w:i w:val="1"/>
          <w:iCs w:val="1"/>
          <w:color w:val="auto"/>
        </w:rPr>
        <w:t>Unfunded Commitments</w:t>
      </w:r>
      <w:r>
        <w:rPr>
          <w:rFonts w:ascii="Arial" w:cs="Arial" w:eastAsia="Arial" w:hAnsi="Arial"/>
          <w:sz w:val="17"/>
          <w:szCs w:val="17"/>
          <w:color w:val="auto"/>
        </w:rPr>
        <w:t>—We generally fund construction and development loans and build-outs of space in net lease assets over a period of time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September 30, 2013,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ind w:left="20"/>
              <w:spacing w:after="0"/>
              <w:rPr>
                <w:sz w:val="20"/>
                <w:szCs w:val="20"/>
                <w:color w:val="auto"/>
              </w:rPr>
            </w:pPr>
            <w:r>
              <w:rPr>
                <w:rFonts w:ascii="Arial" w:cs="Arial" w:eastAsia="Arial" w:hAnsi="Arial"/>
                <w:sz w:val="14"/>
                <w:szCs w:val="14"/>
                <w:b w:val="1"/>
                <w:bCs w:val="1"/>
                <w:color w:val="auto"/>
              </w:rPr>
              <w:t>Loans and Other Lending</w:t>
            </w:r>
          </w:p>
        </w:tc>
        <w:tc>
          <w:tcPr>
            <w:tcW w:w="360" w:type="dxa"/>
            <w:vAlign w:val="bottom"/>
          </w:tcPr>
          <w:p>
            <w:pPr>
              <w:spacing w:after="0"/>
              <w:rPr>
                <w:sz w:val="14"/>
                <w:szCs w:val="14"/>
                <w:color w:val="auto"/>
              </w:rPr>
            </w:pPr>
          </w:p>
        </w:tc>
        <w:tc>
          <w:tcPr>
            <w:tcW w:w="156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Real Estate</w:t>
            </w:r>
          </w:p>
        </w:tc>
        <w:tc>
          <w:tcPr>
            <w:tcW w:w="10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Arial" w:cs="Arial" w:eastAsia="Arial" w:hAnsi="Arial"/>
                <w:sz w:val="14"/>
                <w:szCs w:val="14"/>
                <w:b w:val="1"/>
                <w:bCs w:val="1"/>
                <w:color w:val="auto"/>
              </w:rPr>
              <w:t>Strategic</w:t>
            </w:r>
          </w:p>
        </w:tc>
        <w:tc>
          <w:tcPr>
            <w:tcW w:w="460" w:type="dxa"/>
            <w:vAlign w:val="bottom"/>
          </w:tcPr>
          <w:p>
            <w:pPr>
              <w:spacing w:after="0"/>
              <w:rPr>
                <w:sz w:val="14"/>
                <w:szCs w:val="14"/>
                <w:color w:val="auto"/>
              </w:rPr>
            </w:pPr>
          </w:p>
        </w:tc>
        <w:tc>
          <w:tcPr>
            <w:tcW w:w="1460" w:type="dxa"/>
            <w:vAlign w:val="bottom"/>
            <w:vMerge w:val="restart"/>
          </w:tcPr>
          <w:p>
            <w:pPr>
              <w:jc w:val="right"/>
              <w:ind w:right="7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Commitments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38,745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85,101</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Discretionary Fundings</w:t>
            </w:r>
          </w:p>
        </w:tc>
        <w:tc>
          <w:tcPr>
            <w:tcW w:w="14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Strategic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46,927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46,927</w:t>
            </w:r>
          </w:p>
        </w:tc>
        <w:tc>
          <w:tcPr>
            <w:tcW w:w="0" w:type="dxa"/>
            <w:vAlign w:val="bottom"/>
          </w:tcPr>
          <w:p>
            <w:pPr>
              <w:spacing w:after="0"/>
              <w:rPr>
                <w:sz w:val="1"/>
                <w:szCs w:val="1"/>
                <w:color w:val="auto"/>
              </w:rPr>
            </w:pPr>
          </w:p>
        </w:tc>
      </w:tr>
      <w:tr>
        <w:trPr>
          <w:trHeight w:val="257"/>
        </w:trPr>
        <w:tc>
          <w:tcPr>
            <w:tcW w:w="328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38,745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46,356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46,927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132,028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b w:val="1"/>
          <w:bCs w:val="1"/>
          <w:i w:val="1"/>
          <w:iCs w:val="1"/>
          <w:color w:val="auto"/>
        </w:rPr>
        <w:t>Transactions with Related Parties</w:t>
      </w:r>
      <w:r>
        <w:rPr>
          <w:rFonts w:ascii="Arial" w:cs="Arial" w:eastAsia="Arial" w:hAnsi="Arial"/>
          <w:sz w:val="18"/>
          <w:szCs w:val="18"/>
          <w:color w:val="auto"/>
        </w:rPr>
        <w:t>—We had an equity interest of approximately 24% in LNR Property Corporation ("LNR") and two of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served on LNR's board of managers. We sold this interest in April 2013 for $220.3 million in net proceeds.</w:t>
      </w:r>
    </w:p>
    <w:p>
      <w:pPr>
        <w:spacing w:after="0" w:line="13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b w:val="1"/>
          <w:bCs w:val="1"/>
          <w:i w:val="1"/>
          <w:iCs w:val="1"/>
          <w:color w:val="auto"/>
        </w:rPr>
        <w:t>Stock Repurchase Program</w:t>
      </w:r>
      <w:r>
        <w:rPr>
          <w:rFonts w:ascii="Arial" w:cs="Arial" w:eastAsia="Arial" w:hAnsi="Arial"/>
          <w:sz w:val="17"/>
          <w:szCs w:val="17"/>
          <w:color w:val="auto"/>
        </w:rPr>
        <w:t>—In September 2013, the Company's Board of Directors approved an increase in the repurchase limit of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stock repurchase program, which authorizes the Company's repurchase of its Common Stock in open market and privately negotiated purchases, including pursuant to one or more trading plans. The authorization raised the repurchase limit to $50.0 million from the $16.0 million that remained from the previously approved program. There were no stock repurchases during the nine months ended September 30, 2013.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corporate and industry experience and various other assumptions that we believe to be appropriate under the circumstances.</w:t>
      </w:r>
    </w:p>
    <w:p>
      <w:pPr>
        <w:spacing w:after="0" w:line="11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 summary of our critical accounting estimates is included in our Annual Report on Form 10-K for the year ended December 31, 2012 in Management's Discussion and Analysis of Financial Condition. There have been no significant changes to our critical accounting estimates as of September 30, 2013.</w:t>
      </w:r>
    </w:p>
    <w:p>
      <w:pPr>
        <w:spacing w:after="0" w:line="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New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see Note 3 of the Notes to the Consolidated Financial Statements.</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have been no material changes in Quantitative and Qualitative Disclosures About Market Risk for the first nine months of 2013 as compared to the disclosures included in our Annual Report on Form 10-K for the year ended December 31, 2012. See discussion of quantitative and qualitative disclosures about market risk under Item 7a—"Quantitative and Qualitative Disclosures about Market Risk," included in our Annual Report on Form 10-K for the year ended December 31, 2012.</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materiality of information and determining the disclosure obligations of the Company on a timely basis. The disclosure committee reports directly to the Company's Chief Executive Officer and Chief Financial Officer.</w:t>
      </w:r>
    </w:p>
    <w:p>
      <w:pPr>
        <w:spacing w:after="0" w:line="13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3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its business as a finance and investment company focused on the commercial real estate industry, including loan foreclosure and foreclosure related proceedings.</w:t>
      </w:r>
    </w:p>
    <w:p>
      <w:pPr>
        <w:spacing w:after="0" w:line="1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Company's Annual Report on Form 10-K for the fiscal year ended December 31, 2012.</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20"/>
          </w:cols>
          <w:pgMar w:left="240" w:top="118" w:right="239" w:bottom="1440" w:gutter="0" w:footer="0" w:header="0"/>
        </w:sectPr>
      </w:pPr>
    </w:p>
    <w:p>
      <w:pPr>
        <w:spacing w:after="0" w:line="38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jc w:val="center"/>
        <w:ind w:right="4180"/>
        <w:spacing w:after="0"/>
        <w:rPr>
          <w:sz w:val="20"/>
          <w:szCs w:val="20"/>
          <w:color w:val="auto"/>
        </w:rPr>
      </w:pPr>
      <w:r>
        <w:rPr>
          <w:rFonts w:ascii="Arial" w:cs="Arial" w:eastAsia="Arial" w:hAnsi="Arial"/>
          <w:sz w:val="16"/>
          <w:szCs w:val="16"/>
          <w:b w:val="1"/>
          <w:bCs w:val="1"/>
          <w:color w:val="auto"/>
        </w:rPr>
        <w:t>Document Description</w:t>
      </w:r>
    </w:p>
    <w:p>
      <w:pPr>
        <w:spacing w:after="0" w:line="90" w:lineRule="exact"/>
        <w:rPr>
          <w:sz w:val="20"/>
          <w:szCs w:val="20"/>
          <w:color w:val="auto"/>
        </w:rPr>
      </w:pPr>
    </w:p>
    <w:p>
      <w:pPr>
        <w:sectPr>
          <w:pgSz w:w="11900" w:h="16838" w:orient="portrait"/>
          <w:cols w:equalWidth="0" w:num="2">
            <w:col w:w="4780" w:space="720"/>
            <w:col w:w="5920"/>
          </w:cols>
          <w:pgMar w:left="240" w:top="118" w:right="239" w:bottom="1440" w:gutter="0" w:footer="0" w:header="0"/>
          <w:type w:val="continuous"/>
        </w:sectPr>
      </w:pPr>
    </w:p>
    <w:p>
      <w:pPr>
        <w:ind w:left="1180"/>
        <w:spacing w:after="0"/>
        <w:rPr>
          <w:sz w:val="20"/>
          <w:szCs w:val="20"/>
          <w:color w:val="auto"/>
        </w:rPr>
      </w:pPr>
      <w:r>
        <w:rPr>
          <w:rFonts w:ascii="Arial" w:cs="Arial" w:eastAsia="Arial" w:hAnsi="Arial"/>
          <w:sz w:val="18"/>
          <w:szCs w:val="18"/>
          <w:color w:val="auto"/>
        </w:rPr>
        <w:t>31.1  Certifications pursuant to Section 302 of the Sarbanes-Oxley Act</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32.1  Certifications pursuant to Section 906 of the Sarbanes-Oxley Act.</w:t>
      </w:r>
    </w:p>
    <w:p>
      <w:pPr>
        <w:spacing w:after="0" w:line="63" w:lineRule="exact"/>
        <w:rPr>
          <w:sz w:val="20"/>
          <w:szCs w:val="20"/>
          <w:color w:val="auto"/>
        </w:rPr>
      </w:pPr>
    </w:p>
    <w:p>
      <w:pPr>
        <w:ind w:left="1620" w:right="360" w:hanging="396"/>
        <w:spacing w:after="0" w:line="291" w:lineRule="auto"/>
        <w:tabs>
          <w:tab w:leader="none" w:pos="1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period ended September 30, 2013 is formatted in XBRL ("eXtensible Business Reporting Language"): (i) the Consolidated Balance Sheets (unaudited) as of September 30, 2013 and December 31, 2012, (ii) the Consolidated Statements of Operations (unaudited) for the three and nine months ended September 30, 2013 and 2012, (iii) the Consolidated Statements of Comprehensive Income (Loss) (unaudited) for the three and nine months ended September 30, 2013 and 2012, (iv) the Consolidated Statement of Changes in Equity (unaudited) for the nine months ended September 30, 2013, (v) the Consolidated Statements of Cash Flows (unaudited) for the nine months ended September 30, 2013 and 2012 and (vi) the Notes to the Consolidated Financial Statements (unaudited).*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312" w:lineRule="auto"/>
        <w:tabs>
          <w:tab w:leader="none" w:pos="6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9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November 6, 2013</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760" w:val="left"/>
        </w:tabs>
        <w:rPr>
          <w:sz w:val="20"/>
          <w:szCs w:val="20"/>
          <w:color w:val="auto"/>
        </w:rPr>
      </w:pPr>
      <w:r>
        <w:rPr>
          <w:rFonts w:ascii="Arial" w:cs="Arial" w:eastAsia="Arial" w:hAnsi="Arial"/>
          <w:sz w:val="18"/>
          <w:szCs w:val="18"/>
          <w:color w:val="auto"/>
        </w:rPr>
        <w:t>Date: November 6, 2013</w:t>
      </w:r>
      <w:r>
        <w:rPr>
          <w:sz w:val="20"/>
          <w:szCs w:val="20"/>
          <w:color w:val="auto"/>
        </w:rPr>
        <w:tab/>
      </w:r>
      <w:r>
        <w:rPr>
          <w:rFonts w:ascii="Arial" w:cs="Arial" w:eastAsia="Arial" w:hAnsi="Arial"/>
          <w:sz w:val="17"/>
          <w:szCs w:val="17"/>
          <w:color w:val="auto"/>
        </w:rPr>
        <w:t>/s/ DAVID M. DISTASO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David M. DiStaso</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Chief Financial Officer (principal financial and</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18" w:right="2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right="300" w:firstLine="316"/>
        <w:spacing w:after="0" w:line="264" w:lineRule="auto"/>
        <w:tabs>
          <w:tab w:leader="none" w:pos="90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560" w:firstLine="316"/>
        <w:spacing w:after="0" w:line="264" w:lineRule="auto"/>
        <w:tabs>
          <w:tab w:leader="none" w:pos="91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840" w:firstLine="316"/>
        <w:spacing w:after="0" w:line="342" w:lineRule="auto"/>
        <w:tabs>
          <w:tab w:leader="none" w:pos="909"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340" w:right="100" w:firstLine="316"/>
        <w:spacing w:after="0" w:line="264" w:lineRule="auto"/>
        <w:tabs>
          <w:tab w:leader="none" w:pos="91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right="200" w:firstLine="316"/>
        <w:spacing w:after="0" w:line="277" w:lineRule="auto"/>
        <w:tabs>
          <w:tab w:leader="none" w:pos="90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180" w:firstLine="316"/>
        <w:spacing w:after="0" w:line="277" w:lineRule="auto"/>
        <w:tabs>
          <w:tab w:leader="none" w:pos="91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6, 2013</w:t>
            </w:r>
          </w:p>
        </w:tc>
        <w:tc>
          <w:tcPr>
            <w:tcW w:w="7560" w:type="dxa"/>
            <w:vAlign w:val="bottom"/>
            <w:gridSpan w:val="3"/>
          </w:tcPr>
          <w:p>
            <w:pPr>
              <w:ind w:left="1900"/>
              <w:spacing w:after="0"/>
              <w:rPr>
                <w:sz w:val="20"/>
                <w:szCs w:val="20"/>
                <w:color w:val="auto"/>
              </w:rPr>
            </w:pPr>
            <w:r>
              <w:rPr>
                <w:rFonts w:ascii="Arial" w:cs="Arial" w:eastAsia="Arial" w:hAnsi="Arial"/>
                <w:sz w:val="18"/>
                <w:szCs w:val="18"/>
                <w:color w:val="auto"/>
              </w:rPr>
              <w:t>By:    /s/ JAY SUGARMAN</w:t>
            </w: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8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202"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DiStaso, certify that:</w:t>
      </w:r>
    </w:p>
    <w:p>
      <w:pPr>
        <w:spacing w:after="0" w:line="171" w:lineRule="exact"/>
        <w:rPr>
          <w:sz w:val="20"/>
          <w:szCs w:val="20"/>
          <w:color w:val="auto"/>
        </w:rPr>
      </w:pPr>
    </w:p>
    <w:p>
      <w:pPr>
        <w:ind w:left="520" w:hanging="188"/>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right="300" w:firstLine="316"/>
        <w:spacing w:after="0" w:line="264" w:lineRule="auto"/>
        <w:tabs>
          <w:tab w:leader="none" w:pos="90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560" w:firstLine="316"/>
        <w:spacing w:after="0" w:line="264" w:lineRule="auto"/>
        <w:tabs>
          <w:tab w:leader="none" w:pos="91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840" w:firstLine="316"/>
        <w:spacing w:after="0" w:line="342" w:lineRule="auto"/>
        <w:tabs>
          <w:tab w:leader="none" w:pos="909"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340" w:right="100" w:firstLine="316"/>
        <w:spacing w:after="0" w:line="264" w:lineRule="auto"/>
        <w:tabs>
          <w:tab w:leader="none" w:pos="91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right="200" w:firstLine="316"/>
        <w:spacing w:after="0" w:line="277" w:lineRule="auto"/>
        <w:tabs>
          <w:tab w:leader="none" w:pos="90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180" w:firstLine="316"/>
        <w:spacing w:after="0" w:line="277" w:lineRule="auto"/>
        <w:tabs>
          <w:tab w:leader="none" w:pos="91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6, 2013</w:t>
            </w:r>
          </w:p>
        </w:tc>
        <w:tc>
          <w:tcPr>
            <w:tcW w:w="7560" w:type="dxa"/>
            <w:vAlign w:val="bottom"/>
            <w:gridSpan w:val="3"/>
          </w:tcPr>
          <w:p>
            <w:pPr>
              <w:ind w:left="1900"/>
              <w:spacing w:after="0"/>
              <w:rPr>
                <w:sz w:val="20"/>
                <w:szCs w:val="20"/>
                <w:color w:val="auto"/>
              </w:rPr>
            </w:pPr>
            <w:r>
              <w:rPr>
                <w:rFonts w:ascii="Arial" w:cs="Arial" w:eastAsia="Arial" w:hAnsi="Arial"/>
                <w:sz w:val="18"/>
                <w:szCs w:val="18"/>
                <w:color w:val="auto"/>
              </w:rPr>
              <w:t>By:    /s/ DAVID M. DISTASO</w:t>
            </w: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M. DiStaso</w:t>
            </w:r>
          </w:p>
        </w:tc>
      </w:tr>
      <w:tr>
        <w:trPr>
          <w:trHeight w:val="164"/>
        </w:trPr>
        <w:tc>
          <w:tcPr>
            <w:tcW w:w="3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0" w:type="dxa"/>
            <w:vAlign w:val="bottom"/>
          </w:tcPr>
          <w:p>
            <w:pPr>
              <w:ind w:left="220"/>
              <w:spacing w:after="0" w:line="163" w:lineRule="exact"/>
              <w:rPr>
                <w:sz w:val="20"/>
                <w:szCs w:val="20"/>
                <w:color w:val="auto"/>
              </w:rPr>
            </w:pPr>
            <w:r>
              <w:rPr>
                <w:rFonts w:ascii="Arial" w:cs="Arial" w:eastAsia="Arial" w:hAnsi="Arial"/>
                <w:sz w:val="18"/>
                <w:szCs w:val="18"/>
                <w:i w:val="1"/>
                <w:iCs w:val="1"/>
                <w:color w:val="auto"/>
              </w:rPr>
              <w:t>Chief Financial Officer (principal</w:t>
            </w:r>
          </w:p>
        </w:tc>
      </w:tr>
    </w:tbl>
    <w:p>
      <w:pPr>
        <w:spacing w:after="0" w:line="1"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620" w:type="dxa"/>
            <w:vAlign w:val="bottom"/>
            <w:vMerge w:val="restart"/>
          </w:tcPr>
          <w:p>
            <w:pPr>
              <w:ind w:left="260"/>
              <w:spacing w:after="0"/>
              <w:rPr>
                <w:sz w:val="20"/>
                <w:szCs w:val="20"/>
                <w:color w:val="auto"/>
              </w:rPr>
            </w:pPr>
            <w:r>
              <w:rPr>
                <w:rFonts w:ascii="Arial" w:cs="Arial" w:eastAsia="Arial" w:hAnsi="Arial"/>
                <w:sz w:val="18"/>
                <w:szCs w:val="18"/>
                <w:i w:val="1"/>
                <w:iCs w:val="1"/>
                <w:color w:val="auto"/>
                <w:w w:val="92"/>
              </w:rPr>
              <w:t>financial and accounting officer)</w:t>
            </w:r>
          </w:p>
        </w:tc>
        <w:tc>
          <w:tcPr>
            <w:tcW w:w="0" w:type="dxa"/>
            <w:vAlign w:val="bottom"/>
          </w:tcPr>
          <w:p>
            <w:pPr>
              <w:spacing w:after="0"/>
              <w:rPr>
                <w:sz w:val="1"/>
                <w:szCs w:val="1"/>
                <w:color w:val="auto"/>
              </w:rPr>
            </w:pPr>
          </w:p>
        </w:tc>
      </w:tr>
      <w:tr>
        <w:trPr>
          <w:trHeight w:val="92"/>
        </w:trPr>
        <w:tc>
          <w:tcPr>
            <w:tcW w:w="66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02"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 as adopted pursuant to Section 906 of The Sarbanes-Oxley Act of 2002, that the Quarterly Report on Form 10-Q for the quarter ended September 30, 2013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6, 2013</w:t>
            </w:r>
          </w:p>
        </w:tc>
        <w:tc>
          <w:tcPr>
            <w:tcW w:w="7560" w:type="dxa"/>
            <w:vAlign w:val="bottom"/>
            <w:gridSpan w:val="3"/>
          </w:tcPr>
          <w:p>
            <w:pPr>
              <w:ind w:left="1900"/>
              <w:spacing w:after="0"/>
              <w:rPr>
                <w:sz w:val="20"/>
                <w:szCs w:val="20"/>
                <w:color w:val="auto"/>
              </w:rPr>
            </w:pPr>
            <w:r>
              <w:rPr>
                <w:rFonts w:ascii="Arial" w:cs="Arial" w:eastAsia="Arial" w:hAnsi="Arial"/>
                <w:sz w:val="18"/>
                <w:szCs w:val="18"/>
                <w:color w:val="auto"/>
              </w:rPr>
              <w:t>By:    /s/ JAY SUGARMAN</w:t>
            </w: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8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202"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undersigned, the principal financial officer of iStar Financial Inc. (the "Company"), hereby certifies on the date hereof, pursuant to 18 U.S.C. 1350, as adopted pursuant to Section 906 of The Sarbanes-Oxley Act of 2002, that the Quarterly Report on Form 10-Q for the quarter ended September 30, 2013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6, 2013</w:t>
            </w:r>
          </w:p>
        </w:tc>
        <w:tc>
          <w:tcPr>
            <w:tcW w:w="7560" w:type="dxa"/>
            <w:vAlign w:val="bottom"/>
            <w:gridSpan w:val="3"/>
          </w:tcPr>
          <w:p>
            <w:pPr>
              <w:ind w:left="1900"/>
              <w:spacing w:after="0"/>
              <w:rPr>
                <w:sz w:val="20"/>
                <w:szCs w:val="20"/>
                <w:color w:val="auto"/>
              </w:rPr>
            </w:pPr>
            <w:r>
              <w:rPr>
                <w:rFonts w:ascii="Arial" w:cs="Arial" w:eastAsia="Arial" w:hAnsi="Arial"/>
                <w:sz w:val="18"/>
                <w:szCs w:val="18"/>
                <w:color w:val="auto"/>
              </w:rPr>
              <w:t>By:    /s/ DAVID M. DISTASO</w:t>
            </w:r>
          </w:p>
        </w:tc>
      </w:tr>
      <w:tr>
        <w:trPr>
          <w:trHeight w:val="27"/>
        </w:trPr>
        <w:tc>
          <w:tcPr>
            <w:tcW w:w="3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M. DiStaso</w:t>
            </w:r>
          </w:p>
        </w:tc>
      </w:tr>
      <w:tr>
        <w:trPr>
          <w:trHeight w:val="164"/>
        </w:trPr>
        <w:tc>
          <w:tcPr>
            <w:tcW w:w="3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0" w:type="dxa"/>
            <w:vAlign w:val="bottom"/>
          </w:tcPr>
          <w:p>
            <w:pPr>
              <w:ind w:left="220"/>
              <w:spacing w:after="0" w:line="164" w:lineRule="exact"/>
              <w:rPr>
                <w:sz w:val="20"/>
                <w:szCs w:val="20"/>
                <w:color w:val="auto"/>
              </w:rPr>
            </w:pPr>
            <w:r>
              <w:rPr>
                <w:rFonts w:ascii="Arial" w:cs="Arial" w:eastAsia="Arial" w:hAnsi="Arial"/>
                <w:sz w:val="18"/>
                <w:szCs w:val="18"/>
                <w:i w:val="1"/>
                <w:iCs w:val="1"/>
                <w:color w:val="auto"/>
              </w:rPr>
              <w:t>Chief Financial Officer (principal</w:t>
            </w:r>
          </w:p>
        </w:tc>
      </w:tr>
    </w:tbl>
    <w:p>
      <w:pPr>
        <w:spacing w:after="0" w:line="1"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2620" w:type="dxa"/>
            <w:vAlign w:val="bottom"/>
            <w:vMerge w:val="restart"/>
          </w:tcPr>
          <w:p>
            <w:pPr>
              <w:ind w:left="260"/>
              <w:spacing w:after="0"/>
              <w:rPr>
                <w:sz w:val="20"/>
                <w:szCs w:val="20"/>
                <w:color w:val="auto"/>
              </w:rPr>
            </w:pPr>
            <w:r>
              <w:rPr>
                <w:rFonts w:ascii="Arial" w:cs="Arial" w:eastAsia="Arial" w:hAnsi="Arial"/>
                <w:sz w:val="18"/>
                <w:szCs w:val="18"/>
                <w:i w:val="1"/>
                <w:iCs w:val="1"/>
                <w:color w:val="auto"/>
                <w:w w:val="92"/>
              </w:rPr>
              <w:t>financial and accounting officer)</w:t>
            </w:r>
          </w:p>
        </w:tc>
        <w:tc>
          <w:tcPr>
            <w:tcW w:w="0" w:type="dxa"/>
            <w:vAlign w:val="bottom"/>
          </w:tcPr>
          <w:p>
            <w:pPr>
              <w:spacing w:after="0"/>
              <w:rPr>
                <w:sz w:val="1"/>
                <w:szCs w:val="1"/>
                <w:color w:val="auto"/>
              </w:rPr>
            </w:pPr>
          </w:p>
        </w:tc>
      </w:tr>
      <w:tr>
        <w:trPr>
          <w:trHeight w:val="92"/>
        </w:trPr>
        <w:tc>
          <w:tcPr>
            <w:tcW w:w="660" w:type="dxa"/>
            <w:vAlign w:val="bottom"/>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0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2019-12-06T23:30:25Z</dcterms:created>
  <dcterms:modified xsi:type="dcterms:W3CDTF">2019-12-06T23:30:25Z</dcterms:modified>
</cp:coreProperties>
</file>