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246620" cy="774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77470"/>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 w:lineRule="exact"/>
        <w:rPr>
          <w:sz w:val="24"/>
          <w:szCs w:val="24"/>
          <w:color w:val="auto"/>
        </w:rPr>
      </w:pPr>
    </w:p>
    <w:p>
      <w:pPr>
        <w:ind w:left="288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1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319" w:lineRule="exact"/>
        <w:rPr>
          <w:sz w:val="24"/>
          <w:szCs w:val="24"/>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54" w:lineRule="exact"/>
        <w:rPr>
          <w:sz w:val="24"/>
          <w:szCs w:val="24"/>
          <w:color w:val="auto"/>
        </w:rPr>
      </w:pPr>
    </w:p>
    <w:p>
      <w:pPr>
        <w:ind w:left="1500" w:right="2940" w:hanging="850"/>
        <w:spacing w:after="0" w:line="260" w:lineRule="auto"/>
        <w:tabs>
          <w:tab w:leader="none" w:pos="150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2013</w:t>
      </w:r>
    </w:p>
    <w:p>
      <w:pPr>
        <w:spacing w:after="0" w:line="63"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4" w:lineRule="exact"/>
        <w:rPr>
          <w:sz w:val="24"/>
          <w:szCs w:val="24"/>
          <w:color w:val="auto"/>
        </w:rPr>
      </w:pPr>
    </w:p>
    <w:p>
      <w:pPr>
        <w:ind w:left="1500" w:right="2940" w:hanging="810"/>
        <w:spacing w:after="0" w:line="260" w:lineRule="auto"/>
        <w:tabs>
          <w:tab w:leader="none" w:pos="150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 w:lineRule="exact"/>
        <w:rPr>
          <w:sz w:val="24"/>
          <w:szCs w:val="24"/>
          <w:color w:val="auto"/>
        </w:rPr>
      </w:pPr>
    </w:p>
    <w:p>
      <w:pPr>
        <w:ind w:left="2800"/>
        <w:spacing w:after="0"/>
        <w:tabs>
          <w:tab w:leader="none" w:pos="5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No. 1-15371</w:t>
      </w:r>
    </w:p>
    <w:p>
      <w:pPr>
        <w:spacing w:after="0" w:line="144" w:lineRule="exact"/>
        <w:rPr>
          <w:sz w:val="24"/>
          <w:szCs w:val="24"/>
          <w:color w:val="auto"/>
        </w:rPr>
      </w:pPr>
    </w:p>
    <w:p>
      <w:pPr>
        <w:ind w:left="288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1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iSTAR FINANCIAL INC.</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82" w:lineRule="exact"/>
        <w:rPr>
          <w:sz w:val="24"/>
          <w:szCs w:val="24"/>
          <w:color w:val="auto"/>
        </w:rPr>
      </w:pPr>
    </w:p>
    <w:tbl>
      <w:tblPr>
        <w:tblLayout w:type="fixed"/>
        <w:tblInd w:w="1220" w:type="dxa"/>
        <w:tblCellMar>
          <w:top w:w="0" w:type="dxa"/>
          <w:left w:w="0" w:type="dxa"/>
          <w:bottom w:w="0" w:type="dxa"/>
          <w:right w:w="0" w:type="dxa"/>
        </w:tblCellMar>
      </w:tblPr>
      <w:tr>
        <w:trPr>
          <w:trHeight w:val="220"/>
        </w:trPr>
        <w:tc>
          <w:tcPr>
            <w:tcW w:w="4840" w:type="dxa"/>
            <w:vAlign w:val="bottom"/>
          </w:tcPr>
          <w:p>
            <w:pPr>
              <w:jc w:val="center"/>
              <w:ind w:right="1690"/>
              <w:spacing w:after="0"/>
              <w:rPr>
                <w:sz w:val="20"/>
                <w:szCs w:val="20"/>
                <w:color w:val="auto"/>
              </w:rPr>
            </w:pPr>
            <w:r>
              <w:rPr>
                <w:rFonts w:ascii="Times New Roman" w:cs="Times New Roman" w:eastAsia="Times New Roman" w:hAnsi="Times New Roman"/>
                <w:sz w:val="18"/>
                <w:szCs w:val="18"/>
                <w:b w:val="1"/>
                <w:bCs w:val="1"/>
                <w:color w:val="auto"/>
              </w:rPr>
              <w:t>Maryland</w:t>
            </w:r>
          </w:p>
        </w:tc>
        <w:tc>
          <w:tcPr>
            <w:tcW w:w="34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95-6881527</w:t>
            </w:r>
          </w:p>
        </w:tc>
      </w:tr>
      <w:tr>
        <w:trPr>
          <w:trHeight w:val="216"/>
        </w:trPr>
        <w:tc>
          <w:tcPr>
            <w:tcW w:w="4840" w:type="dxa"/>
            <w:vAlign w:val="bottom"/>
          </w:tcPr>
          <w:p>
            <w:pPr>
              <w:jc w:val="center"/>
              <w:ind w:right="169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3460" w:type="dxa"/>
            <w:vAlign w:val="bottom"/>
          </w:tcPr>
          <w:p>
            <w:pPr>
              <w:jc w:val="center"/>
              <w:ind w:left="171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840" w:type="dxa"/>
            <w:vAlign w:val="bottom"/>
          </w:tcPr>
          <w:p>
            <w:pPr>
              <w:jc w:val="center"/>
              <w:ind w:right="169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3460" w:type="dxa"/>
            <w:vAlign w:val="bottom"/>
          </w:tcPr>
          <w:p>
            <w:pPr>
              <w:jc w:val="center"/>
              <w:ind w:left="1710"/>
              <w:spacing w:after="0"/>
              <w:rPr>
                <w:sz w:val="20"/>
                <w:szCs w:val="20"/>
                <w:color w:val="auto"/>
              </w:rPr>
            </w:pPr>
            <w:r>
              <w:rPr>
                <w:rFonts w:ascii="Times New Roman" w:cs="Times New Roman" w:eastAsia="Times New Roman" w:hAnsi="Times New Roman"/>
                <w:sz w:val="18"/>
                <w:szCs w:val="18"/>
                <w:color w:val="auto"/>
                <w:w w:val="99"/>
              </w:rPr>
              <w:t>Identification Number)</w:t>
            </w:r>
          </w:p>
        </w:tc>
      </w:tr>
      <w:tr>
        <w:trPr>
          <w:trHeight w:val="270"/>
        </w:trPr>
        <w:tc>
          <w:tcPr>
            <w:tcW w:w="4840" w:type="dxa"/>
            <w:vAlign w:val="bottom"/>
          </w:tcPr>
          <w:p>
            <w:pPr>
              <w:jc w:val="center"/>
              <w:ind w:right="1690"/>
              <w:spacing w:after="0"/>
              <w:rPr>
                <w:sz w:val="20"/>
                <w:szCs w:val="20"/>
                <w:color w:val="auto"/>
              </w:rPr>
            </w:pPr>
            <w:r>
              <w:rPr>
                <w:rFonts w:ascii="Times New Roman" w:cs="Times New Roman" w:eastAsia="Times New Roman" w:hAnsi="Times New Roman"/>
                <w:sz w:val="18"/>
                <w:szCs w:val="18"/>
                <w:b w:val="1"/>
                <w:bCs w:val="1"/>
                <w:color w:val="auto"/>
                <w:w w:val="98"/>
              </w:rPr>
              <w:t>1114 Avenue of the Americas, 39</w:t>
            </w:r>
            <w:r>
              <w:rPr>
                <w:rFonts w:ascii="Times New Roman" w:cs="Times New Roman" w:eastAsia="Times New Roman" w:hAnsi="Times New Roman"/>
                <w:sz w:val="14"/>
                <w:szCs w:val="14"/>
                <w:b w:val="1"/>
                <w:bCs w:val="1"/>
                <w:color w:val="auto"/>
                <w:w w:val="98"/>
              </w:rPr>
              <w:t>th</w:t>
            </w:r>
            <w:r>
              <w:rPr>
                <w:rFonts w:ascii="Times New Roman" w:cs="Times New Roman" w:eastAsia="Times New Roman" w:hAnsi="Times New Roman"/>
                <w:sz w:val="18"/>
                <w:szCs w:val="18"/>
                <w:b w:val="1"/>
                <w:bCs w:val="1"/>
                <w:color w:val="auto"/>
                <w:w w:val="98"/>
              </w:rPr>
              <w:t xml:space="preserve"> Floor</w:t>
            </w:r>
          </w:p>
        </w:tc>
        <w:tc>
          <w:tcPr>
            <w:tcW w:w="3460" w:type="dxa"/>
            <w:vAlign w:val="bottom"/>
          </w:tcPr>
          <w:p>
            <w:pPr>
              <w:spacing w:after="0"/>
              <w:rPr>
                <w:sz w:val="23"/>
                <w:szCs w:val="23"/>
                <w:color w:val="auto"/>
              </w:rPr>
            </w:pPr>
          </w:p>
        </w:tc>
      </w:tr>
      <w:tr>
        <w:trPr>
          <w:trHeight w:val="252"/>
        </w:trPr>
        <w:tc>
          <w:tcPr>
            <w:tcW w:w="4840" w:type="dxa"/>
            <w:vAlign w:val="bottom"/>
          </w:tcPr>
          <w:p>
            <w:pPr>
              <w:jc w:val="center"/>
              <w:ind w:right="1690"/>
              <w:spacing w:after="0"/>
              <w:rPr>
                <w:sz w:val="20"/>
                <w:szCs w:val="20"/>
                <w:color w:val="auto"/>
              </w:rPr>
            </w:pPr>
            <w:r>
              <w:rPr>
                <w:rFonts w:ascii="Times New Roman" w:cs="Times New Roman" w:eastAsia="Times New Roman" w:hAnsi="Times New Roman"/>
                <w:sz w:val="18"/>
                <w:szCs w:val="18"/>
                <w:b w:val="1"/>
                <w:bCs w:val="1"/>
                <w:color w:val="auto"/>
                <w:w w:val="96"/>
              </w:rPr>
              <w:t>New York, NY</w:t>
            </w:r>
          </w:p>
        </w:tc>
        <w:tc>
          <w:tcPr>
            <w:tcW w:w="346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10036</w:t>
            </w:r>
          </w:p>
        </w:tc>
      </w:tr>
      <w:tr>
        <w:trPr>
          <w:trHeight w:val="234"/>
        </w:trPr>
        <w:tc>
          <w:tcPr>
            <w:tcW w:w="4840" w:type="dxa"/>
            <w:vAlign w:val="bottom"/>
          </w:tcPr>
          <w:p>
            <w:pPr>
              <w:jc w:val="center"/>
              <w:ind w:right="169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460" w:type="dxa"/>
            <w:vAlign w:val="bottom"/>
          </w:tcPr>
          <w:p>
            <w:pPr>
              <w:jc w:val="center"/>
              <w:ind w:left="16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(212) 930-9400</w:t>
      </w:r>
    </w:p>
    <w:p>
      <w:pPr>
        <w:spacing w:after="0" w:line="63" w:lineRule="exact"/>
        <w:rPr>
          <w:sz w:val="24"/>
          <w:szCs w:val="24"/>
          <w:color w:val="auto"/>
        </w:rPr>
      </w:pPr>
    </w:p>
    <w:p>
      <w:pPr>
        <w:ind w:left="288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222" w:lineRule="exact"/>
        <w:rPr>
          <w:sz w:val="24"/>
          <w:szCs w:val="24"/>
          <w:color w:val="auto"/>
        </w:rPr>
      </w:pPr>
    </w:p>
    <w:p>
      <w:pPr>
        <w:jc w:val="both"/>
        <w:ind w:firstLine="432"/>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 has filed all reports required to be filed by Section 13 or 15(d) of the Securities Exchange Act of 1934 during the preceding twelve months (or for such shorter period that the registrant was required to file such reports); and (ii)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o</w:t>
      </w:r>
    </w:p>
    <w:p>
      <w:pPr>
        <w:spacing w:after="0" w:line="233" w:lineRule="exact"/>
        <w:rPr>
          <w:sz w:val="24"/>
          <w:szCs w:val="24"/>
          <w:color w:val="auto"/>
        </w:rPr>
      </w:pPr>
    </w:p>
    <w:p>
      <w:pPr>
        <w:jc w:val="both"/>
        <w:ind w:firstLine="432"/>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o</w:t>
      </w:r>
    </w:p>
    <w:p>
      <w:pPr>
        <w:spacing w:after="0" w:line="233"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See definitions of "large accelerated filer," "accelerated filer," and "smaller reporting company" in Rule 12b-2 of the Exchange Act.</w:t>
      </w:r>
    </w:p>
    <w:p>
      <w:pPr>
        <w:sectPr>
          <w:pgSz w:w="11900" w:h="16838" w:orient="portrait"/>
          <w:cols w:equalWidth="0" w:num="1">
            <w:col w:w="11420"/>
          </w:cols>
          <w:pgMar w:left="240" w:top="223" w:right="239" w:bottom="1440" w:gutter="0" w:footer="0" w:header="0"/>
        </w:sectPr>
      </w:pPr>
    </w:p>
    <w:p>
      <w:pPr>
        <w:spacing w:after="0" w:line="259" w:lineRule="exact"/>
        <w:rPr>
          <w:sz w:val="24"/>
          <w:szCs w:val="24"/>
          <w:color w:val="auto"/>
        </w:rPr>
      </w:pPr>
    </w:p>
    <w:p>
      <w:pPr>
        <w:ind w:left="46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Accelerated filer o</w:t>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Non-accelerated filer o</w:t>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Smaller reporting company o</w:t>
      </w:r>
    </w:p>
    <w:p>
      <w:pPr>
        <w:spacing w:after="0" w:line="58" w:lineRule="exact"/>
        <w:rPr>
          <w:sz w:val="24"/>
          <w:szCs w:val="24"/>
          <w:color w:val="auto"/>
        </w:rPr>
      </w:pPr>
    </w:p>
    <w:p>
      <w:pPr>
        <w:sectPr>
          <w:pgSz w:w="11900" w:h="16838" w:orient="portrait"/>
          <w:cols w:equalWidth="0" w:num="4">
            <w:col w:w="2680" w:space="720"/>
            <w:col w:w="1820" w:space="720"/>
            <w:col w:w="2120" w:space="720"/>
            <w:col w:w="2640"/>
          </w:cols>
          <w:pgMar w:left="240" w:top="223" w:right="239" w:bottom="1440" w:gutter="0" w:footer="0" w:header="0"/>
          <w:type w:val="continuous"/>
        </w:sectPr>
      </w:pPr>
    </w:p>
    <w:p>
      <w:pPr>
        <w:ind w:left="6260"/>
        <w:spacing w:after="0"/>
        <w:rPr>
          <w:sz w:val="20"/>
          <w:szCs w:val="20"/>
          <w:color w:val="auto"/>
        </w:rPr>
      </w:pPr>
      <w:r>
        <w:rPr>
          <w:rFonts w:ascii="Times New Roman" w:cs="Times New Roman" w:eastAsia="Times New Roman" w:hAnsi="Times New Roman"/>
          <w:sz w:val="14"/>
          <w:szCs w:val="14"/>
          <w:color w:val="auto"/>
        </w:rPr>
        <w:t>(Do not check if a</w:t>
      </w:r>
    </w:p>
    <w:p>
      <w:pPr>
        <w:spacing w:after="0" w:line="25" w:lineRule="exact"/>
        <w:rPr>
          <w:sz w:val="24"/>
          <w:szCs w:val="24"/>
          <w:color w:val="auto"/>
        </w:rPr>
      </w:pPr>
    </w:p>
    <w:p>
      <w:pPr>
        <w:ind w:left="5960"/>
        <w:spacing w:after="0"/>
        <w:rPr>
          <w:sz w:val="20"/>
          <w:szCs w:val="20"/>
          <w:color w:val="auto"/>
        </w:rPr>
      </w:pPr>
      <w:r>
        <w:rPr>
          <w:rFonts w:ascii="Times New Roman" w:cs="Times New Roman" w:eastAsia="Times New Roman" w:hAnsi="Times New Roman"/>
          <w:sz w:val="14"/>
          <w:szCs w:val="14"/>
          <w:color w:val="auto"/>
        </w:rPr>
        <w:t>smaller reporting company)</w:t>
      </w:r>
    </w:p>
    <w:p>
      <w:pPr>
        <w:sectPr>
          <w:pgSz w:w="11900" w:h="16838" w:orient="portrait"/>
          <w:cols w:equalWidth="0" w:num="1">
            <w:col w:w="11420"/>
          </w:cols>
          <w:pgMar w:left="240" w:top="223" w:right="239" w:bottom="1440" w:gutter="0" w:footer="0" w:header="0"/>
          <w:type w:val="continuous"/>
        </w:sectPr>
      </w:pPr>
    </w:p>
    <w:p>
      <w:pPr>
        <w:spacing w:after="0" w:line="141"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7"/>
          <w:szCs w:val="17"/>
          <w:color w:val="auto"/>
        </w:rPr>
        <w:t>Indicate by check mark whether the registrant is a shell company (as defined in Rule 12b-2 of the Act). Yes o</w:t>
      </w:r>
    </w:p>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p>
      <w:pPr>
        <w:spacing w:after="0" w:line="228" w:lineRule="exact"/>
        <w:rPr>
          <w:sz w:val="24"/>
          <w:szCs w:val="24"/>
          <w:color w:val="auto"/>
        </w:rPr>
      </w:pPr>
    </w:p>
    <w:p>
      <w:pPr>
        <w:sectPr>
          <w:pgSz w:w="11900" w:h="16838" w:orient="portrait"/>
          <w:cols w:equalWidth="0" w:num="2">
            <w:col w:w="8300" w:space="180"/>
            <w:col w:w="2940"/>
          </w:cols>
          <w:pgMar w:left="240" w:top="223" w:right="239" w:bottom="1440" w:gutter="0" w:footer="0" w:header="0"/>
          <w:type w:val="continuous"/>
        </w:sectPr>
      </w:pPr>
    </w:p>
    <w:p>
      <w:pPr>
        <w:spacing w:after="0" w:line="91" w:lineRule="exact"/>
        <w:rPr>
          <w:sz w:val="24"/>
          <w:szCs w:val="24"/>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As of May 3, 2013, there were 85,053,521 shares of Common Stock outstanding, $0.001 par value per share, of iStar Financial Inc.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246620" cy="774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77470"/>
                    </a:xfrm>
                    <a:prstGeom prst="rect">
                      <a:avLst/>
                    </a:prstGeom>
                    <a:noFill/>
                  </pic:spPr>
                </pic:pic>
              </a:graphicData>
            </a:graphic>
          </wp:anchor>
        </w:drawing>
      </w:r>
    </w:p>
    <w:p>
      <w:pPr>
        <w:sectPr>
          <w:pgSz w:w="11900" w:h="16838" w:orient="portrait"/>
          <w:cols w:equalWidth="0" w:num="1">
            <w:col w:w="11420"/>
          </w:cols>
          <w:pgMar w:left="240" w:top="223" w:right="2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4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iStar Financial Inc.</w:t>
      </w:r>
    </w:p>
    <w:p>
      <w:pPr>
        <w:spacing w:after="0" w:line="144"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Index to Form 10-Q</w:t>
      </w:r>
    </w:p>
    <w:p>
      <w:pPr>
        <w:spacing w:after="0" w:line="371"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6"/>
        </w:trPr>
        <w:tc>
          <w:tcPr>
            <w:tcW w:w="500" w:type="dxa"/>
            <w:vAlign w:val="bottom"/>
            <w:tcBorders>
              <w:bottom w:val="single" w:sz="8" w:color="0000FF"/>
            </w:tcBorders>
          </w:tcPr>
          <w:p>
            <w:pPr>
              <w:spacing w:after="0" w:line="170" w:lineRule="exact"/>
              <w:rPr>
                <w:rFonts w:ascii="Times New Roman" w:cs="Times New Roman" w:eastAsia="Times New Roman" w:hAnsi="Times New Roman"/>
                <w:sz w:val="18"/>
                <w:szCs w:val="18"/>
                <w:b w:val="1"/>
                <w:bCs w:val="1"/>
                <w:color w:val="0000FF"/>
                <w:w w:val="95"/>
              </w:rPr>
            </w:pPr>
            <w:hyperlink w:anchor="page2">
              <w:r>
                <w:rPr>
                  <w:rFonts w:ascii="Times New Roman" w:cs="Times New Roman" w:eastAsia="Times New Roman" w:hAnsi="Times New Roman"/>
                  <w:sz w:val="18"/>
                  <w:szCs w:val="18"/>
                  <w:b w:val="1"/>
                  <w:bCs w:val="1"/>
                  <w:color w:val="0000FF"/>
                  <w:w w:val="95"/>
                </w:rPr>
                <w:t>Part I.</w:t>
              </w:r>
            </w:hyperlink>
          </w:p>
        </w:tc>
        <w:tc>
          <w:tcPr>
            <w:tcW w:w="660" w:type="dxa"/>
            <w:vAlign w:val="bottom"/>
            <w:gridSpan w:val="3"/>
          </w:tcPr>
          <w:p>
            <w:pPr>
              <w:spacing w:after="0"/>
              <w:rPr>
                <w:sz w:val="17"/>
                <w:szCs w:val="17"/>
                <w:color w:val="auto"/>
              </w:rPr>
            </w:pPr>
          </w:p>
        </w:tc>
        <w:tc>
          <w:tcPr>
            <w:tcW w:w="4000" w:type="dxa"/>
            <w:vAlign w:val="bottom"/>
            <w:tcBorders>
              <w:bottom w:val="single" w:sz="8" w:color="0000FF"/>
            </w:tcBorders>
            <w:gridSpan w:val="9"/>
          </w:tcPr>
          <w:p>
            <w:pPr>
              <w:spacing w:after="0" w:line="170" w:lineRule="exact"/>
              <w:rPr>
                <w:rFonts w:ascii="Times New Roman" w:cs="Times New Roman" w:eastAsia="Times New Roman" w:hAnsi="Times New Roman"/>
                <w:sz w:val="18"/>
                <w:szCs w:val="18"/>
                <w:color w:val="0000FF"/>
              </w:rPr>
            </w:pPr>
            <w:hyperlink w:anchor="page2">
              <w:r>
                <w:rPr>
                  <w:rFonts w:ascii="Times New Roman" w:cs="Times New Roman" w:eastAsia="Times New Roman" w:hAnsi="Times New Roman"/>
                  <w:sz w:val="18"/>
                  <w:szCs w:val="18"/>
                  <w:color w:val="0000FF"/>
                </w:rPr>
                <w:t>Consolidated Financial Information</w:t>
              </w:r>
            </w:hyperlink>
          </w:p>
        </w:tc>
        <w:tc>
          <w:tcPr>
            <w:tcW w:w="5540" w:type="dxa"/>
            <w:vAlign w:val="bottom"/>
            <w:gridSpan w:val="8"/>
          </w:tcPr>
          <w:p>
            <w:pPr>
              <w:spacing w:after="0"/>
              <w:rPr>
                <w:sz w:val="17"/>
                <w:szCs w:val="17"/>
                <w:color w:val="auto"/>
              </w:rPr>
            </w:pPr>
          </w:p>
        </w:tc>
        <w:tc>
          <w:tcPr>
            <w:tcW w:w="56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line="170" w:lineRule="exact"/>
              <w:rPr>
                <w:rFonts w:ascii="Times New Roman" w:cs="Times New Roman" w:eastAsia="Times New Roman" w:hAnsi="Times New Roman"/>
                <w:sz w:val="18"/>
                <w:szCs w:val="18"/>
                <w:color w:val="0000FF"/>
                <w:w w:val="88"/>
              </w:rPr>
            </w:pPr>
            <w:hyperlink w:anchor="page2">
              <w:r>
                <w:rPr>
                  <w:rFonts w:ascii="Times New Roman" w:cs="Times New Roman" w:eastAsia="Times New Roman" w:hAnsi="Times New Roman"/>
                  <w:sz w:val="18"/>
                  <w:szCs w:val="18"/>
                  <w:color w:val="0000FF"/>
                  <w:w w:val="88"/>
                </w:rPr>
                <w:t>2</w:t>
              </w:r>
            </w:hyperlink>
          </w:p>
        </w:tc>
        <w:tc>
          <w:tcPr>
            <w:tcW w:w="20" w:type="dxa"/>
            <w:vAlign w:val="bottom"/>
          </w:tcPr>
          <w:p>
            <w:pPr>
              <w:spacing w:after="0"/>
              <w:rPr>
                <w:sz w:val="17"/>
                <w:szCs w:val="17"/>
                <w:color w:val="auto"/>
              </w:rPr>
            </w:pPr>
          </w:p>
        </w:tc>
      </w:tr>
      <w:tr>
        <w:trPr>
          <w:trHeight w:val="257"/>
        </w:trPr>
        <w:tc>
          <w:tcPr>
            <w:tcW w:w="11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w:t>
            </w:r>
          </w:p>
        </w:tc>
        <w:tc>
          <w:tcPr>
            <w:tcW w:w="9540" w:type="dxa"/>
            <w:vAlign w:val="bottom"/>
            <w:gridSpan w:val="17"/>
          </w:tcPr>
          <w:p>
            <w:pPr>
              <w:spacing w:after="0"/>
              <w:rPr>
                <w:rFonts w:ascii="Times New Roman" w:cs="Times New Roman" w:eastAsia="Times New Roman" w:hAnsi="Times New Roman"/>
                <w:sz w:val="18"/>
                <w:szCs w:val="18"/>
                <w:color w:val="0000FF"/>
              </w:rPr>
            </w:pPr>
            <w:hyperlink w:anchor="page3">
              <w:r>
                <w:rPr>
                  <w:rFonts w:ascii="Times New Roman" w:cs="Times New Roman" w:eastAsia="Times New Roman" w:hAnsi="Times New Roman"/>
                  <w:sz w:val="18"/>
                  <w:szCs w:val="18"/>
                  <w:color w:val="0000FF"/>
                </w:rPr>
                <w:t>Financial Statements:</w:t>
              </w:r>
            </w:hyperlink>
          </w:p>
        </w:tc>
        <w:tc>
          <w:tcPr>
            <w:tcW w:w="68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3">
              <w:r>
                <w:rPr>
                  <w:rFonts w:ascii="Times New Roman" w:cs="Times New Roman" w:eastAsia="Times New Roman" w:hAnsi="Times New Roman"/>
                  <w:sz w:val="18"/>
                  <w:szCs w:val="18"/>
                  <w:color w:val="0000FF"/>
                </w:rPr>
                <w:t>2</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30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w w:val="99"/>
              </w:rPr>
            </w:pPr>
            <w:hyperlink w:anchor="page3">
              <w:r>
                <w:rPr>
                  <w:rFonts w:ascii="Times New Roman" w:cs="Times New Roman" w:eastAsia="Times New Roman" w:hAnsi="Times New Roman"/>
                  <w:sz w:val="18"/>
                  <w:szCs w:val="18"/>
                  <w:color w:val="0000FF"/>
                  <w:w w:val="99"/>
                </w:rPr>
                <w:t>Consolidated Balance Sheets (unaudited) as of March 31, 2013 and December 31, 2012</w:t>
              </w:r>
            </w:hyperlink>
          </w:p>
        </w:tc>
        <w:tc>
          <w:tcPr>
            <w:tcW w:w="3240" w:type="dxa"/>
            <w:vAlign w:val="bottom"/>
            <w:gridSpan w:val="6"/>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Times New Roman" w:cs="Times New Roman" w:eastAsia="Times New Roman" w:hAnsi="Times New Roman"/>
                <w:sz w:val="18"/>
                <w:szCs w:val="18"/>
                <w:color w:val="0000FF"/>
                <w:w w:val="88"/>
              </w:rPr>
            </w:pPr>
            <w:hyperlink w:anchor="page3">
              <w:r>
                <w:rPr>
                  <w:rFonts w:ascii="Times New Roman" w:cs="Times New Roman" w:eastAsia="Times New Roman" w:hAnsi="Times New Roman"/>
                  <w:sz w:val="18"/>
                  <w:szCs w:val="18"/>
                  <w:color w:val="0000FF"/>
                  <w:w w:val="88"/>
                </w:rPr>
                <w:t>2</w:t>
              </w:r>
            </w:hyperlink>
          </w:p>
        </w:tc>
        <w:tc>
          <w:tcPr>
            <w:tcW w:w="20" w:type="dxa"/>
            <w:vAlign w:val="bottom"/>
          </w:tcPr>
          <w:p>
            <w:pPr>
              <w:spacing w:after="0"/>
              <w:rPr>
                <w:sz w:val="21"/>
                <w:szCs w:val="21"/>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540" w:type="dxa"/>
            <w:vAlign w:val="bottom"/>
            <w:gridSpan w:val="17"/>
          </w:tcPr>
          <w:p>
            <w:pPr>
              <w:spacing w:after="0"/>
              <w:rPr>
                <w:rFonts w:ascii="Times New Roman" w:cs="Times New Roman" w:eastAsia="Times New Roman" w:hAnsi="Times New Roman"/>
                <w:sz w:val="18"/>
                <w:szCs w:val="18"/>
                <w:color w:val="0000FF"/>
              </w:rPr>
            </w:pPr>
            <w:hyperlink w:anchor="page3">
              <w:r>
                <w:rPr>
                  <w:rFonts w:ascii="Times New Roman" w:cs="Times New Roman" w:eastAsia="Times New Roman" w:hAnsi="Times New Roman"/>
                  <w:sz w:val="18"/>
                  <w:szCs w:val="18"/>
                  <w:color w:val="0000FF"/>
                </w:rPr>
                <w:t>Consolidated Statements of Operations (unaudited)—For the three months ended March 31, 2013 and 2012</w:t>
              </w:r>
            </w:hyperlink>
          </w:p>
        </w:tc>
        <w:tc>
          <w:tcPr>
            <w:tcW w:w="68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3">
              <w:r>
                <w:rPr>
                  <w:rFonts w:ascii="Times New Roman" w:cs="Times New Roman" w:eastAsia="Times New Roman" w:hAnsi="Times New Roman"/>
                  <w:sz w:val="18"/>
                  <w:szCs w:val="18"/>
                  <w:color w:val="0000FF"/>
                </w:rPr>
                <w:t>3</w:t>
              </w:r>
            </w:hyperlink>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80" w:type="dxa"/>
            <w:vAlign w:val="bottom"/>
            <w:tcBorders>
              <w:left w:val="single" w:sz="8" w:color="0000FF"/>
            </w:tcBorders>
            <w:gridSpan w:val="2"/>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16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w w:val="99"/>
              </w:rPr>
            </w:pPr>
            <w:hyperlink w:anchor="page5">
              <w:r>
                <w:rPr>
                  <w:rFonts w:ascii="Times New Roman" w:cs="Times New Roman" w:eastAsia="Times New Roman" w:hAnsi="Times New Roman"/>
                  <w:sz w:val="18"/>
                  <w:szCs w:val="18"/>
                  <w:color w:val="0000FF"/>
                  <w:w w:val="99"/>
                </w:rPr>
                <w:t>Consolidated Statements of Comprehensive Income (Loss) (unaudited)—For the three months ended March 31, 2013 and 2012</w:t>
              </w:r>
            </w:hyperlink>
          </w:p>
        </w:tc>
        <w:tc>
          <w:tcPr>
            <w:tcW w:w="380" w:type="dxa"/>
            <w:vAlign w:val="bottom"/>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Times New Roman" w:cs="Times New Roman" w:eastAsia="Times New Roman" w:hAnsi="Times New Roman"/>
                <w:sz w:val="18"/>
                <w:szCs w:val="18"/>
                <w:color w:val="0000FF"/>
                <w:w w:val="88"/>
              </w:rPr>
            </w:pPr>
            <w:hyperlink w:anchor="page5">
              <w:r>
                <w:rPr>
                  <w:rFonts w:ascii="Times New Roman" w:cs="Times New Roman" w:eastAsia="Times New Roman" w:hAnsi="Times New Roman"/>
                  <w:sz w:val="18"/>
                  <w:szCs w:val="18"/>
                  <w:color w:val="0000FF"/>
                  <w:w w:val="88"/>
                </w:rPr>
                <w:t>4</w:t>
              </w:r>
            </w:hyperlink>
          </w:p>
        </w:tc>
        <w:tc>
          <w:tcPr>
            <w:tcW w:w="20" w:type="dxa"/>
            <w:vAlign w:val="bottom"/>
          </w:tcPr>
          <w:p>
            <w:pPr>
              <w:spacing w:after="0"/>
              <w:rPr>
                <w:sz w:val="21"/>
                <w:szCs w:val="21"/>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540" w:type="dxa"/>
            <w:vAlign w:val="bottom"/>
            <w:gridSpan w:val="17"/>
          </w:tcPr>
          <w:p>
            <w:pPr>
              <w:spacing w:after="0"/>
              <w:rPr>
                <w:rFonts w:ascii="Times New Roman" w:cs="Times New Roman" w:eastAsia="Times New Roman" w:hAnsi="Times New Roman"/>
                <w:sz w:val="18"/>
                <w:szCs w:val="18"/>
                <w:color w:val="0000FF"/>
              </w:rPr>
            </w:pPr>
            <w:hyperlink w:anchor="page6">
              <w:r>
                <w:rPr>
                  <w:rFonts w:ascii="Times New Roman" w:cs="Times New Roman" w:eastAsia="Times New Roman" w:hAnsi="Times New Roman"/>
                  <w:sz w:val="18"/>
                  <w:szCs w:val="18"/>
                  <w:color w:val="0000FF"/>
                </w:rPr>
                <w:t>Consolidated Statement of Changes in Equity (unaudited)—For the three months ended March 31, 2013</w:t>
              </w:r>
            </w:hyperlink>
          </w:p>
        </w:tc>
        <w:tc>
          <w:tcPr>
            <w:tcW w:w="68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6">
              <w:r>
                <w:rPr>
                  <w:rFonts w:ascii="Times New Roman" w:cs="Times New Roman" w:eastAsia="Times New Roman" w:hAnsi="Times New Roman"/>
                  <w:sz w:val="18"/>
                  <w:szCs w:val="18"/>
                  <w:color w:val="0000FF"/>
                </w:rPr>
                <w:t>5</w:t>
              </w:r>
            </w:hyperlink>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80" w:type="dxa"/>
            <w:vAlign w:val="bottom"/>
            <w:tcBorders>
              <w:left w:val="single" w:sz="8" w:color="0000FF"/>
            </w:tcBorders>
            <w:gridSpan w:val="2"/>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78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9"/>
              </w:rPr>
            </w:pPr>
            <w:hyperlink w:anchor="page7">
              <w:r>
                <w:rPr>
                  <w:rFonts w:ascii="Times New Roman" w:cs="Times New Roman" w:eastAsia="Times New Roman" w:hAnsi="Times New Roman"/>
                  <w:sz w:val="18"/>
                  <w:szCs w:val="18"/>
                  <w:color w:val="0000FF"/>
                  <w:w w:val="99"/>
                </w:rPr>
                <w:t>Consolidated Statements of Cash Flows (unaudited)—For the three months ended March 31, 2013 and 2012</w:t>
              </w:r>
            </w:hyperlink>
          </w:p>
        </w:tc>
        <w:tc>
          <w:tcPr>
            <w:tcW w:w="1760" w:type="dxa"/>
            <w:vAlign w:val="bottom"/>
            <w:gridSpan w:val="2"/>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Times New Roman" w:cs="Times New Roman" w:eastAsia="Times New Roman" w:hAnsi="Times New Roman"/>
                <w:sz w:val="18"/>
                <w:szCs w:val="18"/>
                <w:color w:val="0000FF"/>
                <w:w w:val="88"/>
              </w:rPr>
            </w:pPr>
            <w:hyperlink w:anchor="page7">
              <w:r>
                <w:rPr>
                  <w:rFonts w:ascii="Times New Roman" w:cs="Times New Roman" w:eastAsia="Times New Roman" w:hAnsi="Times New Roman"/>
                  <w:sz w:val="18"/>
                  <w:szCs w:val="18"/>
                  <w:color w:val="0000FF"/>
                  <w:w w:val="88"/>
                </w:rPr>
                <w:t>6</w:t>
              </w:r>
            </w:hyperlink>
          </w:p>
        </w:tc>
        <w:tc>
          <w:tcPr>
            <w:tcW w:w="20" w:type="dxa"/>
            <w:vAlign w:val="bottom"/>
          </w:tcPr>
          <w:p>
            <w:pPr>
              <w:spacing w:after="0"/>
              <w:rPr>
                <w:sz w:val="21"/>
                <w:szCs w:val="21"/>
                <w:color w:val="auto"/>
              </w:rPr>
            </w:pPr>
          </w:p>
        </w:tc>
      </w:tr>
      <w:tr>
        <w:trPr>
          <w:trHeight w:val="250"/>
        </w:trPr>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540" w:type="dxa"/>
            <w:vAlign w:val="bottom"/>
            <w:gridSpan w:val="17"/>
          </w:tcPr>
          <w:p>
            <w:pPr>
              <w:spacing w:after="0"/>
              <w:rPr>
                <w:rFonts w:ascii="Times New Roman" w:cs="Times New Roman" w:eastAsia="Times New Roman" w:hAnsi="Times New Roman"/>
                <w:sz w:val="18"/>
                <w:szCs w:val="18"/>
                <w:color w:val="0000FF"/>
              </w:rPr>
            </w:pPr>
            <w:hyperlink w:anchor="page9">
              <w:r>
                <w:rPr>
                  <w:rFonts w:ascii="Times New Roman" w:cs="Times New Roman" w:eastAsia="Times New Roman" w:hAnsi="Times New Roman"/>
                  <w:sz w:val="18"/>
                  <w:szCs w:val="18"/>
                  <w:color w:val="0000FF"/>
                </w:rPr>
                <w:t>Notes to Consolidated Financial Statements (unaudited)</w:t>
              </w:r>
            </w:hyperlink>
          </w:p>
        </w:tc>
        <w:tc>
          <w:tcPr>
            <w:tcW w:w="68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9">
              <w:r>
                <w:rPr>
                  <w:rFonts w:ascii="Times New Roman" w:cs="Times New Roman" w:eastAsia="Times New Roman" w:hAnsi="Times New Roman"/>
                  <w:sz w:val="18"/>
                  <w:szCs w:val="18"/>
                  <w:color w:val="0000FF"/>
                </w:rPr>
                <w:t>7</w:t>
              </w:r>
            </w:hyperlink>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12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2.</w:t>
            </w:r>
          </w:p>
        </w:tc>
        <w:tc>
          <w:tcPr>
            <w:tcW w:w="9540" w:type="dxa"/>
            <w:vAlign w:val="bottom"/>
            <w:gridSpan w:val="17"/>
          </w:tcPr>
          <w:p>
            <w:pPr>
              <w:spacing w:after="0"/>
              <w:rPr>
                <w:rFonts w:ascii="Times New Roman" w:cs="Times New Roman" w:eastAsia="Times New Roman" w:hAnsi="Times New Roman"/>
                <w:sz w:val="18"/>
                <w:szCs w:val="18"/>
                <w:color w:val="0000FF"/>
              </w:rPr>
            </w:pPr>
            <w:hyperlink w:anchor="page39">
              <w:r>
                <w:rPr>
                  <w:rFonts w:ascii="Times New Roman" w:cs="Times New Roman" w:eastAsia="Times New Roman" w:hAnsi="Times New Roman"/>
                  <w:sz w:val="18"/>
                  <w:szCs w:val="18"/>
                  <w:color w:val="0000FF"/>
                </w:rPr>
                <w:t>Management's Discussion and Analysis of Financial Condition and Results of Operations</w:t>
              </w:r>
            </w:hyperlink>
          </w:p>
        </w:tc>
        <w:tc>
          <w:tcPr>
            <w:tcW w:w="68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39">
              <w:r>
                <w:rPr>
                  <w:rFonts w:ascii="Times New Roman" w:cs="Times New Roman" w:eastAsia="Times New Roman" w:hAnsi="Times New Roman"/>
                  <w:sz w:val="18"/>
                  <w:szCs w:val="18"/>
                  <w:color w:val="0000FF"/>
                </w:rPr>
                <w:t>36</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2080" w:type="dxa"/>
            <w:vAlign w:val="bottom"/>
            <w:tcBorders>
              <w:left w:val="single" w:sz="8" w:color="0000FF"/>
            </w:tcBorders>
            <w:gridSpan w:val="2"/>
            <w:shd w:val="clear" w:color="auto" w:fill="0000FF"/>
          </w:tcPr>
          <w:p>
            <w:pPr>
              <w:spacing w:after="0" w:line="20" w:lineRule="exact"/>
              <w:rPr>
                <w:sz w:val="1"/>
                <w:szCs w:val="1"/>
                <w:color w:val="auto"/>
              </w:rPr>
            </w:pPr>
          </w:p>
        </w:tc>
        <w:tc>
          <w:tcPr>
            <w:tcW w:w="312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3.</w:t>
            </w:r>
          </w:p>
        </w:tc>
        <w:tc>
          <w:tcPr>
            <w:tcW w:w="9540" w:type="dxa"/>
            <w:vAlign w:val="bottom"/>
            <w:gridSpan w:val="17"/>
          </w:tcPr>
          <w:p>
            <w:pPr>
              <w:spacing w:after="0"/>
              <w:rPr>
                <w:rFonts w:ascii="Times New Roman" w:cs="Times New Roman" w:eastAsia="Times New Roman" w:hAnsi="Times New Roman"/>
                <w:sz w:val="18"/>
                <w:szCs w:val="18"/>
                <w:color w:val="0000FF"/>
              </w:rPr>
            </w:pPr>
            <w:hyperlink w:anchor="page50">
              <w:r>
                <w:rPr>
                  <w:rFonts w:ascii="Times New Roman" w:cs="Times New Roman" w:eastAsia="Times New Roman" w:hAnsi="Times New Roman"/>
                  <w:sz w:val="18"/>
                  <w:szCs w:val="18"/>
                  <w:color w:val="0000FF"/>
                </w:rPr>
                <w:t>Quantitative and Qualitative Disclosures About Market Risk</w:t>
              </w:r>
            </w:hyperlink>
          </w:p>
        </w:tc>
        <w:tc>
          <w:tcPr>
            <w:tcW w:w="68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50">
              <w:r>
                <w:rPr>
                  <w:rFonts w:ascii="Times New Roman" w:cs="Times New Roman" w:eastAsia="Times New Roman" w:hAnsi="Times New Roman"/>
                  <w:sz w:val="18"/>
                  <w:szCs w:val="18"/>
                  <w:color w:val="0000FF"/>
                </w:rPr>
                <w:t>47</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5200" w:type="dxa"/>
            <w:vAlign w:val="bottom"/>
            <w:tcBorders>
              <w:left w:val="single" w:sz="8" w:color="0000FF"/>
            </w:tcBorders>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4.</w:t>
            </w:r>
          </w:p>
        </w:tc>
        <w:tc>
          <w:tcPr>
            <w:tcW w:w="9540" w:type="dxa"/>
            <w:vAlign w:val="bottom"/>
            <w:gridSpan w:val="17"/>
          </w:tcPr>
          <w:p>
            <w:pPr>
              <w:spacing w:after="0"/>
              <w:rPr>
                <w:rFonts w:ascii="Times New Roman" w:cs="Times New Roman" w:eastAsia="Times New Roman" w:hAnsi="Times New Roman"/>
                <w:sz w:val="18"/>
                <w:szCs w:val="18"/>
                <w:color w:val="0000FF"/>
              </w:rPr>
            </w:pPr>
            <w:hyperlink w:anchor="page50">
              <w:r>
                <w:rPr>
                  <w:rFonts w:ascii="Times New Roman" w:cs="Times New Roman" w:eastAsia="Times New Roman" w:hAnsi="Times New Roman"/>
                  <w:sz w:val="18"/>
                  <w:szCs w:val="18"/>
                  <w:color w:val="0000FF"/>
                </w:rPr>
                <w:t>Controls and Procedures</w:t>
              </w:r>
            </w:hyperlink>
          </w:p>
        </w:tc>
        <w:tc>
          <w:tcPr>
            <w:tcW w:w="68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50">
              <w:r>
                <w:rPr>
                  <w:rFonts w:ascii="Times New Roman" w:cs="Times New Roman" w:eastAsia="Times New Roman" w:hAnsi="Times New Roman"/>
                  <w:sz w:val="18"/>
                  <w:szCs w:val="18"/>
                  <w:color w:val="0000FF"/>
                </w:rPr>
                <w:t>47</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20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60" w:type="dxa"/>
            <w:vAlign w:val="bottom"/>
            <w:gridSpan w:val="4"/>
          </w:tcPr>
          <w:p>
            <w:pPr>
              <w:spacing w:after="0"/>
              <w:rPr>
                <w:rFonts w:ascii="Times New Roman" w:cs="Times New Roman" w:eastAsia="Times New Roman" w:hAnsi="Times New Roman"/>
                <w:sz w:val="18"/>
                <w:szCs w:val="18"/>
                <w:b w:val="1"/>
                <w:bCs w:val="1"/>
                <w:color w:val="0000FF"/>
              </w:rPr>
            </w:pPr>
            <w:hyperlink w:anchor="page51">
              <w:r>
                <w:rPr>
                  <w:rFonts w:ascii="Times New Roman" w:cs="Times New Roman" w:eastAsia="Times New Roman" w:hAnsi="Times New Roman"/>
                  <w:sz w:val="18"/>
                  <w:szCs w:val="18"/>
                  <w:b w:val="1"/>
                  <w:bCs w:val="1"/>
                  <w:color w:val="0000FF"/>
                </w:rPr>
                <w:t>Part II.</w:t>
              </w:r>
            </w:hyperlink>
          </w:p>
        </w:tc>
        <w:tc>
          <w:tcPr>
            <w:tcW w:w="9540" w:type="dxa"/>
            <w:vAlign w:val="bottom"/>
            <w:gridSpan w:val="17"/>
          </w:tcPr>
          <w:p>
            <w:pPr>
              <w:spacing w:after="0"/>
              <w:rPr>
                <w:rFonts w:ascii="Times New Roman" w:cs="Times New Roman" w:eastAsia="Times New Roman" w:hAnsi="Times New Roman"/>
                <w:sz w:val="18"/>
                <w:szCs w:val="18"/>
                <w:color w:val="0000FF"/>
              </w:rPr>
            </w:pPr>
            <w:hyperlink w:anchor="page51">
              <w:r>
                <w:rPr>
                  <w:rFonts w:ascii="Times New Roman" w:cs="Times New Roman" w:eastAsia="Times New Roman" w:hAnsi="Times New Roman"/>
                  <w:sz w:val="18"/>
                  <w:szCs w:val="18"/>
                  <w:color w:val="0000FF"/>
                </w:rPr>
                <w:t>Other Information</w:t>
              </w:r>
            </w:hyperlink>
          </w:p>
        </w:tc>
        <w:tc>
          <w:tcPr>
            <w:tcW w:w="68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51">
              <w:r>
                <w:rPr>
                  <w:rFonts w:ascii="Times New Roman" w:cs="Times New Roman" w:eastAsia="Times New Roman" w:hAnsi="Times New Roman"/>
                  <w:sz w:val="18"/>
                  <w:szCs w:val="18"/>
                  <w:color w:val="0000FF"/>
                </w:rPr>
                <w:t>48</w:t>
              </w:r>
            </w:hyperlink>
          </w:p>
        </w:tc>
      </w:tr>
      <w:tr>
        <w:trPr>
          <w:trHeight w:val="20"/>
        </w:trPr>
        <w:tc>
          <w:tcPr>
            <w:tcW w:w="56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20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1.</w:t>
            </w:r>
          </w:p>
        </w:tc>
        <w:tc>
          <w:tcPr>
            <w:tcW w:w="600" w:type="dxa"/>
            <w:vAlign w:val="bottom"/>
            <w:gridSpan w:val="2"/>
          </w:tcPr>
          <w:p>
            <w:pPr>
              <w:spacing w:after="0"/>
              <w:rPr>
                <w:sz w:val="21"/>
                <w:szCs w:val="21"/>
                <w:color w:val="auto"/>
              </w:rPr>
            </w:pPr>
          </w:p>
        </w:tc>
        <w:tc>
          <w:tcPr>
            <w:tcW w:w="9540" w:type="dxa"/>
            <w:vAlign w:val="bottom"/>
            <w:gridSpan w:val="17"/>
          </w:tcPr>
          <w:p>
            <w:pPr>
              <w:spacing w:after="0"/>
              <w:rPr>
                <w:rFonts w:ascii="Times New Roman" w:cs="Times New Roman" w:eastAsia="Times New Roman" w:hAnsi="Times New Roman"/>
                <w:sz w:val="18"/>
                <w:szCs w:val="18"/>
                <w:color w:val="0000FF"/>
              </w:rPr>
            </w:pPr>
            <w:hyperlink w:anchor="page51">
              <w:r>
                <w:rPr>
                  <w:rFonts w:ascii="Times New Roman" w:cs="Times New Roman" w:eastAsia="Times New Roman" w:hAnsi="Times New Roman"/>
                  <w:sz w:val="18"/>
                  <w:szCs w:val="18"/>
                  <w:color w:val="0000FF"/>
                </w:rPr>
                <w:t>Legal Proceedings</w:t>
              </w:r>
            </w:hyperlink>
          </w:p>
        </w:tc>
        <w:tc>
          <w:tcPr>
            <w:tcW w:w="68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51">
              <w:r>
                <w:rPr>
                  <w:rFonts w:ascii="Times New Roman" w:cs="Times New Roman" w:eastAsia="Times New Roman" w:hAnsi="Times New Roman"/>
                  <w:sz w:val="18"/>
                  <w:szCs w:val="18"/>
                  <w:color w:val="0000FF"/>
                </w:rPr>
                <w:t>48</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20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6"/>
              </w:rPr>
              <w:t>Item 1A.</w:t>
            </w:r>
          </w:p>
        </w:tc>
        <w:tc>
          <w:tcPr>
            <w:tcW w:w="520" w:type="dxa"/>
            <w:vAlign w:val="bottom"/>
          </w:tcPr>
          <w:p>
            <w:pPr>
              <w:spacing w:after="0"/>
              <w:rPr>
                <w:sz w:val="21"/>
                <w:szCs w:val="21"/>
                <w:color w:val="auto"/>
              </w:rPr>
            </w:pPr>
          </w:p>
        </w:tc>
        <w:tc>
          <w:tcPr>
            <w:tcW w:w="9540" w:type="dxa"/>
            <w:vAlign w:val="bottom"/>
            <w:gridSpan w:val="17"/>
          </w:tcPr>
          <w:p>
            <w:pPr>
              <w:spacing w:after="0"/>
              <w:rPr>
                <w:rFonts w:ascii="Times New Roman" w:cs="Times New Roman" w:eastAsia="Times New Roman" w:hAnsi="Times New Roman"/>
                <w:sz w:val="18"/>
                <w:szCs w:val="18"/>
                <w:color w:val="0000FF"/>
              </w:rPr>
            </w:pPr>
            <w:hyperlink w:anchor="page51">
              <w:r>
                <w:rPr>
                  <w:rFonts w:ascii="Times New Roman" w:cs="Times New Roman" w:eastAsia="Times New Roman" w:hAnsi="Times New Roman"/>
                  <w:sz w:val="18"/>
                  <w:szCs w:val="18"/>
                  <w:color w:val="0000FF"/>
                </w:rPr>
                <w:t>Risk Factors</w:t>
              </w:r>
            </w:hyperlink>
          </w:p>
        </w:tc>
        <w:tc>
          <w:tcPr>
            <w:tcW w:w="68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51">
              <w:r>
                <w:rPr>
                  <w:rFonts w:ascii="Times New Roman" w:cs="Times New Roman" w:eastAsia="Times New Roman" w:hAnsi="Times New Roman"/>
                  <w:sz w:val="18"/>
                  <w:szCs w:val="18"/>
                  <w:color w:val="0000FF"/>
                </w:rPr>
                <w:t>48</w:t>
              </w:r>
            </w:hyperlink>
          </w:p>
        </w:tc>
      </w:tr>
      <w:tr>
        <w:trPr>
          <w:trHeight w:val="20"/>
        </w:trPr>
        <w:tc>
          <w:tcPr>
            <w:tcW w:w="640" w:type="dxa"/>
            <w:vAlign w:val="bottom"/>
            <w:gridSpan w:val="3"/>
            <w:shd w:val="clear" w:color="auto" w:fill="0000FF"/>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20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2.</w:t>
            </w:r>
          </w:p>
        </w:tc>
        <w:tc>
          <w:tcPr>
            <w:tcW w:w="520" w:type="dxa"/>
            <w:vAlign w:val="bottom"/>
          </w:tcPr>
          <w:p>
            <w:pPr>
              <w:spacing w:after="0"/>
              <w:rPr>
                <w:sz w:val="21"/>
                <w:szCs w:val="21"/>
                <w:color w:val="auto"/>
              </w:rPr>
            </w:pPr>
          </w:p>
        </w:tc>
        <w:tc>
          <w:tcPr>
            <w:tcW w:w="9540" w:type="dxa"/>
            <w:vAlign w:val="bottom"/>
            <w:gridSpan w:val="17"/>
          </w:tcPr>
          <w:p>
            <w:pPr>
              <w:spacing w:after="0"/>
              <w:rPr>
                <w:rFonts w:ascii="Times New Roman" w:cs="Times New Roman" w:eastAsia="Times New Roman" w:hAnsi="Times New Roman"/>
                <w:sz w:val="18"/>
                <w:szCs w:val="18"/>
                <w:color w:val="0000FF"/>
              </w:rPr>
            </w:pPr>
            <w:hyperlink w:anchor="page51">
              <w:r>
                <w:rPr>
                  <w:rFonts w:ascii="Times New Roman" w:cs="Times New Roman" w:eastAsia="Times New Roman" w:hAnsi="Times New Roman"/>
                  <w:sz w:val="18"/>
                  <w:szCs w:val="18"/>
                  <w:color w:val="0000FF"/>
                </w:rPr>
                <w:t>Unregistered Sales of Equity Securities and Use of Proceeds</w:t>
              </w:r>
            </w:hyperlink>
          </w:p>
        </w:tc>
        <w:tc>
          <w:tcPr>
            <w:tcW w:w="68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51">
              <w:r>
                <w:rPr>
                  <w:rFonts w:ascii="Times New Roman" w:cs="Times New Roman" w:eastAsia="Times New Roman" w:hAnsi="Times New Roman"/>
                  <w:sz w:val="18"/>
                  <w:szCs w:val="18"/>
                  <w:color w:val="0000FF"/>
                </w:rPr>
                <w:t>48</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gridSpan w:val="3"/>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720" w:type="dxa"/>
            <w:vAlign w:val="bottom"/>
            <w:gridSpan w:val="6"/>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520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3.</w:t>
            </w:r>
          </w:p>
        </w:tc>
        <w:tc>
          <w:tcPr>
            <w:tcW w:w="9540" w:type="dxa"/>
            <w:vAlign w:val="bottom"/>
            <w:gridSpan w:val="17"/>
          </w:tcPr>
          <w:p>
            <w:pPr>
              <w:spacing w:after="0"/>
              <w:rPr>
                <w:rFonts w:ascii="Times New Roman" w:cs="Times New Roman" w:eastAsia="Times New Roman" w:hAnsi="Times New Roman"/>
                <w:sz w:val="18"/>
                <w:szCs w:val="18"/>
                <w:color w:val="0000FF"/>
              </w:rPr>
            </w:pPr>
            <w:hyperlink w:anchor="page51">
              <w:r>
                <w:rPr>
                  <w:rFonts w:ascii="Times New Roman" w:cs="Times New Roman" w:eastAsia="Times New Roman" w:hAnsi="Times New Roman"/>
                  <w:sz w:val="18"/>
                  <w:szCs w:val="18"/>
                  <w:color w:val="0000FF"/>
                </w:rPr>
                <w:t>Defaults Upon Senior Securities</w:t>
              </w:r>
            </w:hyperlink>
          </w:p>
        </w:tc>
        <w:tc>
          <w:tcPr>
            <w:tcW w:w="68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51">
              <w:r>
                <w:rPr>
                  <w:rFonts w:ascii="Times New Roman" w:cs="Times New Roman" w:eastAsia="Times New Roman" w:hAnsi="Times New Roman"/>
                  <w:sz w:val="18"/>
                  <w:szCs w:val="18"/>
                  <w:color w:val="0000FF"/>
                </w:rPr>
                <w:t>48</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gridSpan w:val="3"/>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720" w:type="dxa"/>
            <w:vAlign w:val="bottom"/>
            <w:gridSpan w:val="6"/>
            <w:shd w:val="clear" w:color="auto" w:fill="0000FF"/>
          </w:tcPr>
          <w:p>
            <w:pPr>
              <w:spacing w:after="0" w:line="20" w:lineRule="exact"/>
              <w:rPr>
                <w:sz w:val="1"/>
                <w:szCs w:val="1"/>
                <w:color w:val="auto"/>
              </w:rPr>
            </w:pPr>
          </w:p>
        </w:tc>
        <w:tc>
          <w:tcPr>
            <w:tcW w:w="7240" w:type="dxa"/>
            <w:vAlign w:val="bottom"/>
            <w:gridSpan w:val="1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4.</w:t>
            </w:r>
          </w:p>
        </w:tc>
        <w:tc>
          <w:tcPr>
            <w:tcW w:w="9540" w:type="dxa"/>
            <w:vAlign w:val="bottom"/>
            <w:gridSpan w:val="17"/>
          </w:tcPr>
          <w:p>
            <w:pPr>
              <w:spacing w:after="0"/>
              <w:rPr>
                <w:rFonts w:ascii="Times New Roman" w:cs="Times New Roman" w:eastAsia="Times New Roman" w:hAnsi="Times New Roman"/>
                <w:sz w:val="18"/>
                <w:szCs w:val="18"/>
                <w:color w:val="0000FF"/>
              </w:rPr>
            </w:pPr>
            <w:hyperlink w:anchor="page51">
              <w:r>
                <w:rPr>
                  <w:rFonts w:ascii="Times New Roman" w:cs="Times New Roman" w:eastAsia="Times New Roman" w:hAnsi="Times New Roman"/>
                  <w:sz w:val="18"/>
                  <w:szCs w:val="18"/>
                  <w:color w:val="0000FF"/>
                </w:rPr>
                <w:t>Mine Safety Disclosures</w:t>
              </w:r>
            </w:hyperlink>
          </w:p>
        </w:tc>
        <w:tc>
          <w:tcPr>
            <w:tcW w:w="68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51">
              <w:r>
                <w:rPr>
                  <w:rFonts w:ascii="Times New Roman" w:cs="Times New Roman" w:eastAsia="Times New Roman" w:hAnsi="Times New Roman"/>
                  <w:sz w:val="18"/>
                  <w:szCs w:val="18"/>
                  <w:color w:val="0000FF"/>
                </w:rPr>
                <w:t>48</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gridSpan w:val="3"/>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180" w:type="dxa"/>
            <w:vAlign w:val="bottom"/>
            <w:gridSpan w:val="5"/>
            <w:shd w:val="clear" w:color="auto" w:fill="0000FF"/>
          </w:tcPr>
          <w:p>
            <w:pPr>
              <w:spacing w:after="0" w:line="20" w:lineRule="exact"/>
              <w:rPr>
                <w:sz w:val="1"/>
                <w:szCs w:val="1"/>
                <w:color w:val="auto"/>
              </w:rPr>
            </w:pPr>
          </w:p>
        </w:tc>
        <w:tc>
          <w:tcPr>
            <w:tcW w:w="7780" w:type="dxa"/>
            <w:vAlign w:val="bottom"/>
            <w:gridSpan w:val="11"/>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5.</w:t>
            </w:r>
          </w:p>
        </w:tc>
        <w:tc>
          <w:tcPr>
            <w:tcW w:w="9540" w:type="dxa"/>
            <w:vAlign w:val="bottom"/>
            <w:gridSpan w:val="17"/>
          </w:tcPr>
          <w:p>
            <w:pPr>
              <w:spacing w:after="0"/>
              <w:rPr>
                <w:rFonts w:ascii="Times New Roman" w:cs="Times New Roman" w:eastAsia="Times New Roman" w:hAnsi="Times New Roman"/>
                <w:sz w:val="18"/>
                <w:szCs w:val="18"/>
                <w:color w:val="0000FF"/>
              </w:rPr>
            </w:pPr>
            <w:hyperlink w:anchor="page51">
              <w:r>
                <w:rPr>
                  <w:rFonts w:ascii="Times New Roman" w:cs="Times New Roman" w:eastAsia="Times New Roman" w:hAnsi="Times New Roman"/>
                  <w:sz w:val="18"/>
                  <w:szCs w:val="18"/>
                  <w:color w:val="0000FF"/>
                </w:rPr>
                <w:t>Other Information</w:t>
              </w:r>
            </w:hyperlink>
          </w:p>
        </w:tc>
        <w:tc>
          <w:tcPr>
            <w:tcW w:w="68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51">
              <w:r>
                <w:rPr>
                  <w:rFonts w:ascii="Times New Roman" w:cs="Times New Roman" w:eastAsia="Times New Roman" w:hAnsi="Times New Roman"/>
                  <w:sz w:val="18"/>
                  <w:szCs w:val="18"/>
                  <w:color w:val="0000FF"/>
                </w:rPr>
                <w:t>48</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gridSpan w:val="3"/>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240" w:type="dxa"/>
            <w:vAlign w:val="bottom"/>
            <w:gridSpan w:val="1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6.</w:t>
            </w:r>
          </w:p>
        </w:tc>
        <w:tc>
          <w:tcPr>
            <w:tcW w:w="9540" w:type="dxa"/>
            <w:vAlign w:val="bottom"/>
            <w:gridSpan w:val="17"/>
          </w:tcPr>
          <w:p>
            <w:pPr>
              <w:spacing w:after="0"/>
              <w:rPr>
                <w:rFonts w:ascii="Times New Roman" w:cs="Times New Roman" w:eastAsia="Times New Roman" w:hAnsi="Times New Roman"/>
                <w:sz w:val="18"/>
                <w:szCs w:val="18"/>
                <w:color w:val="0000FF"/>
              </w:rPr>
            </w:pPr>
            <w:hyperlink w:anchor="page52">
              <w:r>
                <w:rPr>
                  <w:rFonts w:ascii="Times New Roman" w:cs="Times New Roman" w:eastAsia="Times New Roman" w:hAnsi="Times New Roman"/>
                  <w:sz w:val="18"/>
                  <w:szCs w:val="18"/>
                  <w:color w:val="0000FF"/>
                </w:rPr>
                <w:t>Exhibits</w:t>
              </w:r>
            </w:hyperlink>
          </w:p>
        </w:tc>
        <w:tc>
          <w:tcPr>
            <w:tcW w:w="68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52">
              <w:r>
                <w:rPr>
                  <w:rFonts w:ascii="Times New Roman" w:cs="Times New Roman" w:eastAsia="Times New Roman" w:hAnsi="Times New Roman"/>
                  <w:sz w:val="18"/>
                  <w:szCs w:val="18"/>
                  <w:color w:val="0000FF"/>
                </w:rPr>
                <w:t>49</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gridSpan w:val="3"/>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960" w:type="dxa"/>
            <w:vAlign w:val="bottom"/>
            <w:gridSpan w:val="1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60" w:type="dxa"/>
            <w:vAlign w:val="bottom"/>
            <w:gridSpan w:val="4"/>
          </w:tcPr>
          <w:p>
            <w:pPr>
              <w:spacing w:after="0"/>
              <w:rPr>
                <w:rFonts w:ascii="Times New Roman" w:cs="Times New Roman" w:eastAsia="Times New Roman" w:hAnsi="Times New Roman"/>
                <w:sz w:val="18"/>
                <w:szCs w:val="18"/>
                <w:b w:val="1"/>
                <w:bCs w:val="1"/>
                <w:color w:val="0000FF"/>
                <w:w w:val="95"/>
              </w:rPr>
            </w:pPr>
            <w:hyperlink w:anchor="page53">
              <w:r>
                <w:rPr>
                  <w:rFonts w:ascii="Times New Roman" w:cs="Times New Roman" w:eastAsia="Times New Roman" w:hAnsi="Times New Roman"/>
                  <w:sz w:val="18"/>
                  <w:szCs w:val="18"/>
                  <w:b w:val="1"/>
                  <w:bCs w:val="1"/>
                  <w:color w:val="0000FF"/>
                  <w:w w:val="95"/>
                </w:rPr>
                <w:t>SIGNATURES</w:t>
              </w:r>
            </w:hyperlink>
          </w:p>
        </w:tc>
        <w:tc>
          <w:tcPr>
            <w:tcW w:w="9540" w:type="dxa"/>
            <w:vAlign w:val="bottom"/>
            <w:gridSpan w:val="17"/>
          </w:tcPr>
          <w:p>
            <w:pPr>
              <w:spacing w:after="0"/>
              <w:rPr>
                <w:sz w:val="21"/>
                <w:szCs w:val="21"/>
                <w:color w:val="auto"/>
              </w:rPr>
            </w:pPr>
          </w:p>
        </w:tc>
        <w:tc>
          <w:tcPr>
            <w:tcW w:w="680" w:type="dxa"/>
            <w:vAlign w:val="bottom"/>
            <w:gridSpan w:val="4"/>
          </w:tcPr>
          <w:p>
            <w:pPr>
              <w:jc w:val="right"/>
              <w:ind w:right="20"/>
              <w:spacing w:after="0"/>
              <w:rPr>
                <w:rFonts w:ascii="Times New Roman" w:cs="Times New Roman" w:eastAsia="Times New Roman" w:hAnsi="Times New Roman"/>
                <w:sz w:val="18"/>
                <w:szCs w:val="18"/>
                <w:color w:val="0000FF"/>
              </w:rPr>
            </w:pPr>
            <w:hyperlink w:anchor="page53">
              <w:r>
                <w:rPr>
                  <w:rFonts w:ascii="Times New Roman" w:cs="Times New Roman" w:eastAsia="Times New Roman" w:hAnsi="Times New Roman"/>
                  <w:sz w:val="18"/>
                  <w:szCs w:val="18"/>
                  <w:color w:val="0000FF"/>
                </w:rPr>
                <w:t>50</w:t>
              </w:r>
            </w:hyperlink>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420"/>
          </w:cols>
          <w:pgMar w:left="240" w:top="114" w:right="2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 CONSOLIDATED FINANCIAL INFORMATION</w:t>
      </w:r>
    </w:p>
    <w:p>
      <w:pPr>
        <w:spacing w:after="0" w:line="14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Financial Statements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iStar Financial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8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2"/>
                <w:szCs w:val="12"/>
                <w:color w:val="auto"/>
              </w:rPr>
            </w:pPr>
          </w:p>
        </w:tc>
        <w:tc>
          <w:tcPr>
            <w:tcW w:w="1280" w:type="dxa"/>
            <w:vAlign w:val="bottom"/>
          </w:tcPr>
          <w:p>
            <w:pPr>
              <w:jc w:val="right"/>
              <w:ind w:right="251"/>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3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2012</w:t>
            </w:r>
          </w:p>
        </w:tc>
        <w:tc>
          <w:tcPr>
            <w:tcW w:w="0" w:type="dxa"/>
            <w:vAlign w:val="bottom"/>
          </w:tcPr>
          <w:p>
            <w:pPr>
              <w:spacing w:after="0"/>
              <w:rPr>
                <w:sz w:val="1"/>
                <w:szCs w:val="1"/>
                <w:color w:val="auto"/>
              </w:rPr>
            </w:pPr>
          </w:p>
        </w:tc>
      </w:tr>
      <w:tr>
        <w:trPr>
          <w:trHeight w:val="249"/>
        </w:trPr>
        <w:tc>
          <w:tcPr>
            <w:tcW w:w="8320" w:type="dxa"/>
            <w:vAlign w:val="bottom"/>
            <w:tcBorders>
              <w:bottom w:val="single" w:sz="8" w:color="CCEEFF"/>
            </w:tcBorders>
            <w:shd w:val="clear" w:color="auto" w:fill="CCEEFF"/>
          </w:tcPr>
          <w:p>
            <w:pPr>
              <w:ind w:left="38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Real estate</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Real estate, at cost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3,190,343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3,226,648</w:t>
            </w:r>
          </w:p>
        </w:tc>
        <w:tc>
          <w:tcPr>
            <w:tcW w:w="0" w:type="dxa"/>
            <w:vAlign w:val="bottom"/>
          </w:tcPr>
          <w:p>
            <w:pPr>
              <w:spacing w:after="0"/>
              <w:rPr>
                <w:sz w:val="1"/>
                <w:szCs w:val="1"/>
                <w:color w:val="auto"/>
              </w:rPr>
            </w:pPr>
          </w:p>
        </w:tc>
      </w:tr>
      <w:tr>
        <w:trPr>
          <w:trHeight w:val="243"/>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(405,539)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(427,625)</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Real estate, net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2,784,804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2,799,023</w:t>
            </w:r>
          </w:p>
        </w:tc>
        <w:tc>
          <w:tcPr>
            <w:tcW w:w="0" w:type="dxa"/>
            <w:vAlign w:val="bottom"/>
          </w:tcPr>
          <w:p>
            <w:pPr>
              <w:spacing w:after="0"/>
              <w:rPr>
                <w:sz w:val="1"/>
                <w:szCs w:val="1"/>
                <w:color w:val="auto"/>
              </w:rPr>
            </w:pPr>
          </w:p>
        </w:tc>
      </w:tr>
      <w:tr>
        <w:trPr>
          <w:trHeight w:val="243"/>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Real estate available and held for sale</w:t>
            </w:r>
          </w:p>
        </w:tc>
        <w:tc>
          <w:tcPr>
            <w:tcW w:w="2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599,061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635,865</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3,383,865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3,434,888</w:t>
            </w: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Loans receivable, net</w:t>
            </w:r>
          </w:p>
        </w:tc>
        <w:tc>
          <w:tcPr>
            <w:tcW w:w="2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1,582,656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1,829,985</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403,759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398,843</w:t>
            </w: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468,394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256,344</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28,478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36,778</w:t>
            </w: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Accrued interest and operating lease income receivable, net</w:t>
            </w:r>
          </w:p>
        </w:tc>
        <w:tc>
          <w:tcPr>
            <w:tcW w:w="2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14,253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15,226</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operating lease income receivable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87,414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84,735</w:t>
            </w: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expenses and other assets, net</w:t>
            </w:r>
          </w:p>
        </w:tc>
        <w:tc>
          <w:tcPr>
            <w:tcW w:w="2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108,299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93,990</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6,077,118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6,150,789</w:t>
            </w:r>
          </w:p>
        </w:tc>
        <w:tc>
          <w:tcPr>
            <w:tcW w:w="0" w:type="dxa"/>
            <w:vAlign w:val="bottom"/>
          </w:tcPr>
          <w:p>
            <w:pPr>
              <w:spacing w:after="0"/>
              <w:rPr>
                <w:sz w:val="1"/>
                <w:szCs w:val="1"/>
                <w:color w:val="auto"/>
              </w:rPr>
            </w:pPr>
          </w:p>
        </w:tc>
      </w:tr>
      <w:tr>
        <w:trPr>
          <w:trHeight w:val="20"/>
        </w:trPr>
        <w:tc>
          <w:tcPr>
            <w:tcW w:w="8320" w:type="dxa"/>
            <w:vAlign w:val="bottom"/>
            <w:vMerge w:val="restart"/>
          </w:tcPr>
          <w:p>
            <w:pPr>
              <w:ind w:left="30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117,227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132,460</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Debt obligations, net</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4,494,637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4,691,494</w:t>
            </w:r>
          </w:p>
        </w:tc>
        <w:tc>
          <w:tcPr>
            <w:tcW w:w="0" w:type="dxa"/>
            <w:vAlign w:val="bottom"/>
          </w:tcPr>
          <w:p>
            <w:pPr>
              <w:spacing w:after="0"/>
              <w:rPr>
                <w:sz w:val="1"/>
                <w:szCs w:val="1"/>
                <w:color w:val="auto"/>
              </w:rPr>
            </w:pPr>
          </w:p>
        </w:tc>
      </w:tr>
      <w:tr>
        <w:trPr>
          <w:trHeight w:val="237"/>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4,611,864</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4,823,954</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Redeemable noncontrolling interests</w:t>
            </w:r>
          </w:p>
        </w:tc>
        <w:tc>
          <w:tcPr>
            <w:tcW w:w="2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13,162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13,681</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iStar Financial Inc. shareholders' equity:</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Preferred Stock Series D, E, F, G and I, liquidation preference $25.00 per share (see Note 11)</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Convertible Preferred Stock Series J, liquidation preference $50.00 per share (see Note 11)</w:t>
            </w:r>
          </w:p>
        </w:tc>
        <w:tc>
          <w:tcPr>
            <w:tcW w:w="2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High Performance Units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9,800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9,800</w:t>
            </w:r>
          </w:p>
        </w:tc>
        <w:tc>
          <w:tcPr>
            <w:tcW w:w="0" w:type="dxa"/>
            <w:vAlign w:val="bottom"/>
          </w:tcPr>
          <w:p>
            <w:pPr>
              <w:spacing w:after="0"/>
              <w:rPr>
                <w:sz w:val="1"/>
                <w:szCs w:val="1"/>
                <w:color w:val="auto"/>
              </w:rPr>
            </w:pPr>
          </w:p>
        </w:tc>
      </w:tr>
      <w:tr>
        <w:trPr>
          <w:trHeight w:val="225"/>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Common Stock, $0.001 par value, 200,000 shares authorized, 143,969 issued and 85,052 outstanding at</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March 31, 2013 and 142,699 issued and 83,782 outstanding at December 31, 2012</w:t>
            </w:r>
          </w:p>
        </w:tc>
        <w:tc>
          <w:tcPr>
            <w:tcW w:w="280" w:type="dxa"/>
            <w:vAlign w:val="bottom"/>
          </w:tcPr>
          <w:p>
            <w:pPr>
              <w:spacing w:after="0"/>
              <w:rPr>
                <w:sz w:val="20"/>
                <w:szCs w:val="20"/>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4,019,850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3,832,780</w:t>
            </w: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Retained earnings (deficit)</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(2,403,291)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(2,360,647)</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Accumulated other comprehensive income (loss) (see Note 11)</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Treasury stock, at cost, $0.001 par value, 58,917 shares at March 31, 2013 and December 31, 2012</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(241,969)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(241,969)</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iStar Financial Inc. shareholders' equity</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1,383,096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1,238,944</w:t>
            </w: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68,996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74,210</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equity</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1,452,092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1,313,154</w:t>
            </w:r>
          </w:p>
        </w:tc>
        <w:tc>
          <w:tcPr>
            <w:tcW w:w="0" w:type="dxa"/>
            <w:vAlign w:val="bottom"/>
          </w:tcPr>
          <w:p>
            <w:pPr>
              <w:spacing w:after="0"/>
              <w:rPr>
                <w:sz w:val="1"/>
                <w:szCs w:val="1"/>
                <w:color w:val="auto"/>
              </w:rPr>
            </w:pPr>
          </w:p>
        </w:tc>
      </w:tr>
      <w:tr>
        <w:trPr>
          <w:trHeight w:val="257"/>
        </w:trPr>
        <w:tc>
          <w:tcPr>
            <w:tcW w:w="8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6,077,118</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6,150,789</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ectPr>
          <w:pgSz w:w="11900" w:h="16838" w:orient="portrait"/>
          <w:cols w:equalWidth="0" w:num="1">
            <w:col w:w="11400"/>
          </w:cols>
          <w:pgMar w:left="240" w:top="114" w:right="25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00"/>
          </w:cols>
          <w:pgMar w:left="240" w:top="114" w:right="25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iStar Financial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264"/>
        </w:trPr>
        <w:tc>
          <w:tcPr>
            <w:tcW w:w="856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2012</w:t>
            </w:r>
          </w:p>
        </w:tc>
        <w:tc>
          <w:tcPr>
            <w:tcW w:w="0" w:type="dxa"/>
            <w:vAlign w:val="bottom"/>
          </w:tcPr>
          <w:p>
            <w:pPr>
              <w:spacing w:after="0"/>
              <w:rPr>
                <w:sz w:val="1"/>
                <w:szCs w:val="1"/>
                <w:color w:val="auto"/>
              </w:rPr>
            </w:pPr>
          </w:p>
        </w:tc>
      </w:tr>
      <w:tr>
        <w:trPr>
          <w:trHeight w:val="235"/>
        </w:trPr>
        <w:tc>
          <w:tcPr>
            <w:tcW w:w="8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Operating lease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58,473</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53,123</w:t>
            </w:r>
          </w:p>
        </w:tc>
        <w:tc>
          <w:tcPr>
            <w:tcW w:w="0" w:type="dxa"/>
            <w:vAlign w:val="bottom"/>
          </w:tcPr>
          <w:p>
            <w:pPr>
              <w:spacing w:after="0"/>
              <w:rPr>
                <w:sz w:val="1"/>
                <w:szCs w:val="1"/>
                <w:color w:val="auto"/>
              </w:rPr>
            </w:pPr>
          </w:p>
        </w:tc>
      </w:tr>
      <w:tr>
        <w:trPr>
          <w:trHeight w:val="33"/>
        </w:trPr>
        <w:tc>
          <w:tcPr>
            <w:tcW w:w="8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income</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24,667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37,203</w:t>
            </w:r>
          </w:p>
        </w:tc>
        <w:tc>
          <w:tcPr>
            <w:tcW w:w="0" w:type="dxa"/>
            <w:vAlign w:val="bottom"/>
          </w:tcPr>
          <w:p>
            <w:pPr>
              <w:spacing w:after="0"/>
              <w:rPr>
                <w:sz w:val="1"/>
                <w:szCs w:val="1"/>
                <w:color w:val="auto"/>
              </w:rPr>
            </w:pPr>
          </w:p>
        </w:tc>
      </w:tr>
      <w:tr>
        <w:trPr>
          <w:trHeight w:val="237"/>
        </w:trPr>
        <w:tc>
          <w:tcPr>
            <w:tcW w:w="8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income</w:t>
            </w:r>
          </w:p>
        </w:tc>
        <w:tc>
          <w:tcPr>
            <w:tcW w:w="1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11,393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10,756</w:t>
            </w:r>
          </w:p>
        </w:tc>
        <w:tc>
          <w:tcPr>
            <w:tcW w:w="0" w:type="dxa"/>
            <w:vAlign w:val="bottom"/>
          </w:tcPr>
          <w:p>
            <w:pPr>
              <w:spacing w:after="0"/>
              <w:rPr>
                <w:sz w:val="1"/>
                <w:szCs w:val="1"/>
                <w:color w:val="auto"/>
              </w:rPr>
            </w:pPr>
          </w:p>
        </w:tc>
      </w:tr>
      <w:tr>
        <w:trPr>
          <w:trHeight w:val="33"/>
        </w:trPr>
        <w:tc>
          <w:tcPr>
            <w:tcW w:w="85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5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94,533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101,082</w:t>
            </w:r>
          </w:p>
        </w:tc>
        <w:tc>
          <w:tcPr>
            <w:tcW w:w="0" w:type="dxa"/>
            <w:vAlign w:val="bottom"/>
          </w:tcPr>
          <w:p>
            <w:pPr>
              <w:spacing w:after="0"/>
              <w:rPr>
                <w:sz w:val="1"/>
                <w:szCs w:val="1"/>
                <w:color w:val="auto"/>
              </w:rPr>
            </w:pPr>
          </w:p>
        </w:tc>
      </w:tr>
      <w:tr>
        <w:trPr>
          <w:trHeight w:val="217"/>
        </w:trPr>
        <w:tc>
          <w:tcPr>
            <w:tcW w:w="85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Costs and expenses:</w:t>
            </w: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expense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71,566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85,344</w:t>
            </w:r>
          </w:p>
        </w:tc>
        <w:tc>
          <w:tcPr>
            <w:tcW w:w="0" w:type="dxa"/>
            <w:vAlign w:val="bottom"/>
          </w:tcPr>
          <w:p>
            <w:pPr>
              <w:spacing w:after="0"/>
              <w:rPr>
                <w:sz w:val="1"/>
                <w:szCs w:val="1"/>
                <w:color w:val="auto"/>
              </w:rPr>
            </w:pPr>
          </w:p>
        </w:tc>
      </w:tr>
      <w:tr>
        <w:trPr>
          <w:trHeight w:val="237"/>
        </w:trPr>
        <w:tc>
          <w:tcPr>
            <w:tcW w:w="8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Real estate expense</w:t>
            </w:r>
          </w:p>
        </w:tc>
        <w:tc>
          <w:tcPr>
            <w:tcW w:w="1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37,916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35,068</w:t>
            </w:r>
          </w:p>
        </w:tc>
        <w:tc>
          <w:tcPr>
            <w:tcW w:w="0" w:type="dxa"/>
            <w:vAlign w:val="bottom"/>
          </w:tcPr>
          <w:p>
            <w:pPr>
              <w:spacing w:after="0"/>
              <w:rPr>
                <w:sz w:val="1"/>
                <w:szCs w:val="1"/>
                <w:color w:val="auto"/>
              </w:rPr>
            </w:pPr>
          </w:p>
        </w:tc>
      </w:tr>
      <w:tr>
        <w:trPr>
          <w:trHeight w:val="33"/>
        </w:trPr>
        <w:tc>
          <w:tcPr>
            <w:tcW w:w="8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17,389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16,168</w:t>
            </w:r>
          </w:p>
        </w:tc>
        <w:tc>
          <w:tcPr>
            <w:tcW w:w="0" w:type="dxa"/>
            <w:vAlign w:val="bottom"/>
          </w:tcPr>
          <w:p>
            <w:pPr>
              <w:spacing w:after="0"/>
              <w:rPr>
                <w:sz w:val="1"/>
                <w:szCs w:val="1"/>
                <w:color w:val="auto"/>
              </w:rPr>
            </w:pPr>
          </w:p>
        </w:tc>
      </w:tr>
      <w:tr>
        <w:trPr>
          <w:trHeight w:val="237"/>
        </w:trPr>
        <w:tc>
          <w:tcPr>
            <w:tcW w:w="8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21,848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22,845</w:t>
            </w:r>
          </w:p>
        </w:tc>
        <w:tc>
          <w:tcPr>
            <w:tcW w:w="0" w:type="dxa"/>
            <w:vAlign w:val="bottom"/>
          </w:tcPr>
          <w:p>
            <w:pPr>
              <w:spacing w:after="0"/>
              <w:rPr>
                <w:sz w:val="1"/>
                <w:szCs w:val="1"/>
                <w:color w:val="auto"/>
              </w:rPr>
            </w:pPr>
          </w:p>
        </w:tc>
      </w:tr>
      <w:tr>
        <w:trPr>
          <w:trHeight w:val="33"/>
        </w:trPr>
        <w:tc>
          <w:tcPr>
            <w:tcW w:w="8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Provision for loan losses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10,206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17,500</w:t>
            </w:r>
          </w:p>
        </w:tc>
        <w:tc>
          <w:tcPr>
            <w:tcW w:w="0" w:type="dxa"/>
            <w:vAlign w:val="bottom"/>
          </w:tcPr>
          <w:p>
            <w:pPr>
              <w:spacing w:after="0"/>
              <w:rPr>
                <w:sz w:val="1"/>
                <w:szCs w:val="1"/>
                <w:color w:val="auto"/>
              </w:rPr>
            </w:pPr>
          </w:p>
        </w:tc>
      </w:tr>
      <w:tr>
        <w:trPr>
          <w:trHeight w:val="237"/>
        </w:trPr>
        <w:tc>
          <w:tcPr>
            <w:tcW w:w="8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Impairment of assets</w:t>
            </w: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749</w:t>
            </w:r>
          </w:p>
        </w:tc>
        <w:tc>
          <w:tcPr>
            <w:tcW w:w="0" w:type="dxa"/>
            <w:vAlign w:val="bottom"/>
          </w:tcPr>
          <w:p>
            <w:pPr>
              <w:spacing w:after="0"/>
              <w:rPr>
                <w:sz w:val="1"/>
                <w:szCs w:val="1"/>
                <w:color w:val="auto"/>
              </w:rPr>
            </w:pPr>
          </w:p>
        </w:tc>
      </w:tr>
      <w:tr>
        <w:trPr>
          <w:trHeight w:val="33"/>
        </w:trPr>
        <w:tc>
          <w:tcPr>
            <w:tcW w:w="8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expense</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5,625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453</w:t>
            </w:r>
          </w:p>
        </w:tc>
        <w:tc>
          <w:tcPr>
            <w:tcW w:w="0" w:type="dxa"/>
            <w:vAlign w:val="bottom"/>
          </w:tcPr>
          <w:p>
            <w:pPr>
              <w:spacing w:after="0"/>
              <w:rPr>
                <w:sz w:val="1"/>
                <w:szCs w:val="1"/>
                <w:color w:val="auto"/>
              </w:rPr>
            </w:pPr>
          </w:p>
        </w:tc>
      </w:tr>
      <w:tr>
        <w:trPr>
          <w:trHeight w:val="217"/>
        </w:trPr>
        <w:tc>
          <w:tcPr>
            <w:tcW w:w="85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 costs and expenses</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164,550</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178,127</w:t>
            </w:r>
          </w:p>
        </w:tc>
        <w:tc>
          <w:tcPr>
            <w:tcW w:w="0" w:type="dxa"/>
            <w:vAlign w:val="bottom"/>
          </w:tcPr>
          <w:p>
            <w:pPr>
              <w:spacing w:after="0"/>
              <w:rPr>
                <w:sz w:val="1"/>
                <w:szCs w:val="1"/>
                <w:color w:val="auto"/>
              </w:rPr>
            </w:pPr>
          </w:p>
        </w:tc>
      </w:tr>
      <w:tr>
        <w:trPr>
          <w:trHeight w:val="33"/>
        </w:trPr>
        <w:tc>
          <w:tcPr>
            <w:tcW w:w="85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(loss) before earnings from equity method investments and other items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(70,017)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(77,045)</w:t>
            </w:r>
          </w:p>
        </w:tc>
        <w:tc>
          <w:tcPr>
            <w:tcW w:w="0" w:type="dxa"/>
            <w:vAlign w:val="bottom"/>
          </w:tcPr>
          <w:p>
            <w:pPr>
              <w:spacing w:after="0"/>
              <w:rPr>
                <w:sz w:val="1"/>
                <w:szCs w:val="1"/>
                <w:color w:val="auto"/>
              </w:rPr>
            </w:pPr>
          </w:p>
        </w:tc>
      </w:tr>
      <w:tr>
        <w:trPr>
          <w:trHeight w:val="237"/>
        </w:trPr>
        <w:tc>
          <w:tcPr>
            <w:tcW w:w="8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Gain (loss) on early extinguishment of debt, net</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(9,541)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1,704</w:t>
            </w:r>
          </w:p>
        </w:tc>
        <w:tc>
          <w:tcPr>
            <w:tcW w:w="0" w:type="dxa"/>
            <w:vAlign w:val="bottom"/>
          </w:tcPr>
          <w:p>
            <w:pPr>
              <w:spacing w:after="0"/>
              <w:rPr>
                <w:sz w:val="1"/>
                <w:szCs w:val="1"/>
                <w:color w:val="auto"/>
              </w:rPr>
            </w:pPr>
          </w:p>
        </w:tc>
      </w:tr>
      <w:tr>
        <w:trPr>
          <w:trHeight w:val="33"/>
        </w:trPr>
        <w:tc>
          <w:tcPr>
            <w:tcW w:w="8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Earnings from equity method investments</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21,678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34,786</w:t>
            </w:r>
          </w:p>
        </w:tc>
        <w:tc>
          <w:tcPr>
            <w:tcW w:w="0" w:type="dxa"/>
            <w:vAlign w:val="bottom"/>
          </w:tcPr>
          <w:p>
            <w:pPr>
              <w:spacing w:after="0"/>
              <w:rPr>
                <w:sz w:val="1"/>
                <w:szCs w:val="1"/>
                <w:color w:val="auto"/>
              </w:rPr>
            </w:pPr>
          </w:p>
        </w:tc>
      </w:tr>
      <w:tr>
        <w:trPr>
          <w:trHeight w:val="217"/>
        </w:trPr>
        <w:tc>
          <w:tcPr>
            <w:tcW w:w="85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Income (loss) from continuing operations before income taxes</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(57,880)</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(40,555)</w:t>
            </w:r>
          </w:p>
        </w:tc>
        <w:tc>
          <w:tcPr>
            <w:tcW w:w="0" w:type="dxa"/>
            <w:vAlign w:val="bottom"/>
          </w:tcPr>
          <w:p>
            <w:pPr>
              <w:spacing w:after="0"/>
              <w:rPr>
                <w:sz w:val="1"/>
                <w:szCs w:val="1"/>
                <w:color w:val="auto"/>
              </w:rPr>
            </w:pPr>
          </w:p>
        </w:tc>
      </w:tr>
      <w:tr>
        <w:trPr>
          <w:trHeight w:val="33"/>
        </w:trPr>
        <w:tc>
          <w:tcPr>
            <w:tcW w:w="8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Income tax expense</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(1,271)</w:t>
            </w:r>
          </w:p>
        </w:tc>
        <w:tc>
          <w:tcPr>
            <w:tcW w:w="0" w:type="dxa"/>
            <w:vAlign w:val="bottom"/>
          </w:tcPr>
          <w:p>
            <w:pPr>
              <w:spacing w:after="0"/>
              <w:rPr>
                <w:sz w:val="1"/>
                <w:szCs w:val="1"/>
                <w:color w:val="auto"/>
              </w:rPr>
            </w:pPr>
          </w:p>
        </w:tc>
      </w:tr>
      <w:tr>
        <w:trPr>
          <w:trHeight w:val="217"/>
        </w:trPr>
        <w:tc>
          <w:tcPr>
            <w:tcW w:w="85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Income (loss) from continuing operations(1)</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(61,955)</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(41,826)</w:t>
            </w:r>
          </w:p>
        </w:tc>
        <w:tc>
          <w:tcPr>
            <w:tcW w:w="0" w:type="dxa"/>
            <w:vAlign w:val="bottom"/>
          </w:tcPr>
          <w:p>
            <w:pPr>
              <w:spacing w:after="0"/>
              <w:rPr>
                <w:sz w:val="1"/>
                <w:szCs w:val="1"/>
                <w:color w:val="auto"/>
              </w:rPr>
            </w:pPr>
          </w:p>
        </w:tc>
      </w:tr>
      <w:tr>
        <w:trPr>
          <w:trHeight w:val="33"/>
        </w:trPr>
        <w:tc>
          <w:tcPr>
            <w:tcW w:w="8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Income (loss) from discontinued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961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(13,361)</w:t>
            </w:r>
          </w:p>
        </w:tc>
        <w:tc>
          <w:tcPr>
            <w:tcW w:w="0" w:type="dxa"/>
            <w:vAlign w:val="bottom"/>
          </w:tcPr>
          <w:p>
            <w:pPr>
              <w:spacing w:after="0"/>
              <w:rPr>
                <w:sz w:val="1"/>
                <w:szCs w:val="1"/>
                <w:color w:val="auto"/>
              </w:rPr>
            </w:pPr>
          </w:p>
        </w:tc>
      </w:tr>
      <w:tr>
        <w:trPr>
          <w:trHeight w:val="237"/>
        </w:trPr>
        <w:tc>
          <w:tcPr>
            <w:tcW w:w="8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Gain from discontinued operations</w:t>
            </w:r>
          </w:p>
        </w:tc>
        <w:tc>
          <w:tcPr>
            <w:tcW w:w="1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5,044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2,406</w:t>
            </w:r>
          </w:p>
        </w:tc>
        <w:tc>
          <w:tcPr>
            <w:tcW w:w="0" w:type="dxa"/>
            <w:vAlign w:val="bottom"/>
          </w:tcPr>
          <w:p>
            <w:pPr>
              <w:spacing w:after="0"/>
              <w:rPr>
                <w:sz w:val="1"/>
                <w:szCs w:val="1"/>
                <w:color w:val="auto"/>
              </w:rPr>
            </w:pPr>
          </w:p>
        </w:tc>
      </w:tr>
      <w:tr>
        <w:trPr>
          <w:trHeight w:val="33"/>
        </w:trPr>
        <w:tc>
          <w:tcPr>
            <w:tcW w:w="8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Income from sales of residential property</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23,697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6,733</w:t>
            </w:r>
          </w:p>
        </w:tc>
        <w:tc>
          <w:tcPr>
            <w:tcW w:w="0" w:type="dxa"/>
            <w:vAlign w:val="bottom"/>
          </w:tcPr>
          <w:p>
            <w:pPr>
              <w:spacing w:after="0"/>
              <w:rPr>
                <w:sz w:val="1"/>
                <w:szCs w:val="1"/>
                <w:color w:val="auto"/>
              </w:rPr>
            </w:pPr>
          </w:p>
        </w:tc>
      </w:tr>
      <w:tr>
        <w:trPr>
          <w:trHeight w:val="217"/>
        </w:trPr>
        <w:tc>
          <w:tcPr>
            <w:tcW w:w="85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 (loss)</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(32,253)</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(46,048)</w:t>
            </w:r>
          </w:p>
        </w:tc>
        <w:tc>
          <w:tcPr>
            <w:tcW w:w="0" w:type="dxa"/>
            <w:vAlign w:val="bottom"/>
          </w:tcPr>
          <w:p>
            <w:pPr>
              <w:spacing w:after="0"/>
              <w:rPr>
                <w:sz w:val="1"/>
                <w:szCs w:val="1"/>
                <w:color w:val="auto"/>
              </w:rPr>
            </w:pPr>
          </w:p>
        </w:tc>
      </w:tr>
      <w:tr>
        <w:trPr>
          <w:trHeight w:val="33"/>
        </w:trPr>
        <w:tc>
          <w:tcPr>
            <w:tcW w:w="8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(income) loss attributable to noncontrolling interests</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17"/>
        </w:trPr>
        <w:tc>
          <w:tcPr>
            <w:tcW w:w="85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 (loss) attributable to iStar Financial Inc.</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(32,064)</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(46,073)</w:t>
            </w:r>
          </w:p>
        </w:tc>
        <w:tc>
          <w:tcPr>
            <w:tcW w:w="0" w:type="dxa"/>
            <w:vAlign w:val="bottom"/>
          </w:tcPr>
          <w:p>
            <w:pPr>
              <w:spacing w:after="0"/>
              <w:rPr>
                <w:sz w:val="1"/>
                <w:szCs w:val="1"/>
                <w:color w:val="auto"/>
              </w:rPr>
            </w:pPr>
          </w:p>
        </w:tc>
      </w:tr>
      <w:tr>
        <w:trPr>
          <w:trHeight w:val="33"/>
        </w:trPr>
        <w:tc>
          <w:tcPr>
            <w:tcW w:w="8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Preferred dividends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(10,580)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(10,580)</w:t>
            </w:r>
          </w:p>
        </w:tc>
        <w:tc>
          <w:tcPr>
            <w:tcW w:w="0" w:type="dxa"/>
            <w:vAlign w:val="bottom"/>
          </w:tcPr>
          <w:p>
            <w:pPr>
              <w:spacing w:after="0"/>
              <w:rPr>
                <w:sz w:val="1"/>
                <w:szCs w:val="1"/>
                <w:color w:val="auto"/>
              </w:rPr>
            </w:pPr>
          </w:p>
        </w:tc>
      </w:tr>
      <w:tr>
        <w:trPr>
          <w:trHeight w:val="237"/>
        </w:trPr>
        <w:tc>
          <w:tcPr>
            <w:tcW w:w="8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 loss allocable to HPU holders and Participating Security holders(2)(3)</w:t>
            </w:r>
          </w:p>
        </w:tc>
        <w:tc>
          <w:tcPr>
            <w:tcW w:w="1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1,381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1,861</w:t>
            </w:r>
          </w:p>
        </w:tc>
        <w:tc>
          <w:tcPr>
            <w:tcW w:w="0" w:type="dxa"/>
            <w:vAlign w:val="bottom"/>
          </w:tcPr>
          <w:p>
            <w:pPr>
              <w:spacing w:after="0"/>
              <w:rPr>
                <w:sz w:val="1"/>
                <w:szCs w:val="1"/>
                <w:color w:val="auto"/>
              </w:rPr>
            </w:pPr>
          </w:p>
        </w:tc>
      </w:tr>
      <w:tr>
        <w:trPr>
          <w:trHeight w:val="33"/>
        </w:trPr>
        <w:tc>
          <w:tcPr>
            <w:tcW w:w="85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 (loss) allocable to common shareholders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(41,263)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(54,792)</w:t>
            </w:r>
          </w:p>
        </w:tc>
        <w:tc>
          <w:tcPr>
            <w:tcW w:w="0" w:type="dxa"/>
            <w:vAlign w:val="bottom"/>
          </w:tcPr>
          <w:p>
            <w:pPr>
              <w:spacing w:after="0"/>
              <w:rPr>
                <w:sz w:val="1"/>
                <w:szCs w:val="1"/>
                <w:color w:val="auto"/>
              </w:rPr>
            </w:pPr>
          </w:p>
        </w:tc>
      </w:tr>
      <w:tr>
        <w:trPr>
          <w:trHeight w:val="20"/>
        </w:trPr>
        <w:tc>
          <w:tcPr>
            <w:tcW w:w="856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Per common share data(1):</w:t>
            </w: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5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Income (loss) attributable to iStar Financial Inc. from continuing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5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Basic</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(0.56)</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(0.54)</w:t>
            </w:r>
          </w:p>
        </w:tc>
        <w:tc>
          <w:tcPr>
            <w:tcW w:w="0" w:type="dxa"/>
            <w:vAlign w:val="bottom"/>
          </w:tcPr>
          <w:p>
            <w:pPr>
              <w:spacing w:after="0"/>
              <w:rPr>
                <w:sz w:val="1"/>
                <w:szCs w:val="1"/>
                <w:color w:val="auto"/>
              </w:rPr>
            </w:pPr>
          </w:p>
        </w:tc>
      </w:tr>
      <w:tr>
        <w:trPr>
          <w:trHeight w:val="33"/>
        </w:trPr>
        <w:tc>
          <w:tcPr>
            <w:tcW w:w="8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Diluted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(0.54)</w:t>
            </w:r>
          </w:p>
        </w:tc>
        <w:tc>
          <w:tcPr>
            <w:tcW w:w="0" w:type="dxa"/>
            <w:vAlign w:val="bottom"/>
          </w:tcPr>
          <w:p>
            <w:pPr>
              <w:spacing w:after="0"/>
              <w:rPr>
                <w:sz w:val="1"/>
                <w:szCs w:val="1"/>
                <w:color w:val="auto"/>
              </w:rPr>
            </w:pPr>
          </w:p>
        </w:tc>
      </w:tr>
      <w:tr>
        <w:trPr>
          <w:trHeight w:val="237"/>
        </w:trPr>
        <w:tc>
          <w:tcPr>
            <w:tcW w:w="8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 (loss) attributable to iStar Financial Inc.:</w:t>
            </w: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Basic</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(0.66)</w:t>
            </w:r>
          </w:p>
        </w:tc>
        <w:tc>
          <w:tcPr>
            <w:tcW w:w="0" w:type="dxa"/>
            <w:vAlign w:val="bottom"/>
          </w:tcPr>
          <w:p>
            <w:pPr>
              <w:spacing w:after="0"/>
              <w:rPr>
                <w:sz w:val="1"/>
                <w:szCs w:val="1"/>
                <w:color w:val="auto"/>
              </w:rPr>
            </w:pPr>
          </w:p>
        </w:tc>
      </w:tr>
      <w:tr>
        <w:trPr>
          <w:trHeight w:val="237"/>
        </w:trPr>
        <w:tc>
          <w:tcPr>
            <w:tcW w:w="85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Diluted</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(0.49)</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(0.66)</w:t>
            </w:r>
          </w:p>
        </w:tc>
        <w:tc>
          <w:tcPr>
            <w:tcW w:w="0" w:type="dxa"/>
            <w:vAlign w:val="bottom"/>
          </w:tcPr>
          <w:p>
            <w:pPr>
              <w:spacing w:after="0"/>
              <w:rPr>
                <w:sz w:val="1"/>
                <w:szCs w:val="1"/>
                <w:color w:val="auto"/>
              </w:rPr>
            </w:pPr>
          </w:p>
        </w:tc>
      </w:tr>
      <w:tr>
        <w:trPr>
          <w:trHeight w:val="33"/>
        </w:trPr>
        <w:tc>
          <w:tcPr>
            <w:tcW w:w="8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Weighted average number of common shares—basic</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84,824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83,556</w:t>
            </w:r>
          </w:p>
        </w:tc>
        <w:tc>
          <w:tcPr>
            <w:tcW w:w="0" w:type="dxa"/>
            <w:vAlign w:val="bottom"/>
          </w:tcPr>
          <w:p>
            <w:pPr>
              <w:spacing w:after="0"/>
              <w:rPr>
                <w:sz w:val="1"/>
                <w:szCs w:val="1"/>
                <w:color w:val="auto"/>
              </w:rPr>
            </w:pPr>
          </w:p>
        </w:tc>
      </w:tr>
      <w:tr>
        <w:trPr>
          <w:trHeight w:val="237"/>
        </w:trPr>
        <w:tc>
          <w:tcPr>
            <w:tcW w:w="8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Weighted average number of common shares—diluted</w:t>
            </w:r>
          </w:p>
        </w:tc>
        <w:tc>
          <w:tcPr>
            <w:tcW w:w="1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84,824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83,556</w:t>
            </w:r>
          </w:p>
        </w:tc>
        <w:tc>
          <w:tcPr>
            <w:tcW w:w="0" w:type="dxa"/>
            <w:vAlign w:val="bottom"/>
          </w:tcPr>
          <w:p>
            <w:pPr>
              <w:spacing w:after="0"/>
              <w:rPr>
                <w:sz w:val="1"/>
                <w:szCs w:val="1"/>
                <w:color w:val="auto"/>
              </w:rPr>
            </w:pPr>
          </w:p>
        </w:tc>
      </w:tr>
      <w:tr>
        <w:trPr>
          <w:trHeight w:val="33"/>
        </w:trPr>
        <w:tc>
          <w:tcPr>
            <w:tcW w:w="8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Per HPU share data(1)(2):</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Income (loss) attributable to iStar Financial Inc. from continuing operations:</w:t>
            </w: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Basic</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(100.07)</w:t>
            </w:r>
          </w:p>
        </w:tc>
        <w:tc>
          <w:tcPr>
            <w:tcW w:w="0" w:type="dxa"/>
            <w:vAlign w:val="bottom"/>
          </w:tcPr>
          <w:p>
            <w:pPr>
              <w:spacing w:after="0"/>
              <w:rPr>
                <w:sz w:val="1"/>
                <w:szCs w:val="1"/>
                <w:color w:val="auto"/>
              </w:rPr>
            </w:pPr>
          </w:p>
        </w:tc>
      </w:tr>
      <w:tr>
        <w:trPr>
          <w:trHeight w:val="237"/>
        </w:trPr>
        <w:tc>
          <w:tcPr>
            <w:tcW w:w="85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Diluted</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(105.01)</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(100.07)</w:t>
            </w:r>
          </w:p>
        </w:tc>
        <w:tc>
          <w:tcPr>
            <w:tcW w:w="0" w:type="dxa"/>
            <w:vAlign w:val="bottom"/>
          </w:tcPr>
          <w:p>
            <w:pPr>
              <w:spacing w:after="0"/>
              <w:rPr>
                <w:sz w:val="1"/>
                <w:szCs w:val="1"/>
                <w:color w:val="auto"/>
              </w:rPr>
            </w:pPr>
          </w:p>
        </w:tc>
      </w:tr>
      <w:tr>
        <w:trPr>
          <w:trHeight w:val="33"/>
        </w:trPr>
        <w:tc>
          <w:tcPr>
            <w:tcW w:w="8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income (loss) attributable to iStar Financial Inc.:</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5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Basic</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(92.07)</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(124.07)</w:t>
            </w:r>
          </w:p>
        </w:tc>
        <w:tc>
          <w:tcPr>
            <w:tcW w:w="0" w:type="dxa"/>
            <w:vAlign w:val="bottom"/>
          </w:tcPr>
          <w:p>
            <w:pPr>
              <w:spacing w:after="0"/>
              <w:rPr>
                <w:sz w:val="1"/>
                <w:szCs w:val="1"/>
                <w:color w:val="auto"/>
              </w:rPr>
            </w:pPr>
          </w:p>
        </w:tc>
      </w:tr>
      <w:tr>
        <w:trPr>
          <w:trHeight w:val="33"/>
        </w:trPr>
        <w:tc>
          <w:tcPr>
            <w:tcW w:w="8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Diluted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(92.07)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(124.07)</w:t>
            </w:r>
          </w:p>
        </w:tc>
        <w:tc>
          <w:tcPr>
            <w:tcW w:w="0" w:type="dxa"/>
            <w:vAlign w:val="bottom"/>
          </w:tcPr>
          <w:p>
            <w:pPr>
              <w:spacing w:after="0"/>
              <w:rPr>
                <w:sz w:val="1"/>
                <w:szCs w:val="1"/>
                <w:color w:val="auto"/>
              </w:rPr>
            </w:pPr>
          </w:p>
        </w:tc>
      </w:tr>
      <w:tr>
        <w:trPr>
          <w:trHeight w:val="237"/>
        </w:trPr>
        <w:tc>
          <w:tcPr>
            <w:tcW w:w="8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Weighted average number of HPU shares—basic and diluted</w:t>
            </w:r>
          </w:p>
        </w:tc>
        <w:tc>
          <w:tcPr>
            <w:tcW w:w="1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bl>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Explanatory Notes: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120" w:lineRule="exact"/>
        <w:rPr>
          <w:sz w:val="20"/>
          <w:szCs w:val="20"/>
          <w:color w:val="auto"/>
        </w:rPr>
      </w:pPr>
    </w:p>
    <w:p>
      <w:pPr>
        <w:ind w:left="660" w:hanging="652"/>
        <w:spacing w:after="0" w:line="253" w:lineRule="auto"/>
        <w:tabs>
          <w:tab w:leader="none" w:pos="6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Income (loss) from continuing operations attributable to iStar Financial Inc. for the three months ended March 31, 2013, and 2012 was $(61.8) million and $(41.9) million, respectively. See Note 13 for details on the calculation of earnings per share.</w:t>
      </w:r>
    </w:p>
    <w:p>
      <w:pPr>
        <w:ind w:left="660" w:hanging="652"/>
        <w:spacing w:after="0"/>
        <w:tabs>
          <w:tab w:leader="none" w:pos="6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HPU holders are current and former Company employees who purchased high performance common stock units under the Company's High Performance Unit Program (see Note 11).</w:t>
      </w:r>
    </w:p>
    <w:p>
      <w:pPr>
        <w:spacing w:after="0" w:line="1" w:lineRule="exact"/>
        <w:rPr>
          <w:rFonts w:ascii="Times New Roman" w:cs="Times New Roman" w:eastAsia="Times New Roman" w:hAnsi="Times New Roman"/>
          <w:sz w:val="14"/>
          <w:szCs w:val="14"/>
          <w:color w:val="auto"/>
        </w:rPr>
      </w:pPr>
    </w:p>
    <w:p>
      <w:pPr>
        <w:ind w:left="660" w:right="20" w:hanging="652"/>
        <w:spacing w:after="0" w:line="258" w:lineRule="auto"/>
        <w:tabs>
          <w:tab w:leader="none" w:pos="6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Participating Security holders are Company employees and directors who hold unvested restricted stock units, restricted stock awards and common stock equivalents granted under the Company's Long Term Incentive Plans that are eligible to participate in dividends (see Note 12 and Note 13).</w:t>
      </w:r>
    </w:p>
    <w:p>
      <w:pPr>
        <w:sectPr>
          <w:pgSz w:w="11900" w:h="16838" w:orient="portrait"/>
          <w:cols w:equalWidth="0" w:num="1">
            <w:col w:w="11420"/>
          </w:cols>
          <w:pgMar w:left="240" w:top="114" w:right="239" w:bottom="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ectPr>
          <w:pgSz w:w="11900" w:h="16838" w:orient="portrait"/>
          <w:cols w:equalWidth="0" w:num="1">
            <w:col w:w="9019"/>
          </w:cols>
          <w:pgMar w:left="1440" w:top="121" w:right="1440"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9019"/>
          </w:cols>
          <w:pgMar w:left="1440" w:top="121" w:right="1440"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264"/>
        </w:trPr>
        <w:tc>
          <w:tcPr>
            <w:tcW w:w="85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249"/>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(32,253)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(46,048)</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Reclassification of (gains)/losses on cash flow hedges into earnings upon realization</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gains/(losses) on available-for-sale securities</w:t>
            </w: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157</w:t>
            </w: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gains/(losses) on cash flow hedges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r>
      <w:tr>
        <w:trPr>
          <w:trHeight w:val="243"/>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gains/(losses) on cumulative translation adjustment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w:t>
            </w: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(32,532)</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(46,858)</w:t>
            </w: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57"/>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Comprehensive income (loss) attributable to iStar Financial Inc.</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(32,343)</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(46,883)</w:t>
            </w:r>
          </w:p>
        </w:tc>
      </w:tr>
      <w:tr>
        <w:trPr>
          <w:trHeight w:val="20"/>
        </w:trPr>
        <w:tc>
          <w:tcPr>
            <w:tcW w:w="8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14" w:right="2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iStar Financial Inc.</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Consolidated Statements of Changes in Equity</w:t>
      </w:r>
    </w:p>
    <w:p>
      <w:pPr>
        <w:spacing w:after="0" w:line="1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2013</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w:t>
      </w:r>
    </w:p>
    <w:p>
      <w:pPr>
        <w:sectPr>
          <w:pgSz w:w="11900" w:h="16838" w:orient="portrait"/>
          <w:cols w:equalWidth="0" w:num="1">
            <w:col w:w="11380"/>
          </w:cols>
          <w:pgMar w:left="240" w:top="114"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16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iStar Financial Inc. Shareholders' Equity</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1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1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00" w:type="dxa"/>
            <w:vAlign w:val="bottom"/>
          </w:tcPr>
          <w:p>
            <w:pPr>
              <w:spacing w:after="0"/>
              <w:rPr>
                <w:sz w:val="12"/>
                <w:szCs w:val="12"/>
                <w:color w:val="auto"/>
              </w:rPr>
            </w:pPr>
          </w:p>
        </w:tc>
        <w:tc>
          <w:tcPr>
            <w:tcW w:w="7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140" w:type="dxa"/>
            <w:vAlign w:val="bottom"/>
          </w:tcPr>
          <w:p>
            <w:pPr>
              <w:spacing w:after="0"/>
              <w:rPr>
                <w:sz w:val="12"/>
                <w:szCs w:val="12"/>
                <w:color w:val="auto"/>
              </w:rPr>
            </w:pPr>
          </w:p>
        </w:tc>
        <w:tc>
          <w:tcPr>
            <w:tcW w:w="6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0" w:type="dxa"/>
            <w:vAlign w:val="bottom"/>
            <w:gridSpan w:val="2"/>
            <w:vMerge w:val="continue"/>
          </w:tcPr>
          <w:p>
            <w:pPr>
              <w:spacing w:after="0"/>
              <w:rPr>
                <w:sz w:val="12"/>
                <w:szCs w:val="12"/>
                <w:color w:val="auto"/>
              </w:rPr>
            </w:pP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0" w:type="dxa"/>
            <w:vAlign w:val="bottom"/>
          </w:tcPr>
          <w:p>
            <w:pPr>
              <w:spacing w:after="0"/>
              <w:rPr>
                <w:sz w:val="1"/>
                <w:szCs w:val="1"/>
                <w:color w:val="auto"/>
              </w:rPr>
            </w:pPr>
          </w:p>
        </w:tc>
      </w:tr>
      <w:tr>
        <w:trPr>
          <w:trHeight w:val="149"/>
        </w:trPr>
        <w:tc>
          <w:tcPr>
            <w:tcW w:w="160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Series</w:t>
            </w:r>
          </w:p>
        </w:tc>
        <w:tc>
          <w:tcPr>
            <w:tcW w:w="7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HPU's</w:t>
            </w:r>
          </w:p>
        </w:tc>
        <w:tc>
          <w:tcPr>
            <w:tcW w:w="78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Stock at</w:t>
            </w:r>
          </w:p>
        </w:tc>
        <w:tc>
          <w:tcPr>
            <w:tcW w:w="11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1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24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Stock at</w:t>
            </w: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600" w:type="dxa"/>
            <w:vAlign w:val="bottom"/>
          </w:tcPr>
          <w:p>
            <w:pPr>
              <w:spacing w:after="0"/>
              <w:rPr>
                <w:sz w:val="16"/>
                <w:szCs w:val="16"/>
                <w:color w:val="auto"/>
              </w:rPr>
            </w:pPr>
          </w:p>
        </w:tc>
        <w:tc>
          <w:tcPr>
            <w:tcW w:w="7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Stock(1)</w:t>
            </w:r>
          </w:p>
        </w:tc>
        <w:tc>
          <w:tcPr>
            <w:tcW w:w="140" w:type="dxa"/>
            <w:vAlign w:val="bottom"/>
          </w:tcPr>
          <w:p>
            <w:pPr>
              <w:spacing w:after="0"/>
              <w:rPr>
                <w:sz w:val="16"/>
                <w:szCs w:val="16"/>
                <w:color w:val="auto"/>
              </w:rPr>
            </w:pPr>
          </w:p>
        </w:tc>
        <w:tc>
          <w:tcPr>
            <w:tcW w:w="6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J(1)</w:t>
            </w:r>
          </w:p>
        </w:tc>
        <w:tc>
          <w:tcPr>
            <w:tcW w:w="7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Par</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80" w:type="dxa"/>
            <w:vAlign w:val="bottom"/>
          </w:tcPr>
          <w:p>
            <w:pPr>
              <w:spacing w:after="0"/>
              <w:rPr>
                <w:sz w:val="16"/>
                <w:szCs w:val="16"/>
                <w:color w:val="auto"/>
              </w:rPr>
            </w:pPr>
          </w:p>
        </w:tc>
        <w:tc>
          <w:tcPr>
            <w:tcW w:w="86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0" w:type="dxa"/>
            <w:vAlign w:val="bottom"/>
          </w:tcPr>
          <w:p>
            <w:pPr>
              <w:spacing w:after="0"/>
              <w:rPr>
                <w:sz w:val="1"/>
                <w:szCs w:val="1"/>
                <w:color w:val="auto"/>
              </w:rPr>
            </w:pPr>
          </w:p>
        </w:tc>
      </w:tr>
      <w:tr>
        <w:trPr>
          <w:trHeight w:val="211"/>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Balance at</w:t>
            </w:r>
          </w:p>
        </w:tc>
        <w:tc>
          <w:tcPr>
            <w:tcW w:w="2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2012</w:t>
            </w: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$9,800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Pr>
          <w:p>
            <w:pPr>
              <w:spacing w:after="0"/>
              <w:rPr>
                <w:sz w:val="20"/>
                <w:szCs w:val="20"/>
                <w:color w:val="auto"/>
              </w:rPr>
            </w:pP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$ 3,832,780</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$(2,360,647)</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 (241,969)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74,210</w:t>
            </w:r>
          </w:p>
        </w:tc>
        <w:tc>
          <w:tcPr>
            <w:tcW w:w="0" w:type="dxa"/>
            <w:vAlign w:val="bottom"/>
          </w:tcPr>
          <w:p>
            <w:pPr>
              <w:spacing w:after="0"/>
              <w:rPr>
                <w:sz w:val="1"/>
                <w:szCs w:val="1"/>
                <w:color w:val="auto"/>
              </w:rPr>
            </w:pPr>
          </w:p>
        </w:tc>
      </w:tr>
      <w:tr>
        <w:trPr>
          <w:trHeight w:val="252"/>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Preferred</w:t>
            </w: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Stock</w:t>
            </w:r>
          </w:p>
        </w:tc>
        <w:tc>
          <w:tcPr>
            <w:tcW w:w="260" w:type="dxa"/>
            <w:vAlign w:val="bottom"/>
          </w:tcPr>
          <w:p>
            <w:pPr>
              <w:spacing w:after="0"/>
              <w:rPr>
                <w:sz w:val="20"/>
                <w:szCs w:val="20"/>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5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193,506</w:t>
            </w:r>
          </w:p>
        </w:tc>
        <w:tc>
          <w:tcPr>
            <w:tcW w:w="1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2"/>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Dividends declared—</w:t>
            </w: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preferred</w:t>
            </w:r>
          </w:p>
        </w:tc>
        <w:tc>
          <w:tcPr>
            <w:tcW w:w="260" w:type="dxa"/>
            <w:vAlign w:val="bottom"/>
          </w:tcPr>
          <w:p>
            <w:pPr>
              <w:spacing w:after="0"/>
              <w:rPr>
                <w:sz w:val="20"/>
                <w:szCs w:val="20"/>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2"/>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Issuance of</w:t>
            </w: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stock/restricted stock</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net</w:t>
            </w:r>
          </w:p>
        </w:tc>
        <w:tc>
          <w:tcPr>
            <w:tcW w:w="260" w:type="dxa"/>
            <w:vAlign w:val="bottom"/>
          </w:tcPr>
          <w:p>
            <w:pPr>
              <w:spacing w:after="0"/>
              <w:rPr>
                <w:sz w:val="20"/>
                <w:szCs w:val="20"/>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5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(4,692)</w:t>
            </w:r>
          </w:p>
        </w:tc>
        <w:tc>
          <w:tcPr>
            <w:tcW w:w="1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2"/>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Net loss for the</w:t>
            </w: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period(2)</w:t>
            </w:r>
          </w:p>
        </w:tc>
        <w:tc>
          <w:tcPr>
            <w:tcW w:w="260" w:type="dxa"/>
            <w:vAlign w:val="bottom"/>
          </w:tcPr>
          <w:p>
            <w:pPr>
              <w:spacing w:after="0"/>
              <w:rPr>
                <w:sz w:val="20"/>
                <w:szCs w:val="20"/>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(32,064)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330</w:t>
            </w:r>
          </w:p>
        </w:tc>
        <w:tc>
          <w:tcPr>
            <w:tcW w:w="0" w:type="dxa"/>
            <w:vAlign w:val="bottom"/>
          </w:tcPr>
          <w:p>
            <w:pPr>
              <w:spacing w:after="0"/>
              <w:rPr>
                <w:sz w:val="1"/>
                <w:szCs w:val="1"/>
                <w:color w:val="auto"/>
              </w:rPr>
            </w:pPr>
          </w:p>
        </w:tc>
      </w:tr>
      <w:tr>
        <w:trPr>
          <w:trHeight w:val="252"/>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Change in</w:t>
            </w: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income (loss)</w:t>
            </w:r>
          </w:p>
        </w:tc>
        <w:tc>
          <w:tcPr>
            <w:tcW w:w="260" w:type="dxa"/>
            <w:vAlign w:val="bottom"/>
          </w:tcPr>
          <w:p>
            <w:pPr>
              <w:spacing w:after="0"/>
              <w:rPr>
                <w:sz w:val="20"/>
                <w:szCs w:val="20"/>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2"/>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w:t>
            </w: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capital attributable to</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redeemable</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interest(4)</w:t>
            </w:r>
          </w:p>
        </w:tc>
        <w:tc>
          <w:tcPr>
            <w:tcW w:w="260" w:type="dxa"/>
            <w:vAlign w:val="bottom"/>
          </w:tcPr>
          <w:p>
            <w:pPr>
              <w:spacing w:after="0"/>
              <w:rPr>
                <w:sz w:val="20"/>
                <w:szCs w:val="20"/>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1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2"/>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Contributions from</w:t>
            </w: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interests(3)</w:t>
            </w:r>
          </w:p>
        </w:tc>
        <w:tc>
          <w:tcPr>
            <w:tcW w:w="260" w:type="dxa"/>
            <w:vAlign w:val="bottom"/>
          </w:tcPr>
          <w:p>
            <w:pPr>
              <w:spacing w:after="0"/>
              <w:rPr>
                <w:sz w:val="20"/>
                <w:szCs w:val="20"/>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11,079</w:t>
            </w:r>
          </w:p>
        </w:tc>
        <w:tc>
          <w:tcPr>
            <w:tcW w:w="0" w:type="dxa"/>
            <w:vAlign w:val="bottom"/>
          </w:tcPr>
          <w:p>
            <w:pPr>
              <w:spacing w:after="0"/>
              <w:rPr>
                <w:sz w:val="1"/>
                <w:szCs w:val="1"/>
                <w:color w:val="auto"/>
              </w:rPr>
            </w:pPr>
          </w:p>
        </w:tc>
      </w:tr>
      <w:tr>
        <w:trPr>
          <w:trHeight w:val="252"/>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Distributions to</w:t>
            </w: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interests(4)</w:t>
            </w:r>
          </w:p>
        </w:tc>
        <w:tc>
          <w:tcPr>
            <w:tcW w:w="260" w:type="dxa"/>
            <w:vAlign w:val="bottom"/>
          </w:tcPr>
          <w:p>
            <w:pPr>
              <w:spacing w:after="0"/>
              <w:rPr>
                <w:sz w:val="20"/>
                <w:szCs w:val="20"/>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(16,623)</w:t>
            </w:r>
          </w:p>
        </w:tc>
        <w:tc>
          <w:tcPr>
            <w:tcW w:w="0" w:type="dxa"/>
            <w:vAlign w:val="bottom"/>
          </w:tcPr>
          <w:p>
            <w:pPr>
              <w:spacing w:after="0"/>
              <w:rPr>
                <w:sz w:val="1"/>
                <w:szCs w:val="1"/>
                <w:color w:val="auto"/>
              </w:rPr>
            </w:pPr>
          </w:p>
        </w:tc>
      </w:tr>
      <w:tr>
        <w:trPr>
          <w:trHeight w:val="27"/>
        </w:trPr>
        <w:tc>
          <w:tcPr>
            <w:tcW w:w="1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Balance at March 31,</w:t>
            </w:r>
          </w:p>
        </w:tc>
        <w:tc>
          <w:tcPr>
            <w:tcW w:w="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600" w:type="dxa"/>
            <w:vAlign w:val="bottom"/>
            <w:vMerge w:val="continue"/>
          </w:tcPr>
          <w:p>
            <w:pPr>
              <w:spacing w:after="0"/>
              <w:rPr>
                <w:sz w:val="17"/>
                <w:szCs w:val="17"/>
                <w:color w:val="auto"/>
              </w:rPr>
            </w:pPr>
          </w:p>
        </w:tc>
        <w:tc>
          <w:tcPr>
            <w:tcW w:w="2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vMerge w:val="restart"/>
          </w:tcPr>
          <w:p>
            <w:pPr>
              <w:jc w:val="right"/>
              <w:ind w:right="14"/>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7"/>
                <w:szCs w:val="17"/>
                <w:color w:val="auto"/>
              </w:rPr>
            </w:pPr>
          </w:p>
        </w:tc>
        <w:tc>
          <w:tcPr>
            <w:tcW w:w="640" w:type="dxa"/>
            <w:vAlign w:val="bottom"/>
            <w:vMerge w:val="restart"/>
          </w:tcPr>
          <w:p>
            <w:pPr>
              <w:jc w:val="right"/>
              <w:ind w:right="12"/>
              <w:spacing w:after="0"/>
              <w:rPr>
                <w:sz w:val="20"/>
                <w:szCs w:val="20"/>
                <w:color w:val="auto"/>
              </w:rPr>
            </w:pPr>
            <w:r>
              <w:rPr>
                <w:rFonts w:ascii="Times New Roman" w:cs="Times New Roman" w:eastAsia="Times New Roman" w:hAnsi="Times New Roman"/>
                <w:sz w:val="18"/>
                <w:szCs w:val="18"/>
                <w:color w:val="auto"/>
              </w:rPr>
              <w:t>$9,800</w:t>
            </w:r>
          </w:p>
        </w:tc>
        <w:tc>
          <w:tcPr>
            <w:tcW w:w="120" w:type="dxa"/>
            <w:vAlign w:val="bottom"/>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vMerge w:val="restart"/>
          </w:tcPr>
          <w:p>
            <w:pPr>
              <w:jc w:val="right"/>
              <w:ind w:right="13"/>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tcPr>
          <w:p>
            <w:pPr>
              <w:spacing w:after="0"/>
              <w:rPr>
                <w:sz w:val="17"/>
                <w:szCs w:val="17"/>
                <w:color w:val="auto"/>
              </w:rPr>
            </w:pPr>
          </w:p>
        </w:tc>
        <w:tc>
          <w:tcPr>
            <w:tcW w:w="1020" w:type="dxa"/>
            <w:vAlign w:val="bottom"/>
            <w:vMerge w:val="restart"/>
          </w:tcPr>
          <w:p>
            <w:pPr>
              <w:jc w:val="right"/>
              <w:ind w:right="14"/>
              <w:spacing w:after="0"/>
              <w:rPr>
                <w:sz w:val="20"/>
                <w:szCs w:val="20"/>
                <w:color w:val="auto"/>
              </w:rPr>
            </w:pPr>
            <w:r>
              <w:rPr>
                <w:rFonts w:ascii="Times New Roman" w:cs="Times New Roman" w:eastAsia="Times New Roman" w:hAnsi="Times New Roman"/>
                <w:sz w:val="18"/>
                <w:szCs w:val="18"/>
                <w:color w:val="auto"/>
              </w:rPr>
              <w:t>$ 4,019,850</w:t>
            </w:r>
          </w:p>
        </w:tc>
        <w:tc>
          <w:tcPr>
            <w:tcW w:w="10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$(2,403,291)</w:t>
            </w:r>
          </w:p>
        </w:tc>
        <w:tc>
          <w:tcPr>
            <w:tcW w:w="120" w:type="dxa"/>
            <w:vAlign w:val="bottom"/>
          </w:tcPr>
          <w:p>
            <w:pPr>
              <w:spacing w:after="0"/>
              <w:rPr>
                <w:sz w:val="17"/>
                <w:szCs w:val="17"/>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12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7"/>
              </w:rPr>
              <w:t>$ (241,969)</w:t>
            </w:r>
          </w:p>
        </w:tc>
        <w:tc>
          <w:tcPr>
            <w:tcW w:w="100" w:type="dxa"/>
            <w:vAlign w:val="bottom"/>
          </w:tcPr>
          <w:p>
            <w:pPr>
              <w:spacing w:after="0"/>
              <w:rPr>
                <w:sz w:val="17"/>
                <w:szCs w:val="17"/>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68,996</w:t>
            </w:r>
          </w:p>
        </w:tc>
        <w:tc>
          <w:tcPr>
            <w:tcW w:w="0" w:type="dxa"/>
            <w:vAlign w:val="bottom"/>
          </w:tcPr>
          <w:p>
            <w:pPr>
              <w:spacing w:after="0"/>
              <w:rPr>
                <w:sz w:val="1"/>
                <w:szCs w:val="1"/>
                <w:color w:val="auto"/>
              </w:rPr>
            </w:pPr>
          </w:p>
        </w:tc>
      </w:tr>
      <w:tr>
        <w:trPr>
          <w:trHeight w:val="24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2013</w:t>
            </w:r>
          </w:p>
        </w:tc>
        <w:tc>
          <w:tcPr>
            <w:tcW w:w="260" w:type="dxa"/>
            <w:vAlign w:val="bottom"/>
            <w:tcBorders>
              <w:bottom w:val="single" w:sz="8" w:color="auto"/>
            </w:tcBorders>
            <w:vMerge w:val="continue"/>
          </w:tcPr>
          <w:p>
            <w:pPr>
              <w:spacing w:after="0"/>
              <w:rPr>
                <w:sz w:val="20"/>
                <w:szCs w:val="20"/>
                <w:color w:val="auto"/>
              </w:rPr>
            </w:pPr>
          </w:p>
        </w:tc>
        <w:tc>
          <w:tcPr>
            <w:tcW w:w="4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5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5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-4621530</wp:posOffset>
            </wp:positionV>
            <wp:extent cx="7246620" cy="46050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4605020"/>
                    </a:xfrm>
                    <a:prstGeom prst="rect">
                      <a:avLst/>
                    </a:prstGeom>
                    <a:noFill/>
                  </pic:spPr>
                </pic:pic>
              </a:graphicData>
            </a:graphic>
          </wp:anchor>
        </w:drawing>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Explanatory Notes: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120"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11 for details on the Company's Cumulative Redeemable Preferred Stock.</w:t>
      </w:r>
    </w:p>
    <w:p>
      <w:pPr>
        <w:spacing w:after="0" w:line="17" w:lineRule="exact"/>
        <w:rPr>
          <w:rFonts w:ascii="Times New Roman" w:cs="Times New Roman" w:eastAsia="Times New Roman" w:hAnsi="Times New Roman"/>
          <w:sz w:val="14"/>
          <w:szCs w:val="14"/>
          <w:color w:val="auto"/>
        </w:rPr>
      </w:pPr>
    </w:p>
    <w:p>
      <w:pPr>
        <w:ind w:left="660" w:hanging="652"/>
        <w:spacing w:after="0"/>
        <w:tabs>
          <w:tab w:leader="none" w:pos="6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three months ended March 31, 2013 net loss shown above excludes $519 of net loss attributable to redeemable noncontrolling interests.</w:t>
      </w:r>
    </w:p>
    <w:p>
      <w:pPr>
        <w:spacing w:after="0" w:line="1" w:lineRule="exact"/>
        <w:rPr>
          <w:rFonts w:ascii="Times New Roman" w:cs="Times New Roman" w:eastAsia="Times New Roman" w:hAnsi="Times New Roman"/>
          <w:sz w:val="14"/>
          <w:szCs w:val="14"/>
          <w:color w:val="auto"/>
        </w:rPr>
      </w:pPr>
    </w:p>
    <w:p>
      <w:pPr>
        <w:ind w:left="660" w:hanging="652"/>
        <w:spacing w:after="0"/>
        <w:tabs>
          <w:tab w:leader="none" w:pos="6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$11.1 million of operating property assets contributed by a noncontrolling partner (see Note 4).</w:t>
      </w:r>
    </w:p>
    <w:p>
      <w:pPr>
        <w:spacing w:after="0" w:line="1" w:lineRule="exact"/>
        <w:rPr>
          <w:rFonts w:ascii="Times New Roman" w:cs="Times New Roman" w:eastAsia="Times New Roman" w:hAnsi="Times New Roman"/>
          <w:sz w:val="14"/>
          <w:szCs w:val="14"/>
          <w:color w:val="auto"/>
        </w:rPr>
      </w:pPr>
    </w:p>
    <w:p>
      <w:pPr>
        <w:ind w:left="660" w:hanging="652"/>
        <w:spacing w:after="0"/>
        <w:tabs>
          <w:tab w:leader="none" w:pos="6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$8.8 million payment to redeem a noncontrolling member's interest.</w:t>
      </w:r>
    </w:p>
    <w:p>
      <w:pPr>
        <w:spacing w:after="0" w:line="165" w:lineRule="exact"/>
        <w:rPr>
          <w:sz w:val="20"/>
          <w:szCs w:val="20"/>
          <w:color w:val="auto"/>
        </w:rPr>
      </w:pPr>
    </w:p>
    <w:p>
      <w:pPr>
        <w:jc w:val="center"/>
        <w:ind w:left="1140"/>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5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Total</w:t>
      </w:r>
    </w:p>
    <w:p>
      <w:pPr>
        <w:spacing w:after="0" w:line="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Equity</w:t>
      </w:r>
    </w:p>
    <w:p>
      <w:pPr>
        <w:spacing w:after="0" w:line="246" w:lineRule="exact"/>
        <w:rPr>
          <w:sz w:val="20"/>
          <w:szCs w:val="20"/>
          <w:color w:val="auto"/>
        </w:rPr>
      </w:pPr>
    </w:p>
    <w:p>
      <w:pPr>
        <w:ind w:left="180" w:hanging="179"/>
        <w:spacing w:after="0"/>
        <w:tabs>
          <w:tab w:leader="none" w:pos="1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1,313,154</w:t>
      </w:r>
    </w:p>
    <w:p>
      <w:pPr>
        <w:spacing w:after="0" w:line="279" w:lineRule="exact"/>
        <w:rPr>
          <w:rFonts w:ascii="Times New Roman" w:cs="Times New Roman" w:eastAsia="Times New Roman" w:hAnsi="Times New Roman"/>
          <w:sz w:val="18"/>
          <w:szCs w:val="18"/>
          <w:color w:val="auto"/>
        </w:rPr>
      </w:pPr>
    </w:p>
    <w:p>
      <w:pPr>
        <w:ind w:left="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193,510</w:t>
      </w:r>
    </w:p>
    <w:p>
      <w:pPr>
        <w:spacing w:after="0" w:line="279"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(10,580)</w:t>
      </w:r>
    </w:p>
    <w:p>
      <w:pPr>
        <w:spacing w:after="0" w:line="200" w:lineRule="exact"/>
        <w:rPr>
          <w:sz w:val="20"/>
          <w:szCs w:val="20"/>
          <w:color w:val="auto"/>
        </w:rPr>
      </w:pPr>
    </w:p>
    <w:p>
      <w:pPr>
        <w:spacing w:after="0" w:line="29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(4,691)</w:t>
      </w:r>
    </w:p>
    <w:p>
      <w:pPr>
        <w:spacing w:after="0" w:line="2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(31,734)</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(279)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(1,744)</w:t>
      </w:r>
    </w:p>
    <w:p>
      <w:pPr>
        <w:spacing w:after="0" w:line="200" w:lineRule="exact"/>
        <w:rPr>
          <w:sz w:val="20"/>
          <w:szCs w:val="20"/>
          <w:color w:val="auto"/>
        </w:rPr>
      </w:pPr>
    </w:p>
    <w:p>
      <w:pPr>
        <w:spacing w:after="0" w:line="29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11,079</w:t>
      </w:r>
    </w:p>
    <w:p>
      <w:pPr>
        <w:spacing w:after="0" w:line="200" w:lineRule="exact"/>
        <w:rPr>
          <w:sz w:val="20"/>
          <w:szCs w:val="20"/>
          <w:color w:val="auto"/>
        </w:rPr>
      </w:pPr>
    </w:p>
    <w:p>
      <w:pPr>
        <w:spacing w:after="0" w:line="29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(16,623)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$ 1,452,092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51435</wp:posOffset>
            </wp:positionV>
            <wp:extent cx="6604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ectPr>
          <w:pgSz w:w="11900" w:h="16838" w:orient="portrait"/>
          <w:cols w:equalWidth="0" w:num="2">
            <w:col w:w="10280" w:space="140"/>
            <w:col w:w="960"/>
          </w:cols>
          <w:pgMar w:left="240" w:top="114" w:right="279" w:bottom="1440" w:gutter="0" w:footer="0" w:header="0"/>
          <w:type w:val="continuous"/>
        </w:sectPr>
      </w:pPr>
    </w:p>
    <w:bookmarkStart w:id="7" w:name="page8"/>
    <w:bookmarkEnd w:id="7"/>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iStar Financial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264"/>
        </w:trPr>
        <w:tc>
          <w:tcPr>
            <w:tcW w:w="856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235"/>
        </w:trPr>
        <w:tc>
          <w:tcPr>
            <w:tcW w:w="8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37"/>
        </w:trPr>
        <w:tc>
          <w:tcPr>
            <w:tcW w:w="85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(32,253)</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(46,048)</w:t>
            </w:r>
          </w:p>
        </w:tc>
      </w:tr>
      <w:tr>
        <w:trPr>
          <w:trHeight w:val="33"/>
        </w:trPr>
        <w:tc>
          <w:tcPr>
            <w:tcW w:w="8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Adjustments to reconcile net income (loss) to cash flows from operating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8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Provision for loan losses</w:t>
            </w:r>
          </w:p>
        </w:tc>
        <w:tc>
          <w:tcPr>
            <w:tcW w:w="1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10,206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17,500</w:t>
            </w:r>
          </w:p>
        </w:tc>
      </w:tr>
      <w:tr>
        <w:trPr>
          <w:trHeight w:val="33"/>
        </w:trPr>
        <w:tc>
          <w:tcPr>
            <w:tcW w:w="8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Impairment of assets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17,807</w:t>
            </w:r>
          </w:p>
        </w:tc>
      </w:tr>
      <w:tr>
        <w:trPr>
          <w:trHeight w:val="237"/>
        </w:trPr>
        <w:tc>
          <w:tcPr>
            <w:tcW w:w="8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17,354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17,238</w:t>
            </w:r>
          </w:p>
        </w:tc>
      </w:tr>
      <w:tr>
        <w:trPr>
          <w:trHeight w:val="33"/>
        </w:trPr>
        <w:tc>
          <w:tcPr>
            <w:tcW w:w="8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Payments for withholding taxes upon vesting of stock-based compensation</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(9,894)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(11,657)</w:t>
            </w:r>
          </w:p>
        </w:tc>
      </w:tr>
      <w:tr>
        <w:trPr>
          <w:trHeight w:val="237"/>
        </w:trPr>
        <w:tc>
          <w:tcPr>
            <w:tcW w:w="8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Non-cash expense for stock-based compensation</w:t>
            </w:r>
          </w:p>
        </w:tc>
        <w:tc>
          <w:tcPr>
            <w:tcW w:w="1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5,202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4,666</w:t>
            </w:r>
          </w:p>
        </w:tc>
      </w:tr>
      <w:tr>
        <w:trPr>
          <w:trHeight w:val="33"/>
        </w:trPr>
        <w:tc>
          <w:tcPr>
            <w:tcW w:w="8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Amortization of discounts/premiums and deferred financing costs on debt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5,000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8,698</w:t>
            </w:r>
          </w:p>
        </w:tc>
      </w:tr>
      <w:tr>
        <w:trPr>
          <w:trHeight w:val="237"/>
        </w:trPr>
        <w:tc>
          <w:tcPr>
            <w:tcW w:w="8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Amortization of discounts/premiums and deferred interest on loans</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(6,853)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(11,773)</w:t>
            </w:r>
          </w:p>
        </w:tc>
      </w:tr>
      <w:tr>
        <w:trPr>
          <w:trHeight w:val="33"/>
        </w:trPr>
        <w:tc>
          <w:tcPr>
            <w:tcW w:w="8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Earnings from equity method 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(21,678)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(34,786)</w:t>
            </w:r>
          </w:p>
        </w:tc>
      </w:tr>
      <w:tr>
        <w:trPr>
          <w:trHeight w:val="237"/>
        </w:trPr>
        <w:tc>
          <w:tcPr>
            <w:tcW w:w="8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Distributions from operations of equity method investments</w:t>
            </w:r>
          </w:p>
        </w:tc>
        <w:tc>
          <w:tcPr>
            <w:tcW w:w="1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6,109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11,358</w:t>
            </w:r>
          </w:p>
        </w:tc>
      </w:tr>
      <w:tr>
        <w:trPr>
          <w:trHeight w:val="33"/>
        </w:trPr>
        <w:tc>
          <w:tcPr>
            <w:tcW w:w="8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Deferred operating lease income</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(2,516)</w:t>
            </w:r>
          </w:p>
        </w:tc>
      </w:tr>
      <w:tr>
        <w:trPr>
          <w:trHeight w:val="237"/>
        </w:trPr>
        <w:tc>
          <w:tcPr>
            <w:tcW w:w="8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Income from sales of residential property</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(23,697)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(6,733)</w:t>
            </w:r>
          </w:p>
        </w:tc>
      </w:tr>
      <w:tr>
        <w:trPr>
          <w:trHeight w:val="33"/>
        </w:trPr>
        <w:tc>
          <w:tcPr>
            <w:tcW w:w="8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Gain from discontinued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(2,406)</w:t>
            </w:r>
          </w:p>
        </w:tc>
      </w:tr>
      <w:tr>
        <w:trPr>
          <w:trHeight w:val="237"/>
        </w:trPr>
        <w:tc>
          <w:tcPr>
            <w:tcW w:w="8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(Gain) loss on early extinguishment of debt, net</w:t>
            </w:r>
          </w:p>
        </w:tc>
        <w:tc>
          <w:tcPr>
            <w:tcW w:w="1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9,541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(1,704)</w:t>
            </w:r>
          </w:p>
        </w:tc>
      </w:tr>
      <w:tr>
        <w:trPr>
          <w:trHeight w:val="33"/>
        </w:trPr>
        <w:tc>
          <w:tcPr>
            <w:tcW w:w="8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Repayments and repurchases of debt - debt discount and prepayment penalty(1)</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(20,057)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(6,248)</w:t>
            </w:r>
          </w:p>
        </w:tc>
      </w:tr>
      <w:tr>
        <w:trPr>
          <w:trHeight w:val="237"/>
        </w:trPr>
        <w:tc>
          <w:tcPr>
            <w:tcW w:w="8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operating activities, net</w:t>
            </w:r>
          </w:p>
        </w:tc>
        <w:tc>
          <w:tcPr>
            <w:tcW w:w="1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1,537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1,679</w:t>
            </w:r>
          </w:p>
        </w:tc>
      </w:tr>
      <w:tr>
        <w:trPr>
          <w:trHeight w:val="33"/>
        </w:trPr>
        <w:tc>
          <w:tcPr>
            <w:tcW w:w="8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85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Changes in accrued interest and operating lease income receivable, net</w:t>
            </w:r>
          </w:p>
        </w:tc>
        <w:tc>
          <w:tcPr>
            <w:tcW w:w="1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973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1,581</w:t>
            </w:r>
          </w:p>
        </w:tc>
      </w:tr>
      <w:tr>
        <w:trPr>
          <w:trHeight w:val="33"/>
        </w:trPr>
        <w:tc>
          <w:tcPr>
            <w:tcW w:w="8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Changes in deferred expenses and other assets, net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(12,420)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(14,326)</w:t>
            </w:r>
          </w:p>
        </w:tc>
      </w:tr>
      <w:tr>
        <w:trPr>
          <w:trHeight w:val="237"/>
        </w:trPr>
        <w:tc>
          <w:tcPr>
            <w:tcW w:w="85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Changes in accounts payable, accrued expenses and other liabilities</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5,793</w:t>
            </w:r>
          </w:p>
        </w:tc>
      </w:tr>
      <w:tr>
        <w:trPr>
          <w:trHeight w:val="33"/>
        </w:trPr>
        <w:tc>
          <w:tcPr>
            <w:tcW w:w="85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(83,691)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(51,877)</w:t>
            </w:r>
          </w:p>
        </w:tc>
      </w:tr>
      <w:tr>
        <w:trPr>
          <w:trHeight w:val="217"/>
        </w:trPr>
        <w:tc>
          <w:tcPr>
            <w:tcW w:w="85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r>
      <w:tr>
        <w:trPr>
          <w:trHeight w:val="33"/>
        </w:trPr>
        <w:tc>
          <w:tcPr>
            <w:tcW w:w="8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Investment originations and fundings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(8,376)</w:t>
            </w:r>
          </w:p>
        </w:tc>
      </w:tr>
      <w:tr>
        <w:trPr>
          <w:trHeight w:val="237"/>
        </w:trPr>
        <w:tc>
          <w:tcPr>
            <w:tcW w:w="8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Capital expenditures on real estate assets</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(16,314)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(11,080)</w:t>
            </w:r>
          </w:p>
        </w:tc>
      </w:tr>
      <w:tr>
        <w:trPr>
          <w:trHeight w:val="33"/>
        </w:trPr>
        <w:tc>
          <w:tcPr>
            <w:tcW w:w="8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Contributions to unconsolidated entities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(3,570)</w:t>
            </w:r>
          </w:p>
        </w:tc>
      </w:tr>
      <w:tr>
        <w:trPr>
          <w:trHeight w:val="237"/>
        </w:trPr>
        <w:tc>
          <w:tcPr>
            <w:tcW w:w="8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Repayments of and principal collections on loans</w:t>
            </w:r>
          </w:p>
        </w:tc>
        <w:tc>
          <w:tcPr>
            <w:tcW w:w="1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193,288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146,242</w:t>
            </w:r>
          </w:p>
        </w:tc>
      </w:tr>
      <w:tr>
        <w:trPr>
          <w:trHeight w:val="33"/>
        </w:trPr>
        <w:tc>
          <w:tcPr>
            <w:tcW w:w="8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proceeds from sales of loans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37,703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8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proceeds from sales of real estate assets</w:t>
            </w:r>
          </w:p>
        </w:tc>
        <w:tc>
          <w:tcPr>
            <w:tcW w:w="1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107,192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57,859</w:t>
            </w:r>
          </w:p>
        </w:tc>
      </w:tr>
      <w:tr>
        <w:trPr>
          <w:trHeight w:val="33"/>
        </w:trPr>
        <w:tc>
          <w:tcPr>
            <w:tcW w:w="8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Distributions from unconsolidated entities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13,024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13,655</w:t>
            </w:r>
          </w:p>
        </w:tc>
      </w:tr>
      <w:tr>
        <w:trPr>
          <w:trHeight w:val="237"/>
        </w:trPr>
        <w:tc>
          <w:tcPr>
            <w:tcW w:w="8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Changes in restricted cash held in connection with investing activities</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(492,854)</w:t>
            </w:r>
          </w:p>
        </w:tc>
      </w:tr>
      <w:tr>
        <w:trPr>
          <w:trHeight w:val="33"/>
        </w:trPr>
        <w:tc>
          <w:tcPr>
            <w:tcW w:w="8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investing activities, net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57</w:t>
            </w:r>
          </w:p>
        </w:tc>
      </w:tr>
      <w:tr>
        <w:trPr>
          <w:trHeight w:val="217"/>
        </w:trPr>
        <w:tc>
          <w:tcPr>
            <w:tcW w:w="85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311,477</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(298,067)</w:t>
            </w:r>
          </w:p>
        </w:tc>
      </w:tr>
      <w:tr>
        <w:trPr>
          <w:trHeight w:val="33"/>
        </w:trPr>
        <w:tc>
          <w:tcPr>
            <w:tcW w:w="85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8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37"/>
        </w:trPr>
        <w:tc>
          <w:tcPr>
            <w:tcW w:w="8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Borrowings under secured credit facilities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658,700</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864,750</w:t>
            </w:r>
          </w:p>
        </w:tc>
      </w:tr>
      <w:tr>
        <w:trPr>
          <w:trHeight w:val="33"/>
        </w:trPr>
        <w:tc>
          <w:tcPr>
            <w:tcW w:w="8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Repayments under secured credit facilities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(844,766)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(88,896)</w:t>
            </w:r>
          </w:p>
        </w:tc>
      </w:tr>
      <w:tr>
        <w:trPr>
          <w:trHeight w:val="237"/>
        </w:trPr>
        <w:tc>
          <w:tcPr>
            <w:tcW w:w="8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Repayments under unsecured credit facilities</w:t>
            </w: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(244,046)</w:t>
            </w:r>
          </w:p>
        </w:tc>
      </w:tr>
      <w:tr>
        <w:trPr>
          <w:trHeight w:val="33"/>
        </w:trPr>
        <w:tc>
          <w:tcPr>
            <w:tcW w:w="8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Repayments under secured term loans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(2,138)</w:t>
            </w:r>
          </w:p>
        </w:tc>
      </w:tr>
      <w:tr>
        <w:trPr>
          <w:trHeight w:val="237"/>
        </w:trPr>
        <w:tc>
          <w:tcPr>
            <w:tcW w:w="8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Repayments under unsecured notes</w:t>
            </w: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(169,383)</w:t>
            </w:r>
          </w:p>
        </w:tc>
      </w:tr>
      <w:tr>
        <w:trPr>
          <w:trHeight w:val="33"/>
        </w:trPr>
        <w:tc>
          <w:tcPr>
            <w:tcW w:w="8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Repurchases and redemptions of secured and unsecured notes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(214,194)</w:t>
            </w:r>
          </w:p>
        </w:tc>
      </w:tr>
      <w:tr>
        <w:trPr>
          <w:trHeight w:val="237"/>
        </w:trPr>
        <w:tc>
          <w:tcPr>
            <w:tcW w:w="8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Payments for deferred financing costs</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(14,584)</w:t>
            </w:r>
          </w:p>
        </w:tc>
      </w:tr>
      <w:tr>
        <w:trPr>
          <w:trHeight w:val="33"/>
        </w:trPr>
        <w:tc>
          <w:tcPr>
            <w:tcW w:w="8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Preferred dividends paid</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(10,580)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(10,580)</w:t>
            </w:r>
          </w:p>
        </w:tc>
      </w:tr>
      <w:tr>
        <w:trPr>
          <w:trHeight w:val="237"/>
        </w:trPr>
        <w:tc>
          <w:tcPr>
            <w:tcW w:w="8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proceeds from issuance of preferred shares</w:t>
            </w:r>
          </w:p>
        </w:tc>
        <w:tc>
          <w:tcPr>
            <w:tcW w:w="1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193,510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8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financing activities, net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(9,577)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(952)</w:t>
            </w:r>
          </w:p>
        </w:tc>
      </w:tr>
      <w:tr>
        <w:trPr>
          <w:trHeight w:val="217"/>
        </w:trPr>
        <w:tc>
          <w:tcPr>
            <w:tcW w:w="85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(15,736)</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119,977</w:t>
            </w:r>
          </w:p>
        </w:tc>
      </w:tr>
      <w:tr>
        <w:trPr>
          <w:trHeight w:val="33"/>
        </w:trPr>
        <w:tc>
          <w:tcPr>
            <w:tcW w:w="85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8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Changes in 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212,050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(229,967)</w:t>
            </w:r>
          </w:p>
        </w:tc>
      </w:tr>
      <w:tr>
        <w:trPr>
          <w:trHeight w:val="237"/>
        </w:trPr>
        <w:tc>
          <w:tcPr>
            <w:tcW w:w="8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1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256,344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356,826</w:t>
            </w:r>
          </w:p>
        </w:tc>
      </w:tr>
      <w:tr>
        <w:trPr>
          <w:trHeight w:val="33"/>
        </w:trPr>
        <w:tc>
          <w:tcPr>
            <w:tcW w:w="85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468,394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126,859</w:t>
            </w:r>
          </w:p>
        </w:tc>
      </w:tr>
      <w:tr>
        <w:trPr>
          <w:trHeight w:val="20"/>
        </w:trPr>
        <w:tc>
          <w:tcPr>
            <w:tcW w:w="8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Explanatory Note: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120" w:lineRule="exact"/>
        <w:rPr>
          <w:sz w:val="20"/>
          <w:szCs w:val="20"/>
          <w:color w:val="auto"/>
        </w:rPr>
      </w:pPr>
    </w:p>
    <w:p>
      <w:pPr>
        <w:jc w:val="both"/>
        <w:ind w:left="660" w:hanging="652"/>
        <w:spacing w:after="0" w:line="282" w:lineRule="auto"/>
        <w:tabs>
          <w:tab w:leader="none" w:pos="6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$3.0 million represents the portion of debt repayments and repurchases made during the period related to the original issue discount ("OID"). Although these amounts do not reflect contractual interest payments made during the period, the OID is considered an operating cash flow in accordance with GAAP. In addition, $17.1 million represents prepayment penalty</w:t>
      </w:r>
    </w:p>
    <w:p>
      <w:pPr>
        <w:sectPr>
          <w:pgSz w:w="11900" w:h="16915" w:orient="portrait"/>
          <w:cols w:equalWidth="0" w:num="1">
            <w:col w:w="11420"/>
          </w:cols>
          <w:pgMar w:left="240" w:top="114" w:right="239" w:bottom="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color w:val="auto"/>
        </w:rPr>
        <w:t>paid in connection with the October 2012 Secured Credit Facility refinancing.</w:t>
      </w:r>
    </w:p>
    <w:p>
      <w:pPr>
        <w:spacing w:after="0" w:line="180"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52"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9559"/>
          </w:cols>
          <w:pgMar w:left="900" w:top="118" w:right="144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iStar Financial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1—Business and Organization</w:t>
      </w:r>
    </w:p>
    <w:p>
      <w:pPr>
        <w:spacing w:after="0" w:line="185"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18"/>
          <w:szCs w:val="18"/>
          <w:b w:val="1"/>
          <w:bCs w:val="1"/>
          <w:color w:val="auto"/>
        </w:rPr>
        <w:t>Business</w:t>
      </w:r>
      <w:r>
        <w:rPr>
          <w:rFonts w:ascii="Times New Roman" w:cs="Times New Roman" w:eastAsia="Times New Roman" w:hAnsi="Times New Roman"/>
          <w:sz w:val="18"/>
          <w:szCs w:val="18"/>
          <w:color w:val="auto"/>
        </w:rPr>
        <w:t>—iStar Financial Inc., or the "Company," is a fully-integrated finance and investment company focused on the commercial real estate industry.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provides custom-tailored investment capital to high-end private and corporate owners of real estate and invests directly across a range of real estate sectors. The Company, which is taxed as a real estate investment trust, or "REIT," has invested more than $35 billion over the past two decades. The Company's primary business segments are real estate finance, net leasing, operating properties and land.</w:t>
      </w:r>
    </w:p>
    <w:p>
      <w:pPr>
        <w:spacing w:after="0" w:line="136"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Organization</w:t>
      </w:r>
      <w:r>
        <w:rPr>
          <w:rFonts w:ascii="Times New Roman" w:cs="Times New Roman" w:eastAsia="Times New Roman" w:hAnsi="Times New Roman"/>
          <w:sz w:val="18"/>
          <w:szCs w:val="18"/>
          <w:color w:val="auto"/>
        </w:rPr>
        <w:t>—The Company began its business in 1993 through private investment funds and became publicly traded in 1998. Since that time,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has grown through the origination of new lending and leasing transactions, as well as through corporate acquisitions.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2—Basis of Presentation and Principles of Consolidation</w:t>
      </w:r>
    </w:p>
    <w:p>
      <w:pPr>
        <w:spacing w:after="0" w:line="185" w:lineRule="exact"/>
        <w:rPr>
          <w:sz w:val="20"/>
          <w:szCs w:val="20"/>
          <w:color w:val="auto"/>
        </w:rPr>
      </w:pPr>
    </w:p>
    <w:p>
      <w:pPr>
        <w:jc w:val="both"/>
        <w:ind w:firstLine="405"/>
        <w:spacing w:after="0" w:line="259" w:lineRule="auto"/>
        <w:rPr>
          <w:sz w:val="20"/>
          <w:szCs w:val="20"/>
          <w:color w:val="auto"/>
        </w:rPr>
      </w:pPr>
      <w:r>
        <w:rPr>
          <w:rFonts w:ascii="Times New Roman" w:cs="Times New Roman" w:eastAsia="Times New Roman" w:hAnsi="Times New Roman"/>
          <w:sz w:val="18"/>
          <w:szCs w:val="18"/>
          <w:b w:val="1"/>
          <w:bCs w:val="1"/>
          <w:color w:val="auto"/>
        </w:rPr>
        <w:t>Basis of Presentation</w:t>
      </w:r>
      <w:r>
        <w:rPr>
          <w:rFonts w:ascii="Times New Roman" w:cs="Times New Roman" w:eastAsia="Times New Roman" w:hAnsi="Times New Roman"/>
          <w:sz w:val="18"/>
          <w:szCs w:val="18"/>
          <w:color w:val="auto"/>
        </w:rPr>
        <w:t>—The accompanying unaudited Consolidated Financial Statements have been prepared in conformity with the instructions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Form 10-Q and Article 10-01 of Regulation S-X for interim financial statements. Accordingly, they do not include all the information and footnotes required by generally accepted accounting principles in the United States of America ("GAAP") for complete financial statements. These unaudited Consolidated Financial Statements and related Notes should be read in conjunction with the Consolidated Financial Statements and related Notes included in the Company's Annual Report on Form 10-K for the year ended December 31, 2012.</w:t>
      </w:r>
    </w:p>
    <w:p>
      <w:pPr>
        <w:spacing w:after="0" w:line="14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dates of the financial statements and the reported amounts of revenues and expenses during the reporting periods. Actual results could differ from those estimates.</w:t>
      </w:r>
    </w:p>
    <w:p>
      <w:pPr>
        <w:spacing w:after="0" w:line="13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the opinion of management, the accompanying Consolidated Financial Statements contain all adjustments, consisting of normal recurring adjustments necessary for a fair statement of the results for the interim periods presented. Such operating results may not be indicative of the expected results for any other interim periods or the entire year.</w:t>
      </w:r>
    </w:p>
    <w:p>
      <w:pPr>
        <w:spacing w:after="0" w:line="13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Certain prior year amounts have been reclassified in the Consolidated Financial Statements and the related Notes to conform to the 2013 presentation.</w:t>
      </w:r>
    </w:p>
    <w:p>
      <w:pPr>
        <w:spacing w:after="0" w:line="18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During the interim periods ended June 30, 2012 and September 30, 2012, the Company changed the classification within its cash flow statement for certain transactions involving the repurchase of its debt that was initially issued at a discount, as well as certain payments involving the potential acquisition of real estate. The Company believes the new classification is a more meaningful reflection of these transactions (collectively the “Reclassification”) and changed the Company's cash flows from the initially reported amounts as follows:</w:t>
      </w:r>
    </w:p>
    <w:p>
      <w:pPr>
        <w:spacing w:after="0" w:line="295" w:lineRule="exact"/>
        <w:rPr>
          <w:sz w:val="20"/>
          <w:szCs w:val="20"/>
          <w:color w:val="auto"/>
        </w:rPr>
      </w:pPr>
    </w:p>
    <w:tbl>
      <w:tblPr>
        <w:tblLayout w:type="fixed"/>
        <w:tblInd w:w="96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16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As Previously Reported</w:t>
            </w:r>
          </w:p>
        </w:tc>
        <w:tc>
          <w:tcPr>
            <w:tcW w:w="320" w:type="dxa"/>
            <w:vAlign w:val="bottom"/>
          </w:tcPr>
          <w:p>
            <w:pPr>
              <w:spacing w:after="0"/>
              <w:rPr>
                <w:sz w:val="16"/>
                <w:szCs w:val="16"/>
                <w:color w:val="auto"/>
              </w:rPr>
            </w:pPr>
          </w:p>
        </w:tc>
        <w:tc>
          <w:tcPr>
            <w:tcW w:w="13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Pr>
          <w:p>
            <w:pPr>
              <w:spacing w:after="0"/>
              <w:rPr>
                <w:sz w:val="16"/>
                <w:szCs w:val="16"/>
                <w:color w:val="auto"/>
              </w:rPr>
            </w:pPr>
          </w:p>
        </w:tc>
        <w:tc>
          <w:tcPr>
            <w:tcW w:w="132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As Reclassified</w:t>
            </w:r>
          </w:p>
        </w:tc>
        <w:tc>
          <w:tcPr>
            <w:tcW w:w="0" w:type="dxa"/>
            <w:vAlign w:val="bottom"/>
          </w:tcPr>
          <w:p>
            <w:pPr>
              <w:spacing w:after="0"/>
              <w:rPr>
                <w:sz w:val="1"/>
                <w:szCs w:val="1"/>
                <w:color w:val="auto"/>
              </w:rPr>
            </w:pPr>
          </w:p>
        </w:tc>
      </w:tr>
      <w:tr>
        <w:trPr>
          <w:trHeight w:val="181"/>
        </w:trPr>
        <w:tc>
          <w:tcPr>
            <w:tcW w:w="4700" w:type="dxa"/>
            <w:vAlign w:val="bottom"/>
          </w:tcPr>
          <w:p>
            <w:pPr>
              <w:spacing w:after="0"/>
              <w:rPr>
                <w:sz w:val="15"/>
                <w:szCs w:val="15"/>
                <w:color w:val="auto"/>
              </w:rPr>
            </w:pPr>
          </w:p>
        </w:tc>
        <w:tc>
          <w:tcPr>
            <w:tcW w:w="1640" w:type="dxa"/>
            <w:vAlign w:val="bottom"/>
            <w:gridSpan w:val="3"/>
            <w:vMerge w:val="continue"/>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9"/>
        </w:trPr>
        <w:tc>
          <w:tcPr>
            <w:tcW w:w="4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operations:</w:t>
            </w: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Three months Ended March 31, 2012</w:t>
            </w: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(35,770)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(51,877)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Six months Ended June 30, 2012</w:t>
            </w:r>
          </w:p>
        </w:tc>
        <w:tc>
          <w:tcPr>
            <w:tcW w:w="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(57,196)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(67,055)</w:t>
            </w:r>
          </w:p>
        </w:tc>
        <w:tc>
          <w:tcPr>
            <w:tcW w:w="0" w:type="dxa"/>
            <w:vAlign w:val="bottom"/>
          </w:tcPr>
          <w:p>
            <w:pPr>
              <w:spacing w:after="0"/>
              <w:rPr>
                <w:sz w:val="1"/>
                <w:szCs w:val="1"/>
                <w:color w:val="auto"/>
              </w:rPr>
            </w:pPr>
          </w:p>
        </w:tc>
      </w:tr>
      <w:tr>
        <w:trPr>
          <w:trHeight w:val="297"/>
        </w:trPr>
        <w:tc>
          <w:tcPr>
            <w:tcW w:w="4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4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Three months Ended March 31, 2012</w:t>
            </w: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(307,926)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9,859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(298,067)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Six months Ended June 30, 2012</w:t>
            </w:r>
          </w:p>
        </w:tc>
        <w:tc>
          <w:tcPr>
            <w:tcW w:w="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206,147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9,859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216,006</w:t>
            </w:r>
          </w:p>
        </w:tc>
        <w:tc>
          <w:tcPr>
            <w:tcW w:w="0" w:type="dxa"/>
            <w:vAlign w:val="bottom"/>
          </w:tcPr>
          <w:p>
            <w:pPr>
              <w:spacing w:after="0"/>
              <w:rPr>
                <w:sz w:val="1"/>
                <w:szCs w:val="1"/>
                <w:color w:val="auto"/>
              </w:rPr>
            </w:pPr>
          </w:p>
        </w:tc>
      </w:tr>
      <w:tr>
        <w:trPr>
          <w:trHeight w:val="297"/>
        </w:trPr>
        <w:tc>
          <w:tcPr>
            <w:tcW w:w="4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4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Three months ended March 31, 2012</w:t>
            </w: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113,729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6,248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119,977</w:t>
            </w:r>
          </w:p>
        </w:tc>
        <w:tc>
          <w:tcPr>
            <w:tcW w:w="0" w:type="dxa"/>
            <w:vAlign w:val="bottom"/>
          </w:tcPr>
          <w:p>
            <w:pPr>
              <w:spacing w:after="0"/>
              <w:rPr>
                <w:sz w:val="1"/>
                <w:szCs w:val="1"/>
                <w:color w:val="auto"/>
              </w:rPr>
            </w:pPr>
          </w:p>
        </w:tc>
      </w:tr>
      <w:tr>
        <w:trPr>
          <w:trHeight w:val="662"/>
        </w:trPr>
        <w:tc>
          <w:tcPr>
            <w:tcW w:w="4700" w:type="dxa"/>
            <w:vAlign w:val="bottom"/>
          </w:tcPr>
          <w:p>
            <w:pPr>
              <w:spacing w:after="0"/>
              <w:rPr>
                <w:sz w:val="24"/>
                <w:szCs w:val="24"/>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iStar Financial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above changes to the amounts for the six months ended June 30, 2012 will be classified in connection with the Company's filing on Form 10-Q for the six months ended June 30, 2013. These reclassifications were also reflected in the Company's 2012 Form 10-K for the year ended December 31, 2011 to change the presentation for the items previously discussed. As a result, cash flows from operations and financing activities increased by $3.2 million and $7.0 million, while cash flows from investing decreased by $10.2 million. Additionally, within its 2012 Form 10-K, the Company corrected immaterial errors in the amount of $1.5 million in its December 31, 2010 statement of cash flows, which increased cash flows from operations and decreased cash flows from financing activities by $1.5 million.</w:t>
      </w:r>
    </w:p>
    <w:p>
      <w:pPr>
        <w:spacing w:after="0" w:line="143" w:lineRule="exact"/>
        <w:rPr>
          <w:sz w:val="20"/>
          <w:szCs w:val="20"/>
          <w:color w:val="auto"/>
        </w:rPr>
      </w:pPr>
    </w:p>
    <w:p>
      <w:pPr>
        <w:jc w:val="both"/>
        <w:ind w:firstLine="405"/>
        <w:spacing w:after="0" w:line="268" w:lineRule="auto"/>
        <w:rPr>
          <w:sz w:val="20"/>
          <w:szCs w:val="20"/>
          <w:color w:val="auto"/>
        </w:rPr>
      </w:pPr>
      <w:r>
        <w:rPr>
          <w:rFonts w:ascii="Times New Roman" w:cs="Times New Roman" w:eastAsia="Times New Roman" w:hAnsi="Times New Roman"/>
          <w:sz w:val="18"/>
          <w:szCs w:val="18"/>
          <w:b w:val="1"/>
          <w:bCs w:val="1"/>
          <w:color w:val="auto"/>
        </w:rPr>
        <w:t>Principles of Consolidation</w:t>
      </w:r>
      <w:r>
        <w:rPr>
          <w:rFonts w:ascii="Times New Roman" w:cs="Times New Roman" w:eastAsia="Times New Roman" w:hAnsi="Times New Roman"/>
          <w:sz w:val="18"/>
          <w:szCs w:val="18"/>
          <w:color w:val="auto"/>
        </w:rPr>
        <w:t>—The Consolidated Financial Statements include the financial statements of the Company, its wholly owned subsidiaries,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controlled partnerships and variable interest entities ("VIEs") for which the Company is the primary beneficiary. All significant intercompany balances and transactions have been eliminated in consolidation.</w:t>
      </w:r>
    </w:p>
    <w:p>
      <w:pPr>
        <w:spacing w:after="0" w:line="130" w:lineRule="exact"/>
        <w:rPr>
          <w:sz w:val="20"/>
          <w:szCs w:val="20"/>
          <w:color w:val="auto"/>
        </w:rPr>
      </w:pPr>
    </w:p>
    <w:p>
      <w:pPr>
        <w:jc w:val="both"/>
        <w:ind w:firstLine="40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Consolidated VIEs</w:t>
      </w:r>
      <w:r>
        <w:rPr>
          <w:rFonts w:ascii="Times New Roman" w:cs="Times New Roman" w:eastAsia="Times New Roman" w:hAnsi="Times New Roman"/>
          <w:sz w:val="18"/>
          <w:szCs w:val="18"/>
          <w:color w:val="auto"/>
        </w:rPr>
        <w:t>—As of March 31, 2013, the Company consolidated five VIEs for which the Company is considered the primary beneficiary.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assets and liabilities of the consolidated VIEs are included in the Company's Consolidated Balance Sheets. The Company's total unfunded commitments related to consolidated VIEs is $62.1 million as of March 31, 2013.</w:t>
      </w:r>
    </w:p>
    <w:p>
      <w:pPr>
        <w:spacing w:after="0" w:line="130" w:lineRule="exact"/>
        <w:rPr>
          <w:sz w:val="20"/>
          <w:szCs w:val="20"/>
          <w:color w:val="auto"/>
        </w:rPr>
      </w:pPr>
    </w:p>
    <w:p>
      <w:pPr>
        <w:jc w:val="both"/>
        <w:ind w:firstLine="405"/>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Unconsolidated VIEs</w:t>
      </w:r>
      <w:r>
        <w:rPr>
          <w:rFonts w:ascii="Times New Roman" w:cs="Times New Roman" w:eastAsia="Times New Roman" w:hAnsi="Times New Roman"/>
          <w:sz w:val="18"/>
          <w:szCs w:val="18"/>
          <w:color w:val="auto"/>
        </w:rPr>
        <w:t>—As of March 31, 2013, 27 of the Company's other investments were in VIEs where it is not the primary beneficiary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accordingly the VIEs have not been consolidated in the Company's Consolidated Financial Statements. As of March 31, 2013, the Company's maximum exposure to loss from these investments does not exceed the sum of the $149.5 million carrying value of the investments and $8.2 million of related unfunded commitments.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3—Summary of Significant Accounting Policies</w:t>
      </w:r>
    </w:p>
    <w:p>
      <w:pPr>
        <w:spacing w:after="0" w:line="189"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As of March 31, 2013, the Company's significant accounting policies, which are detailed in the Company's Annual Report on Form 10-K for the year ended December 31, 2012, have not changed materially.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189"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In February 2013, the FASB issued ASU 2013-02, “Reporting of Amounts Reclassified Out of Accumulated Other Comprehensive Income”. This guidance is the culmination of the board's redeliberation on reporting reclassification adjustments from accumulated other comprehensive income. The standard requires that companies present information about reclassification adjustments from accumulated other comprehensive income in their interim and annual financial statements in a single note or on the face of the financial statements. This ASU is effective for interim and annual reporting periods beginning after December 15, 2012. The Company has adopted this ASU beginning with the reporting period ending March 31, 2013, which did not have a material impact on the financial statements.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18" w:right="2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iStar Financial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4—Real estate</w:t>
            </w: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40" w:type="dxa"/>
            <w:vAlign w:val="bottom"/>
          </w:tcPr>
          <w:p>
            <w:pPr>
              <w:spacing w:after="0"/>
              <w:rPr>
                <w:sz w:val="24"/>
                <w:szCs w:val="24"/>
                <w:color w:val="auto"/>
              </w:rPr>
            </w:pPr>
          </w:p>
        </w:tc>
        <w:tc>
          <w:tcPr>
            <w:tcW w:w="50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99"/>
              </w:rPr>
              <w:t>The Company's real estate assets were comprised of the following ($</w:t>
            </w: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5"/>
        </w:trPr>
        <w:tc>
          <w:tcPr>
            <w:tcW w:w="34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Net Lease</w:t>
            </w:r>
          </w:p>
        </w:tc>
        <w:tc>
          <w:tcPr>
            <w:tcW w:w="240" w:type="dxa"/>
            <w:vAlign w:val="bottom"/>
          </w:tcPr>
          <w:p>
            <w:pPr>
              <w:spacing w:after="0"/>
              <w:rPr>
                <w:sz w:val="24"/>
                <w:szCs w:val="24"/>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tcPr>
          <w:p>
            <w:pPr>
              <w:spacing w:after="0"/>
              <w:rPr>
                <w:sz w:val="18"/>
                <w:szCs w:val="18"/>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Properties</w:t>
            </w:r>
          </w:p>
        </w:tc>
        <w:tc>
          <w:tcPr>
            <w:tcW w:w="320" w:type="dxa"/>
            <w:vAlign w:val="bottom"/>
          </w:tcPr>
          <w:p>
            <w:pPr>
              <w:spacing w:after="0"/>
              <w:rPr>
                <w:sz w:val="18"/>
                <w:szCs w:val="18"/>
                <w:color w:val="auto"/>
              </w:rPr>
            </w:pPr>
          </w:p>
        </w:tc>
        <w:tc>
          <w:tcPr>
            <w:tcW w:w="11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Land</w:t>
            </w:r>
          </w:p>
        </w:tc>
        <w:tc>
          <w:tcPr>
            <w:tcW w:w="320" w:type="dxa"/>
            <w:vAlign w:val="bottom"/>
          </w:tcPr>
          <w:p>
            <w:pPr>
              <w:spacing w:after="0"/>
              <w:rPr>
                <w:sz w:val="18"/>
                <w:szCs w:val="18"/>
                <w:color w:val="auto"/>
              </w:rPr>
            </w:pPr>
          </w:p>
        </w:tc>
        <w:tc>
          <w:tcPr>
            <w:tcW w:w="106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49"/>
        </w:trPr>
        <w:tc>
          <w:tcPr>
            <w:tcW w:w="340" w:type="dxa"/>
            <w:vAlign w:val="bottom"/>
          </w:tcPr>
          <w:p>
            <w:pPr>
              <w:spacing w:after="0"/>
              <w:rPr>
                <w:sz w:val="21"/>
                <w:szCs w:val="21"/>
                <w:color w:val="auto"/>
              </w:rPr>
            </w:pPr>
          </w:p>
        </w:tc>
        <w:tc>
          <w:tcPr>
            <w:tcW w:w="48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 of March 31, 2013</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4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342,221</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132,028</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793,356</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1,267,605</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4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4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1,285,058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637,680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1,922,738</w:t>
            </w: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4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(318,479)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(84,504)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(405,539)</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48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0" w:type="dxa"/>
            <w:vAlign w:val="bottom"/>
          </w:tcPr>
          <w:p>
            <w:pPr>
              <w:spacing w:after="0"/>
              <w:rPr>
                <w:sz w:val="21"/>
                <w:szCs w:val="21"/>
                <w:color w:val="auto"/>
              </w:rPr>
            </w:pPr>
          </w:p>
        </w:tc>
        <w:tc>
          <w:tcPr>
            <w:tcW w:w="4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Real estate, net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1,308,800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685,204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790,800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2,784,804</w:t>
            </w: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4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Real estate available and held for sale</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409,579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179,716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599,061</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48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40" w:type="dxa"/>
            <w:vAlign w:val="bottom"/>
          </w:tcPr>
          <w:p>
            <w:pPr>
              <w:spacing w:after="0"/>
              <w:rPr>
                <w:sz w:val="22"/>
                <w:szCs w:val="22"/>
                <w:color w:val="auto"/>
              </w:rPr>
            </w:pPr>
          </w:p>
        </w:tc>
        <w:tc>
          <w:tcPr>
            <w:tcW w:w="4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real estate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1,318,566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1,094,783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970,516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3,383,865</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84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As of December 31, 2012</w:t>
            </w: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40" w:type="dxa"/>
            <w:vAlign w:val="bottom"/>
          </w:tcPr>
          <w:p>
            <w:pPr>
              <w:spacing w:after="0"/>
              <w:rPr>
                <w:sz w:val="20"/>
                <w:szCs w:val="20"/>
                <w:color w:val="auto"/>
              </w:rPr>
            </w:pPr>
          </w:p>
        </w:tc>
        <w:tc>
          <w:tcPr>
            <w:tcW w:w="484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4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4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344,239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132,028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786,114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1,262,381</w:t>
            </w: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4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1,295,081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669,186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1,964,267</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4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0" w:type="dxa"/>
            <w:vAlign w:val="bottom"/>
          </w:tcPr>
          <w:p>
            <w:pPr>
              <w:spacing w:after="0"/>
              <w:rPr>
                <w:sz w:val="23"/>
                <w:szCs w:val="23"/>
                <w:color w:val="auto"/>
              </w:rPr>
            </w:pPr>
          </w:p>
        </w:tc>
        <w:tc>
          <w:tcPr>
            <w:tcW w:w="4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(315,699)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(109,634)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(427,625)</w:t>
            </w: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4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Real estate, net</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1,323,621</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691,580</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783,822</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2,799,023</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4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0" w:type="dxa"/>
            <w:vAlign w:val="bottom"/>
          </w:tcPr>
          <w:p>
            <w:pPr>
              <w:spacing w:after="0"/>
              <w:rPr>
                <w:sz w:val="23"/>
                <w:szCs w:val="23"/>
                <w:color w:val="auto"/>
              </w:rPr>
            </w:pPr>
          </w:p>
        </w:tc>
        <w:tc>
          <w:tcPr>
            <w:tcW w:w="4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Real estate available and held for sale</w:t>
            </w: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454,587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181,278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635,865</w:t>
            </w:r>
          </w:p>
        </w:tc>
        <w:tc>
          <w:tcPr>
            <w:tcW w:w="0" w:type="dxa"/>
            <w:vAlign w:val="bottom"/>
          </w:tcPr>
          <w:p>
            <w:pPr>
              <w:spacing w:after="0"/>
              <w:rPr>
                <w:sz w:val="1"/>
                <w:szCs w:val="1"/>
                <w:color w:val="auto"/>
              </w:rPr>
            </w:pPr>
          </w:p>
        </w:tc>
      </w:tr>
      <w:tr>
        <w:trPr>
          <w:trHeight w:val="257"/>
        </w:trPr>
        <w:tc>
          <w:tcPr>
            <w:tcW w:w="340" w:type="dxa"/>
            <w:vAlign w:val="bottom"/>
          </w:tcPr>
          <w:p>
            <w:pPr>
              <w:spacing w:after="0"/>
              <w:rPr>
                <w:sz w:val="22"/>
                <w:szCs w:val="22"/>
                <w:color w:val="auto"/>
              </w:rPr>
            </w:pPr>
          </w:p>
        </w:tc>
        <w:tc>
          <w:tcPr>
            <w:tcW w:w="4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real estate</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1,323,621</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1,146,167</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965,100</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3,434,888</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jc w:val="both"/>
        <w:ind w:firstLine="405"/>
        <w:spacing w:after="0" w:line="262" w:lineRule="auto"/>
        <w:rPr>
          <w:sz w:val="20"/>
          <w:szCs w:val="20"/>
          <w:color w:val="auto"/>
        </w:rPr>
      </w:pPr>
      <w:r>
        <w:rPr>
          <w:rFonts w:ascii="Times New Roman" w:cs="Times New Roman" w:eastAsia="Times New Roman" w:hAnsi="Times New Roman"/>
          <w:sz w:val="18"/>
          <w:szCs w:val="18"/>
          <w:b w:val="1"/>
          <w:bCs w:val="1"/>
          <w:color w:val="auto"/>
        </w:rPr>
        <w:t>Real estate available and held for sale—</w:t>
      </w:r>
      <w:r>
        <w:rPr>
          <w:rFonts w:ascii="Times New Roman" w:cs="Times New Roman" w:eastAsia="Times New Roman" w:hAnsi="Times New Roman"/>
          <w:sz w:val="18"/>
          <w:szCs w:val="18"/>
          <w:color w:val="auto"/>
        </w:rPr>
        <w:t>As of March 31, 2013 and December 31, 2012, the Company had $353.2 million and $374.1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respectively, of residential properties available for sale in its operating properties portfolio. The Company is actively marketing and selling condominium units in these projects. During the three months ended March 31, 2013 and 2012, the Company sold condominium units for total net proceeds of $75.2 million and $49.5 million, respectively, and recorded income from sales of residential properties totaling $23.7 million and $6.7 million, respectively.</w:t>
      </w:r>
    </w:p>
    <w:p>
      <w:pPr>
        <w:spacing w:after="0" w:line="140"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Real estate assets held for sale included $179.7 million of land assets, $56.4 million of commercial operating properties and $9.8 million of net lease assets as of March 31, 2013 and $181.3 million of land assets and $80.5 million of commercial operating properties as of December 31, 2012.</w:t>
      </w:r>
    </w:p>
    <w:p>
      <w:pPr>
        <w:spacing w:after="0" w:line="117" w:lineRule="exact"/>
        <w:rPr>
          <w:sz w:val="20"/>
          <w:szCs w:val="20"/>
          <w:color w:val="auto"/>
        </w:rPr>
      </w:pPr>
    </w:p>
    <w:p>
      <w:pPr>
        <w:jc w:val="both"/>
        <w:ind w:firstLine="405"/>
        <w:spacing w:after="0" w:line="259" w:lineRule="auto"/>
        <w:rPr>
          <w:sz w:val="20"/>
          <w:szCs w:val="20"/>
          <w:color w:val="auto"/>
        </w:rPr>
      </w:pPr>
      <w:r>
        <w:rPr>
          <w:rFonts w:ascii="Times New Roman" w:cs="Times New Roman" w:eastAsia="Times New Roman" w:hAnsi="Times New Roman"/>
          <w:sz w:val="18"/>
          <w:szCs w:val="18"/>
          <w:b w:val="1"/>
          <w:bCs w:val="1"/>
          <w:color w:val="auto"/>
        </w:rPr>
        <w:t>Acquisitions—</w:t>
      </w:r>
      <w:r>
        <w:rPr>
          <w:rFonts w:ascii="Times New Roman" w:cs="Times New Roman" w:eastAsia="Times New Roman" w:hAnsi="Times New Roman"/>
          <w:sz w:val="18"/>
          <w:szCs w:val="18"/>
          <w:color w:val="auto"/>
        </w:rPr>
        <w:t>During the three months ended March 31, 2013, through a newly formed joint venture, the Company acquired, via foreclosure, title 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property previously serving as collateral on a loan receivable. The Company owns 63% of the newly formed joint venture and based on the control provisions in the partnership agreement consolidates the joint venture and reflects the partner's share of the equity in "Noncontrolling interests" on the Company's Consolidated Balance Sheets. The acquisition was accounted for at fair value whereby the assets acquired were $27.2 million which approximated the Company's previous loan balance and non-controlling partner's interest in the venture. No gain or loss was recorded in conjunction with this transaction.</w:t>
      </w:r>
    </w:p>
    <w:p>
      <w:pPr>
        <w:spacing w:after="0" w:line="14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2012, the Company acquired title to properties previously serving as collateral on its loan receivables with a total fair value of $140.4 million at the time of foreclosure. These properties included $139.1 million of residential operating properties and $1.3 million of commercial operating properties.</w:t>
      </w:r>
    </w:p>
    <w:p>
      <w:pPr>
        <w:spacing w:after="0" w:line="132" w:lineRule="exact"/>
        <w:rPr>
          <w:sz w:val="20"/>
          <w:szCs w:val="20"/>
          <w:color w:val="auto"/>
        </w:rPr>
      </w:pPr>
    </w:p>
    <w:p>
      <w:pPr>
        <w:jc w:val="both"/>
        <w:ind w:firstLine="405"/>
        <w:spacing w:after="0" w:line="268" w:lineRule="auto"/>
        <w:rPr>
          <w:sz w:val="20"/>
          <w:szCs w:val="20"/>
          <w:color w:val="auto"/>
        </w:rPr>
      </w:pPr>
      <w:r>
        <w:rPr>
          <w:rFonts w:ascii="Times New Roman" w:cs="Times New Roman" w:eastAsia="Times New Roman" w:hAnsi="Times New Roman"/>
          <w:sz w:val="18"/>
          <w:szCs w:val="18"/>
          <w:b w:val="1"/>
          <w:bCs w:val="1"/>
          <w:color w:val="auto"/>
        </w:rPr>
        <w:t>Dispositions—</w:t>
      </w:r>
      <w:r>
        <w:rPr>
          <w:rFonts w:ascii="Times New Roman" w:cs="Times New Roman" w:eastAsia="Times New Roman" w:hAnsi="Times New Roman"/>
          <w:sz w:val="18"/>
          <w:szCs w:val="18"/>
          <w:color w:val="auto"/>
        </w:rPr>
        <w:t>During the three months ended March 31, 2013, the Company sold a net lease asset with a carrying value of $0.9 million for proceeds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approximated carrying value. During the same period the Company sold a commercial operating property with a carrying value of $24.1 million resulting in a net gain of $5.0 million and land assets with a carrying value of $1.9 million for proceeds that approximated carrying value.</w:t>
      </w:r>
    </w:p>
    <w:p>
      <w:pPr>
        <w:spacing w:after="0" w:line="134"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2012, the Company sold a net lease asset with a carrying value of $4.1 million, resulting in a net gain of $2.4 million. During 2012, the Company also sold a commercial operating property with a carrying value of $1.2 million and land assets with a carrying value of $0.9 million for proceeds that approximated carrying value.</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18" w:right="2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iStar Financial Inc.</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firstLine="405"/>
        <w:spacing w:after="0" w:line="286" w:lineRule="auto"/>
        <w:rPr>
          <w:sz w:val="20"/>
          <w:szCs w:val="20"/>
          <w:color w:val="auto"/>
        </w:rPr>
      </w:pPr>
      <w:r>
        <w:rPr>
          <w:rFonts w:ascii="Times New Roman" w:cs="Times New Roman" w:eastAsia="Times New Roman" w:hAnsi="Times New Roman"/>
          <w:sz w:val="18"/>
          <w:szCs w:val="18"/>
          <w:b w:val="1"/>
          <w:bCs w:val="1"/>
          <w:color w:val="auto"/>
        </w:rPr>
        <w:t>Discontinued Operations—</w:t>
      </w:r>
      <w:r>
        <w:rPr>
          <w:rFonts w:ascii="Times New Roman" w:cs="Times New Roman" w:eastAsia="Times New Roman" w:hAnsi="Times New Roman"/>
          <w:sz w:val="18"/>
          <w:szCs w:val="18"/>
          <w:color w:val="auto"/>
        </w:rPr>
        <w:t>The following table summarizes income (loss) from discontinued operations for the three months ended March 31, 2013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2012 ($ in thousands):</w:t>
      </w:r>
    </w:p>
    <w:p>
      <w:pPr>
        <w:spacing w:after="0" w:line="274" w:lineRule="exact"/>
        <w:rPr>
          <w:sz w:val="20"/>
          <w:szCs w:val="20"/>
          <w:color w:val="auto"/>
        </w:rPr>
      </w:pPr>
    </w:p>
    <w:p>
      <w:pPr>
        <w:jc w:val="center"/>
        <w:ind w:left="4920"/>
        <w:spacing w:after="0"/>
        <w:rPr>
          <w:sz w:val="20"/>
          <w:szCs w:val="20"/>
          <w:color w:val="auto"/>
        </w:rPr>
      </w:pPr>
      <w:r>
        <w:rPr>
          <w:rFonts w:ascii="Times New Roman" w:cs="Times New Roman" w:eastAsia="Times New Roman" w:hAnsi="Times New Roman"/>
          <w:sz w:val="14"/>
          <w:szCs w:val="14"/>
          <w:b w:val="1"/>
          <w:bCs w:val="1"/>
          <w:color w:val="auto"/>
        </w:rPr>
        <w:t>For the</w:t>
      </w:r>
    </w:p>
    <w:p>
      <w:pPr>
        <w:jc w:val="center"/>
        <w:ind w:left="4920"/>
        <w:spacing w:after="0" w:line="229" w:lineRule="auto"/>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 w:lineRule="exact"/>
        <w:rPr>
          <w:sz w:val="20"/>
          <w:szCs w:val="20"/>
          <w:color w:val="auto"/>
        </w:rPr>
      </w:pPr>
    </w:p>
    <w:p>
      <w:pPr>
        <w:jc w:val="center"/>
        <w:ind w:left="49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13335</wp:posOffset>
            </wp:positionV>
            <wp:extent cx="16554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85" w:lineRule="exact"/>
        <w:rPr>
          <w:sz w:val="20"/>
          <w:szCs w:val="20"/>
          <w:color w:val="auto"/>
        </w:rPr>
      </w:pPr>
    </w:p>
    <w:tbl>
      <w:tblPr>
        <w:tblLayout w:type="fixed"/>
        <w:tblInd w:w="1960" w:type="dxa"/>
        <w:tblCellMar>
          <w:top w:w="0" w:type="dxa"/>
          <w:left w:w="0" w:type="dxa"/>
          <w:bottom w:w="0" w:type="dxa"/>
          <w:right w:w="0" w:type="dxa"/>
        </w:tblCellMar>
      </w:tblPr>
      <w:tr>
        <w:trPr>
          <w:trHeight w:val="195"/>
        </w:trPr>
        <w:tc>
          <w:tcPr>
            <w:tcW w:w="49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249"/>
        </w:trPr>
        <w:tc>
          <w:tcPr>
            <w:tcW w:w="4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4,903</w:t>
            </w:r>
          </w:p>
        </w:tc>
      </w:tr>
      <w:tr>
        <w:trPr>
          <w:trHeight w:val="243"/>
        </w:trPr>
        <w:tc>
          <w:tcPr>
            <w:tcW w:w="4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expenses</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(2,989)</w:t>
            </w:r>
          </w:p>
        </w:tc>
      </w:tr>
      <w:tr>
        <w:trPr>
          <w:trHeight w:val="27"/>
        </w:trPr>
        <w:tc>
          <w:tcPr>
            <w:tcW w:w="4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Impairment of assets</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(15,275)</w:t>
            </w:r>
          </w:p>
        </w:tc>
      </w:tr>
      <w:tr>
        <w:trPr>
          <w:trHeight w:val="257"/>
        </w:trPr>
        <w:tc>
          <w:tcPr>
            <w:tcW w:w="4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(loss) from discontinued operations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961</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(13,361)</w:t>
            </w:r>
          </w:p>
        </w:tc>
      </w:tr>
      <w:tr>
        <w:trPr>
          <w:trHeight w:val="20"/>
        </w:trPr>
        <w:tc>
          <w:tcPr>
            <w:tcW w:w="4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jc w:val="both"/>
        <w:ind w:firstLine="405"/>
        <w:spacing w:after="0" w:line="268" w:lineRule="auto"/>
        <w:rPr>
          <w:sz w:val="20"/>
          <w:szCs w:val="20"/>
          <w:color w:val="auto"/>
        </w:rPr>
      </w:pPr>
      <w:r>
        <w:rPr>
          <w:rFonts w:ascii="Times New Roman" w:cs="Times New Roman" w:eastAsia="Times New Roman" w:hAnsi="Times New Roman"/>
          <w:sz w:val="18"/>
          <w:szCs w:val="18"/>
          <w:b w:val="1"/>
          <w:bCs w:val="1"/>
          <w:color w:val="auto"/>
        </w:rPr>
        <w:t>Impairments—</w:t>
      </w:r>
      <w:r>
        <w:rPr>
          <w:rFonts w:ascii="Times New Roman" w:cs="Times New Roman" w:eastAsia="Times New Roman" w:hAnsi="Times New Roman"/>
          <w:sz w:val="18"/>
          <w:szCs w:val="18"/>
          <w:color w:val="auto"/>
        </w:rPr>
        <w:t>During the three months ended March 31, 2013, the Company recorded no impairments on real estate assets. During the three months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ended March 31, 2012, the Company recorded impairments on real estate assets totaling $16.1 million. Of this amount, $15.3 million has been reclassified to discontinued operations due to the assets being sold or classified as held for sale as of March 31, 2013.</w:t>
      </w:r>
    </w:p>
    <w:p>
      <w:pPr>
        <w:spacing w:after="0" w:line="130" w:lineRule="exact"/>
        <w:rPr>
          <w:sz w:val="20"/>
          <w:szCs w:val="20"/>
          <w:color w:val="auto"/>
        </w:rPr>
      </w:pPr>
    </w:p>
    <w:p>
      <w:pPr>
        <w:jc w:val="both"/>
        <w:ind w:firstLine="405"/>
        <w:spacing w:after="0" w:line="268" w:lineRule="auto"/>
        <w:rPr>
          <w:sz w:val="20"/>
          <w:szCs w:val="20"/>
          <w:color w:val="auto"/>
        </w:rPr>
      </w:pPr>
      <w:r>
        <w:rPr>
          <w:rFonts w:ascii="Times New Roman" w:cs="Times New Roman" w:eastAsia="Times New Roman" w:hAnsi="Times New Roman"/>
          <w:sz w:val="18"/>
          <w:szCs w:val="18"/>
          <w:b w:val="1"/>
          <w:bCs w:val="1"/>
          <w:color w:val="auto"/>
        </w:rPr>
        <w:t>Intangible assets—</w:t>
      </w:r>
      <w:r>
        <w:rPr>
          <w:rFonts w:ascii="Times New Roman" w:cs="Times New Roman" w:eastAsia="Times New Roman" w:hAnsi="Times New Roman"/>
          <w:sz w:val="18"/>
          <w:szCs w:val="18"/>
          <w:color w:val="auto"/>
        </w:rPr>
        <w:t>As of March 31, 2013 and December 31, 2012 the Company had $56.9 million and $59.9 million, respectively, of unamortized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finite lived intangible assets primarily related to the acquisition of real estate assets. The total amortization expense for these intangible assets was $3.0 million and $3.1 million for the three months ended March 31, 2013 and 2012, respectively.</w:t>
      </w:r>
    </w:p>
    <w:p>
      <w:pPr>
        <w:spacing w:after="0" w:line="130" w:lineRule="exact"/>
        <w:rPr>
          <w:sz w:val="20"/>
          <w:szCs w:val="20"/>
          <w:color w:val="auto"/>
        </w:rPr>
      </w:pPr>
    </w:p>
    <w:p>
      <w:pPr>
        <w:jc w:val="both"/>
        <w:ind w:right="20" w:firstLine="405"/>
        <w:spacing w:after="0" w:line="268" w:lineRule="auto"/>
        <w:rPr>
          <w:sz w:val="20"/>
          <w:szCs w:val="20"/>
          <w:color w:val="auto"/>
        </w:rPr>
      </w:pPr>
      <w:r>
        <w:rPr>
          <w:rFonts w:ascii="Times New Roman" w:cs="Times New Roman" w:eastAsia="Times New Roman" w:hAnsi="Times New Roman"/>
          <w:sz w:val="18"/>
          <w:szCs w:val="18"/>
          <w:b w:val="1"/>
          <w:bCs w:val="1"/>
          <w:color w:val="auto"/>
        </w:rPr>
        <w:t>Tenant Reimbursements—</w:t>
      </w:r>
      <w:r>
        <w:rPr>
          <w:rFonts w:ascii="Times New Roman" w:cs="Times New Roman" w:eastAsia="Times New Roman" w:hAnsi="Times New Roman"/>
          <w:sz w:val="18"/>
          <w:szCs w:val="18"/>
          <w:color w:val="auto"/>
        </w:rPr>
        <w:t>The Company receives reimbursements from tenants for certain facility operating expenses including common area costs,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insurance, utilities and real estate taxes. Tenant expense reimbursements for the three months ended March 31, 2013 and 2012 were $7.7 million and $7.5 million, respectively, and are included in “Operating lease income” on the Company's Consolidated Statements of Operations.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5—Loans Receivable, net</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is a summary of the Company's loans receivable by class ($ in thousands):</w:t>
      </w:r>
    </w:p>
    <w:p>
      <w:pPr>
        <w:spacing w:after="0" w:line="200" w:lineRule="exact"/>
        <w:rPr>
          <w:sz w:val="20"/>
          <w:szCs w:val="20"/>
          <w:color w:val="auto"/>
        </w:rPr>
      </w:pP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83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8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Type of Investment</w:t>
            </w:r>
          </w:p>
        </w:tc>
        <w:tc>
          <w:tcPr>
            <w:tcW w:w="260" w:type="dxa"/>
            <w:vAlign w:val="bottom"/>
          </w:tcPr>
          <w:p>
            <w:pPr>
              <w:spacing w:after="0"/>
              <w:rPr>
                <w:sz w:val="12"/>
                <w:szCs w:val="12"/>
                <w:color w:val="auto"/>
              </w:rPr>
            </w:pPr>
          </w:p>
        </w:tc>
        <w:tc>
          <w:tcPr>
            <w:tcW w:w="1120" w:type="dxa"/>
            <w:vAlign w:val="bottom"/>
          </w:tcPr>
          <w:p>
            <w:pPr>
              <w:jc w:val="right"/>
              <w:ind w:right="254"/>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right"/>
              <w:ind w:right="234"/>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3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2012</w:t>
            </w:r>
          </w:p>
        </w:tc>
        <w:tc>
          <w:tcPr>
            <w:tcW w:w="0" w:type="dxa"/>
            <w:vAlign w:val="bottom"/>
          </w:tcPr>
          <w:p>
            <w:pPr>
              <w:spacing w:after="0"/>
              <w:rPr>
                <w:sz w:val="1"/>
                <w:szCs w:val="1"/>
                <w:color w:val="auto"/>
              </w:rPr>
            </w:pPr>
          </w:p>
        </w:tc>
      </w:tr>
      <w:tr>
        <w:trPr>
          <w:trHeight w:val="249"/>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mortgages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1,580,632</w:t>
            </w:r>
          </w:p>
        </w:tc>
        <w:tc>
          <w:tcPr>
            <w:tcW w:w="4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1,751,256</w:t>
            </w:r>
          </w:p>
        </w:tc>
        <w:tc>
          <w:tcPr>
            <w:tcW w:w="0" w:type="dxa"/>
            <w:vAlign w:val="bottom"/>
          </w:tcPr>
          <w:p>
            <w:pPr>
              <w:spacing w:after="0"/>
              <w:rPr>
                <w:sz w:val="1"/>
                <w:szCs w:val="1"/>
                <w:color w:val="auto"/>
              </w:rPr>
            </w:pPr>
          </w:p>
        </w:tc>
      </w:tr>
      <w:tr>
        <w:trPr>
          <w:trHeight w:val="243"/>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Subordinate mortgages</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113,754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152,737</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Corporate/Partnership loans</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410,065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450,491</w:t>
            </w:r>
          </w:p>
        </w:tc>
        <w:tc>
          <w:tcPr>
            <w:tcW w:w="0" w:type="dxa"/>
            <w:vAlign w:val="bottom"/>
          </w:tcPr>
          <w:p>
            <w:pPr>
              <w:spacing w:after="0"/>
              <w:rPr>
                <w:sz w:val="1"/>
                <w:szCs w:val="1"/>
                <w:color w:val="auto"/>
              </w:rPr>
            </w:pPr>
          </w:p>
        </w:tc>
      </w:tr>
      <w:tr>
        <w:trPr>
          <w:trHeight w:val="237"/>
        </w:trPr>
        <w:tc>
          <w:tcPr>
            <w:tcW w:w="8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gross carrying value of loans(1)</w:t>
            </w: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2,104,451</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2,354,484</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Reserves for loan losses</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(521,795)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(524,499)</w:t>
            </w:r>
          </w:p>
        </w:tc>
        <w:tc>
          <w:tcPr>
            <w:tcW w:w="0" w:type="dxa"/>
            <w:vAlign w:val="bottom"/>
          </w:tcPr>
          <w:p>
            <w:pPr>
              <w:spacing w:after="0"/>
              <w:rPr>
                <w:sz w:val="1"/>
                <w:szCs w:val="1"/>
                <w:color w:val="auto"/>
              </w:rPr>
            </w:pPr>
          </w:p>
        </w:tc>
      </w:tr>
      <w:tr>
        <w:trPr>
          <w:trHeight w:val="257"/>
        </w:trPr>
        <w:tc>
          <w:tcPr>
            <w:tcW w:w="8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loans receivable, net</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1,582,656</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1,829,985</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Explanatory Note: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120" w:lineRule="exact"/>
        <w:rPr>
          <w:sz w:val="20"/>
          <w:szCs w:val="20"/>
          <w:color w:val="auto"/>
        </w:rPr>
      </w:pPr>
    </w:p>
    <w:p>
      <w:pPr>
        <w:ind w:left="660" w:right="20" w:hanging="652"/>
        <w:spacing w:after="0" w:line="282" w:lineRule="auto"/>
        <w:tabs>
          <w:tab w:leader="none" w:pos="6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recorded investment in loans as of March 31, 2013 and December 31, 2012, was $2.11 billion and $2.36 billion, respectively, which consists of total gross carrying value of loans plus accrued interest of $8.5 million and $9.8 million, for the same two periods, respectively.</w:t>
      </w:r>
    </w:p>
    <w:p>
      <w:pPr>
        <w:spacing w:after="0" w:line="126"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2013, the Company funded $13.3 million of loans and received principal repayments of $193.3 million. During the same period, the Company sold loans with a total carrying value of $38.3 million, for which it recorded net realized losses of $0.6 million. Gains and losses on sales of loans are reported in "Other income" on the Company's Consolidated Statements of Operations.</w:t>
      </w:r>
    </w:p>
    <w:p>
      <w:pPr>
        <w:spacing w:after="0" w:line="136"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2013, through a newly formed joint venture, the Company acquired, via foreclosure, title to a property previously serving as collateral on a loan receivable. The acquisition was accounted for at fair value whereby the assets acquired were $27.2 million which approximated the Company's previous loan balance and non-controlling partner's</w:t>
      </w: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18" w:right="2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iStar Financial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 the venture. This property was recorded as "Real estate available and held for sale" on the Company's Consolidated Balance Sheets (see Note 4).</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Reserve for Loan Losses</w:t>
      </w:r>
      <w:r>
        <w:rPr>
          <w:rFonts w:ascii="Times New Roman" w:cs="Times New Roman" w:eastAsia="Times New Roman" w:hAnsi="Times New Roman"/>
          <w:sz w:val="18"/>
          <w:szCs w:val="18"/>
          <w:color w:val="auto"/>
        </w:rPr>
        <w:t>—Changes in the Company's reserve for loan losses were as follows ($ in thousands):</w:t>
      </w:r>
    </w:p>
    <w:p>
      <w:pPr>
        <w:spacing w:after="0" w:line="200" w:lineRule="exact"/>
        <w:rPr>
          <w:sz w:val="20"/>
          <w:szCs w:val="20"/>
          <w:color w:val="auto"/>
        </w:rPr>
      </w:pPr>
    </w:p>
    <w:p>
      <w:pPr>
        <w:spacing w:after="0" w:line="212" w:lineRule="exact"/>
        <w:rPr>
          <w:sz w:val="20"/>
          <w:szCs w:val="20"/>
          <w:color w:val="auto"/>
        </w:rPr>
      </w:pPr>
    </w:p>
    <w:tbl>
      <w:tblPr>
        <w:tblLayout w:type="fixed"/>
        <w:tblInd w:w="1620" w:type="dxa"/>
        <w:tblCellMar>
          <w:top w:w="0" w:type="dxa"/>
          <w:left w:w="0" w:type="dxa"/>
          <w:bottom w:w="0" w:type="dxa"/>
          <w:right w:w="0" w:type="dxa"/>
        </w:tblCellMar>
      </w:tblPr>
      <w:tr>
        <w:trPr>
          <w:trHeight w:val="195"/>
        </w:trPr>
        <w:tc>
          <w:tcPr>
            <w:tcW w:w="53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264"/>
        </w:trPr>
        <w:tc>
          <w:tcPr>
            <w:tcW w:w="53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249"/>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Reserve for loan losses at beginning of period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524,499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646,624</w:t>
            </w:r>
          </w:p>
        </w:tc>
      </w:tr>
      <w:tr>
        <w:trPr>
          <w:trHeight w:val="243"/>
        </w:trPr>
        <w:tc>
          <w:tcPr>
            <w:tcW w:w="5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Provision for loan losses</w:t>
            </w:r>
          </w:p>
        </w:tc>
        <w:tc>
          <w:tcPr>
            <w:tcW w:w="14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10,206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17,500</w:t>
            </w:r>
          </w:p>
        </w:tc>
      </w:tr>
      <w:tr>
        <w:trPr>
          <w:trHeight w:val="27"/>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Charge-offs</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(96,945)</w:t>
            </w:r>
          </w:p>
        </w:tc>
      </w:tr>
      <w:tr>
        <w:trPr>
          <w:trHeight w:val="257"/>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Reserve for loan losses at end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521,795</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567,179</w:t>
            </w:r>
          </w:p>
        </w:tc>
      </w:tr>
      <w:tr>
        <w:trPr>
          <w:trHeight w:val="20"/>
        </w:trPr>
        <w:tc>
          <w:tcPr>
            <w:tcW w:w="5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right="20" w:firstLine="432"/>
        <w:spacing w:after="0" w:line="282" w:lineRule="auto"/>
        <w:rPr>
          <w:sz w:val="20"/>
          <w:szCs w:val="20"/>
          <w:color w:val="auto"/>
        </w:rPr>
      </w:pPr>
      <w:r>
        <w:rPr>
          <w:rFonts w:ascii="Times New Roman" w:cs="Times New Roman" w:eastAsia="Times New Roman" w:hAnsi="Times New Roman"/>
          <w:sz w:val="18"/>
          <w:szCs w:val="18"/>
          <w:color w:val="auto"/>
        </w:rPr>
        <w:t>The Company's recorded investment in loans (comprised of a loan's carrying value plus accrued interest) and the associated reserve for loan losses were as follows ($ in thousands):</w:t>
      </w:r>
    </w:p>
    <w:p>
      <w:pPr>
        <w:spacing w:after="0" w:line="26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Individually</w:t>
            </w:r>
          </w:p>
        </w:tc>
        <w:tc>
          <w:tcPr>
            <w:tcW w:w="240" w:type="dxa"/>
            <w:vAlign w:val="bottom"/>
          </w:tcPr>
          <w:p>
            <w:pPr>
              <w:spacing w:after="0"/>
              <w:rPr>
                <w:sz w:val="13"/>
                <w:szCs w:val="13"/>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Collectively</w:t>
            </w:r>
          </w:p>
        </w:tc>
        <w:tc>
          <w:tcPr>
            <w:tcW w:w="180" w:type="dxa"/>
            <w:vAlign w:val="bottom"/>
          </w:tcPr>
          <w:p>
            <w:pPr>
              <w:spacing w:after="0"/>
              <w:rPr>
                <w:sz w:val="13"/>
                <w:szCs w:val="13"/>
                <w:color w:val="auto"/>
              </w:rPr>
            </w:pPr>
          </w:p>
        </w:tc>
        <w:tc>
          <w:tcPr>
            <w:tcW w:w="15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Loans Acquired</w:t>
            </w: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Evaluated for</w:t>
            </w:r>
          </w:p>
        </w:tc>
        <w:tc>
          <w:tcPr>
            <w:tcW w:w="240" w:type="dxa"/>
            <w:vAlign w:val="bottom"/>
          </w:tcPr>
          <w:p>
            <w:pPr>
              <w:spacing w:after="0"/>
              <w:rPr>
                <w:sz w:val="12"/>
                <w:szCs w:val="12"/>
                <w:color w:val="auto"/>
              </w:rPr>
            </w:pPr>
          </w:p>
        </w:tc>
        <w:tc>
          <w:tcPr>
            <w:tcW w:w="14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Evaluated for</w:t>
            </w:r>
          </w:p>
        </w:tc>
        <w:tc>
          <w:tcPr>
            <w:tcW w:w="180" w:type="dxa"/>
            <w:vAlign w:val="bottom"/>
          </w:tcPr>
          <w:p>
            <w:pPr>
              <w:spacing w:after="0"/>
              <w:rPr>
                <w:sz w:val="12"/>
                <w:szCs w:val="12"/>
                <w:color w:val="auto"/>
              </w:rPr>
            </w:pPr>
          </w:p>
        </w:tc>
        <w:tc>
          <w:tcPr>
            <w:tcW w:w="15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with Deteriorated</w:t>
            </w:r>
          </w:p>
        </w:tc>
        <w:tc>
          <w:tcPr>
            <w:tcW w:w="380" w:type="dxa"/>
            <w:vAlign w:val="bottom"/>
          </w:tcPr>
          <w:p>
            <w:pPr>
              <w:spacing w:after="0"/>
              <w:rPr>
                <w:sz w:val="12"/>
                <w:szCs w:val="12"/>
                <w:color w:val="auto"/>
              </w:rPr>
            </w:pPr>
          </w:p>
        </w:tc>
        <w:tc>
          <w:tcPr>
            <w:tcW w:w="1200" w:type="dxa"/>
            <w:vAlign w:val="bottom"/>
            <w:vMerge w:val="restart"/>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Impairment(1)</w:t>
            </w:r>
          </w:p>
        </w:tc>
        <w:tc>
          <w:tcPr>
            <w:tcW w:w="240" w:type="dxa"/>
            <w:vAlign w:val="bottom"/>
          </w:tcPr>
          <w:p>
            <w:pPr>
              <w:spacing w:after="0"/>
              <w:rPr>
                <w:sz w:val="16"/>
                <w:szCs w:val="16"/>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Impairment(2)</w:t>
            </w:r>
          </w:p>
        </w:tc>
        <w:tc>
          <w:tcPr>
            <w:tcW w:w="180" w:type="dxa"/>
            <w:vAlign w:val="bottom"/>
          </w:tcPr>
          <w:p>
            <w:pPr>
              <w:spacing w:after="0"/>
              <w:rPr>
                <w:sz w:val="16"/>
                <w:szCs w:val="16"/>
                <w:color w:val="auto"/>
              </w:rPr>
            </w:pPr>
          </w:p>
        </w:tc>
        <w:tc>
          <w:tcPr>
            <w:tcW w:w="15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Credit Quality(3)</w:t>
            </w:r>
          </w:p>
        </w:tc>
        <w:tc>
          <w:tcPr>
            <w:tcW w:w="38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 of March 31, 2013</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1,041,847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1,055,342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15,574</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2,112,763</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Reserve for loan losses</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(486,379)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(30,900)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(4,516)</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(521,795)</w:t>
            </w:r>
          </w:p>
        </w:tc>
        <w:tc>
          <w:tcPr>
            <w:tcW w:w="0" w:type="dxa"/>
            <w:vAlign w:val="bottom"/>
          </w:tcPr>
          <w:p>
            <w:pPr>
              <w:spacing w:after="0"/>
              <w:rPr>
                <w:sz w:val="1"/>
                <w:szCs w:val="1"/>
                <w:color w:val="auto"/>
              </w:rPr>
            </w:pPr>
          </w:p>
        </w:tc>
      </w:tr>
      <w:tr>
        <w:trPr>
          <w:trHeight w:val="297"/>
        </w:trPr>
        <w:tc>
          <w:tcPr>
            <w:tcW w:w="46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555,468</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1,024,442</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11,058</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1,590,968</w:t>
            </w:r>
          </w:p>
        </w:tc>
        <w:tc>
          <w:tcPr>
            <w:tcW w:w="0" w:type="dxa"/>
            <w:vAlign w:val="bottom"/>
          </w:tcPr>
          <w:p>
            <w:pPr>
              <w:spacing w:after="0"/>
              <w:rPr>
                <w:sz w:val="1"/>
                <w:szCs w:val="1"/>
                <w:color w:val="auto"/>
              </w:rPr>
            </w:pPr>
          </w:p>
        </w:tc>
      </w:tr>
      <w:tr>
        <w:trPr>
          <w:trHeight w:val="237"/>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 2012</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1,095,957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1,210,077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58,281</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2,364,315</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Reserve for loan losses</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(472,058)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(33,100)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(19,341)</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(524,499)</w:t>
            </w:r>
          </w:p>
        </w:tc>
        <w:tc>
          <w:tcPr>
            <w:tcW w:w="0" w:type="dxa"/>
            <w:vAlign w:val="bottom"/>
          </w:tcPr>
          <w:p>
            <w:pPr>
              <w:spacing w:after="0"/>
              <w:rPr>
                <w:sz w:val="1"/>
                <w:szCs w:val="1"/>
                <w:color w:val="auto"/>
              </w:rPr>
            </w:pPr>
          </w:p>
        </w:tc>
      </w:tr>
      <w:tr>
        <w:trPr>
          <w:trHeight w:val="257"/>
        </w:trPr>
        <w:tc>
          <w:tcPr>
            <w:tcW w:w="4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623,899</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1,176,977</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38,940</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1,839,816</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Explanatory Notes: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120" w:lineRule="exact"/>
        <w:rPr>
          <w:sz w:val="20"/>
          <w:szCs w:val="20"/>
          <w:color w:val="auto"/>
        </w:rPr>
      </w:pPr>
    </w:p>
    <w:p>
      <w:pPr>
        <w:jc w:val="both"/>
        <w:ind w:left="660" w:hanging="652"/>
        <w:spacing w:after="0" w:line="249" w:lineRule="auto"/>
        <w:tabs>
          <w:tab w:leader="none" w:pos="6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carrying value of these loans include unamortized discounts, premiums, deferred fees and costs aggregating to a net discount of $3.5 million and $4.0 million as of March 31, 2013 and December 31, 2012, respectively. The Company's loans individually evaluated for impairment primarily represent loans on non-accrual status and therefore, the unamortized amounts associated with these loans are not currently being amortized into income.</w:t>
      </w:r>
    </w:p>
    <w:p>
      <w:pPr>
        <w:spacing w:after="0" w:line="1" w:lineRule="exact"/>
        <w:rPr>
          <w:rFonts w:ascii="Times New Roman" w:cs="Times New Roman" w:eastAsia="Times New Roman" w:hAnsi="Times New Roman"/>
          <w:sz w:val="14"/>
          <w:szCs w:val="14"/>
          <w:color w:val="auto"/>
        </w:rPr>
      </w:pPr>
    </w:p>
    <w:p>
      <w:pPr>
        <w:ind w:left="660" w:hanging="652"/>
        <w:spacing w:after="0" w:line="241" w:lineRule="auto"/>
        <w:tabs>
          <w:tab w:leader="none" w:pos="6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carrying value of these loans include unamortized discounts, premiums, deferred fees and costs aggregating to a net discount of $4.1 million and $3.8 million as of March 31, 2013 and December 31, 2012, respectively.</w:t>
      </w:r>
    </w:p>
    <w:p>
      <w:pPr>
        <w:ind w:left="660" w:hanging="652"/>
        <w:spacing w:after="0" w:line="258" w:lineRule="auto"/>
        <w:tabs>
          <w:tab w:leader="none" w:pos="6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carrying value of these loans include unamortized discounts, premiums, deferred fees and costs aggregating to a net premium of $0.1 million and $0.1 million as of March 31, 2013 and December 31, 2012, respectively. These loans had cumulative principal balances of $15.9 million and $58.8 million, as of March 31, 2013 and December 31, 2012, respectively.</w:t>
      </w:r>
    </w:p>
    <w:p>
      <w:pPr>
        <w:spacing w:after="0" w:line="138"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Credit Characteristics</w:t>
      </w:r>
      <w:r>
        <w:rPr>
          <w:rFonts w:ascii="Times New Roman" w:cs="Times New Roman" w:eastAsia="Times New Roman" w:hAnsi="Times New Roman"/>
          <w:sz w:val="18"/>
          <w:szCs w:val="18"/>
          <w:color w:val="auto"/>
        </w:rPr>
        <w:t>—As part of the Company's process for monitoring the credit quality of its loans, it performs a quarterly loan portfolio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assessment and assigns risk ratings to each of its performing loans. The Company's recorded investment in performing loans, presented by class and by credit quality, as indicated by risk rating, was as follows ($ in thousands):</w:t>
      </w:r>
    </w:p>
    <w:p>
      <w:pPr>
        <w:spacing w:after="0" w:line="358"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5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820" w:type="dxa"/>
            <w:vAlign w:val="bottom"/>
            <w:tcBorders>
              <w:bottom w:val="single" w:sz="8" w:color="auto"/>
            </w:tcBorders>
            <w:gridSpan w:val="3"/>
          </w:tcPr>
          <w:p>
            <w:pPr>
              <w:jc w:val="right"/>
              <w:ind w:right="988"/>
              <w:spacing w:after="0"/>
              <w:rPr>
                <w:sz w:val="20"/>
                <w:szCs w:val="20"/>
                <w:color w:val="auto"/>
              </w:rPr>
            </w:pPr>
            <w:r>
              <w:rPr>
                <w:rFonts w:ascii="Times New Roman" w:cs="Times New Roman" w:eastAsia="Times New Roman" w:hAnsi="Times New Roman"/>
                <w:sz w:val="14"/>
                <w:szCs w:val="14"/>
                <w:b w:val="1"/>
                <w:bCs w:val="1"/>
                <w:color w:val="auto"/>
              </w:rPr>
              <w:t>March 31, 2013</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800" w:type="dxa"/>
            <w:vAlign w:val="bottom"/>
            <w:tcBorders>
              <w:bottom w:val="single" w:sz="8" w:color="auto"/>
            </w:tcBorders>
            <w:gridSpan w:val="3"/>
          </w:tcPr>
          <w:p>
            <w:pPr>
              <w:jc w:val="right"/>
              <w:ind w:right="848"/>
              <w:spacing w:after="0"/>
              <w:rPr>
                <w:sz w:val="20"/>
                <w:szCs w:val="20"/>
                <w:color w:val="auto"/>
              </w:rPr>
            </w:pPr>
            <w:r>
              <w:rPr>
                <w:rFonts w:ascii="Times New Roman" w:cs="Times New Roman" w:eastAsia="Times New Roman" w:hAnsi="Times New Roman"/>
                <w:sz w:val="14"/>
                <w:szCs w:val="14"/>
                <w:b w:val="1"/>
                <w:bCs w:val="1"/>
                <w:color w:val="auto"/>
              </w:rPr>
              <w:t>December 31, 2012</w:t>
            </w: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vMerge w:val="restart"/>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Performing</w:t>
            </w:r>
          </w:p>
        </w:tc>
        <w:tc>
          <w:tcPr>
            <w:tcW w:w="120" w:type="dxa"/>
            <w:vAlign w:val="bottom"/>
          </w:tcPr>
          <w:p>
            <w:pPr>
              <w:spacing w:after="0"/>
              <w:rPr>
                <w:sz w:val="12"/>
                <w:szCs w:val="12"/>
                <w:color w:val="auto"/>
              </w:rPr>
            </w:pPr>
          </w:p>
        </w:tc>
        <w:tc>
          <w:tcPr>
            <w:tcW w:w="15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12"/>
                <w:szCs w:val="12"/>
                <w:color w:val="auto"/>
              </w:rPr>
            </w:pPr>
          </w:p>
        </w:tc>
        <w:tc>
          <w:tcPr>
            <w:tcW w:w="1220" w:type="dxa"/>
            <w:vAlign w:val="bottom"/>
            <w:vMerge w:val="restart"/>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Performing</w:t>
            </w:r>
          </w:p>
        </w:tc>
        <w:tc>
          <w:tcPr>
            <w:tcW w:w="12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95"/>
        </w:trPr>
        <w:tc>
          <w:tcPr>
            <w:tcW w:w="51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Loans</w:t>
            </w: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Risk Ratings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Loans</w:t>
            </w: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Risk Ratings</w:t>
            </w:r>
          </w:p>
        </w:tc>
        <w:tc>
          <w:tcPr>
            <w:tcW w:w="0" w:type="dxa"/>
            <w:vAlign w:val="bottom"/>
          </w:tcPr>
          <w:p>
            <w:pPr>
              <w:spacing w:after="0"/>
              <w:rPr>
                <w:sz w:val="1"/>
                <w:szCs w:val="1"/>
                <w:color w:val="auto"/>
              </w:rPr>
            </w:pPr>
          </w:p>
        </w:tc>
      </w:tr>
      <w:tr>
        <w:trPr>
          <w:trHeight w:val="249"/>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mortgages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823,869</w:t>
            </w:r>
          </w:p>
        </w:tc>
        <w:tc>
          <w:tcPr>
            <w:tcW w:w="15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2.70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840,593</w:t>
            </w:r>
          </w:p>
        </w:tc>
        <w:tc>
          <w:tcPr>
            <w:tcW w:w="15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43"/>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Subordinate mortgages</w:t>
            </w:r>
          </w:p>
        </w:tc>
        <w:tc>
          <w:tcPr>
            <w:tcW w:w="260" w:type="dxa"/>
            <w:vAlign w:val="bottom"/>
          </w:tcPr>
          <w:p>
            <w:pPr>
              <w:spacing w:after="0"/>
              <w:rPr>
                <w:sz w:val="21"/>
                <w:szCs w:val="21"/>
                <w:color w:val="auto"/>
              </w:rPr>
            </w:pPr>
          </w:p>
        </w:tc>
        <w:tc>
          <w:tcPr>
            <w:tcW w:w="124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61,236</w:t>
            </w:r>
          </w:p>
        </w:tc>
        <w:tc>
          <w:tcPr>
            <w:tcW w:w="158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3.07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99,698</w:t>
            </w:r>
          </w:p>
        </w:tc>
        <w:tc>
          <w:tcPr>
            <w:tcW w:w="158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Corporate/Partnership loans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403,016</w:t>
            </w:r>
          </w:p>
        </w:tc>
        <w:tc>
          <w:tcPr>
            <w:tcW w:w="15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3.61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444,772</w:t>
            </w:r>
          </w:p>
        </w:tc>
        <w:tc>
          <w:tcPr>
            <w:tcW w:w="15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3.69</w:t>
            </w:r>
          </w:p>
        </w:tc>
        <w:tc>
          <w:tcPr>
            <w:tcW w:w="0" w:type="dxa"/>
            <w:vAlign w:val="bottom"/>
          </w:tcPr>
          <w:p>
            <w:pPr>
              <w:spacing w:after="0"/>
              <w:rPr>
                <w:sz w:val="1"/>
                <w:szCs w:val="1"/>
                <w:color w:val="auto"/>
              </w:rPr>
            </w:pPr>
          </w:p>
        </w:tc>
      </w:tr>
      <w:tr>
        <w:trPr>
          <w:trHeight w:val="257"/>
        </w:trPr>
        <w:tc>
          <w:tcPr>
            <w:tcW w:w="5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1,288,121</w:t>
            </w:r>
          </w:p>
        </w:tc>
        <w:tc>
          <w:tcPr>
            <w:tcW w:w="158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1,385,063</w:t>
            </w:r>
          </w:p>
        </w:tc>
        <w:tc>
          <w:tcPr>
            <w:tcW w:w="158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18" w:right="2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iStar Financial Inc.</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March 31, 2013, the Company's recorded investment in loans, aged by payment status and presented by class, were as follows ($ in thousands):</w:t>
      </w:r>
    </w:p>
    <w:p>
      <w:pPr>
        <w:spacing w:after="0" w:line="32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300" w:type="dxa"/>
            <w:vAlign w:val="bottom"/>
          </w:tcPr>
          <w:p>
            <w:pPr>
              <w:spacing w:after="0"/>
              <w:rPr>
                <w:sz w:val="13"/>
                <w:szCs w:val="13"/>
                <w:color w:val="auto"/>
              </w:rPr>
            </w:pPr>
          </w:p>
        </w:tc>
        <w:tc>
          <w:tcPr>
            <w:tcW w:w="12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Greater</w:t>
            </w:r>
          </w:p>
        </w:tc>
        <w:tc>
          <w:tcPr>
            <w:tcW w:w="280" w:type="dxa"/>
            <w:vAlign w:val="bottom"/>
          </w:tcPr>
          <w:p>
            <w:pPr>
              <w:spacing w:after="0"/>
              <w:rPr>
                <w:sz w:val="13"/>
                <w:szCs w:val="13"/>
                <w:color w:val="auto"/>
              </w:rPr>
            </w:pPr>
          </w:p>
        </w:tc>
        <w:tc>
          <w:tcPr>
            <w:tcW w:w="130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260" w:type="dxa"/>
            <w:vAlign w:val="bottom"/>
          </w:tcPr>
          <w:p>
            <w:pPr>
              <w:spacing w:after="0"/>
              <w:rPr>
                <w:sz w:val="12"/>
                <w:szCs w:val="12"/>
                <w:color w:val="auto"/>
              </w:rPr>
            </w:pPr>
          </w:p>
        </w:tc>
        <w:tc>
          <w:tcPr>
            <w:tcW w:w="132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and Equal</w:t>
            </w:r>
          </w:p>
        </w:tc>
        <w:tc>
          <w:tcPr>
            <w:tcW w:w="300" w:type="dxa"/>
            <w:vAlign w:val="bottom"/>
          </w:tcPr>
          <w:p>
            <w:pPr>
              <w:spacing w:after="0"/>
              <w:rPr>
                <w:sz w:val="12"/>
                <w:szCs w:val="12"/>
                <w:color w:val="auto"/>
              </w:rPr>
            </w:pPr>
          </w:p>
        </w:tc>
        <w:tc>
          <w:tcPr>
            <w:tcW w:w="12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Than</w:t>
            </w:r>
          </w:p>
        </w:tc>
        <w:tc>
          <w:tcPr>
            <w:tcW w:w="2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vMerge w:val="restart"/>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to 90 Days</w:t>
            </w:r>
          </w:p>
        </w:tc>
        <w:tc>
          <w:tcPr>
            <w:tcW w:w="300" w:type="dxa"/>
            <w:vAlign w:val="bottom"/>
          </w:tcPr>
          <w:p>
            <w:pPr>
              <w:spacing w:after="0"/>
              <w:rPr>
                <w:sz w:val="16"/>
                <w:szCs w:val="16"/>
                <w:color w:val="auto"/>
              </w:rPr>
            </w:pPr>
          </w:p>
        </w:tc>
        <w:tc>
          <w:tcPr>
            <w:tcW w:w="12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90 Days</w:t>
            </w:r>
          </w:p>
        </w:tc>
        <w:tc>
          <w:tcPr>
            <w:tcW w:w="280" w:type="dxa"/>
            <w:vAlign w:val="bottom"/>
          </w:tcPr>
          <w:p>
            <w:pPr>
              <w:spacing w:after="0"/>
              <w:rPr>
                <w:sz w:val="16"/>
                <w:szCs w:val="16"/>
                <w:color w:val="auto"/>
              </w:rPr>
            </w:pPr>
          </w:p>
        </w:tc>
        <w:tc>
          <w:tcPr>
            <w:tcW w:w="13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3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mortgages</w:t>
            </w: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840,666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3,138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740,800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743,938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1,584,604</w:t>
            </w:r>
          </w:p>
        </w:tc>
        <w:tc>
          <w:tcPr>
            <w:tcW w:w="0" w:type="dxa"/>
            <w:vAlign w:val="bottom"/>
          </w:tcPr>
          <w:p>
            <w:pPr>
              <w:spacing w:after="0"/>
              <w:rPr>
                <w:sz w:val="1"/>
                <w:szCs w:val="1"/>
                <w:color w:val="auto"/>
              </w:rPr>
            </w:pPr>
          </w:p>
        </w:tc>
      </w:tr>
      <w:tr>
        <w:trPr>
          <w:trHeight w:val="243"/>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Subordinate mortgages</w:t>
            </w:r>
          </w:p>
        </w:tc>
        <w:tc>
          <w:tcPr>
            <w:tcW w:w="32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61,236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6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53,797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53,797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115,033</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Corporate/Partnership loans</w:t>
            </w:r>
          </w:p>
        </w:tc>
        <w:tc>
          <w:tcPr>
            <w:tcW w:w="3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403,016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10,110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10,110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413,126</w:t>
            </w:r>
          </w:p>
        </w:tc>
        <w:tc>
          <w:tcPr>
            <w:tcW w:w="0" w:type="dxa"/>
            <w:vAlign w:val="bottom"/>
          </w:tcPr>
          <w:p>
            <w:pPr>
              <w:spacing w:after="0"/>
              <w:rPr>
                <w:sz w:val="1"/>
                <w:szCs w:val="1"/>
                <w:color w:val="auto"/>
              </w:rPr>
            </w:pPr>
          </w:p>
        </w:tc>
      </w:tr>
      <w:tr>
        <w:trPr>
          <w:trHeight w:val="257"/>
        </w:trPr>
        <w:tc>
          <w:tcPr>
            <w:tcW w:w="3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1,304,918</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3,138</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804,707</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807,845</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2,112,763</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Impaired Loans</w:t>
      </w:r>
      <w:r>
        <w:rPr>
          <w:rFonts w:ascii="Times New Roman" w:cs="Times New Roman" w:eastAsia="Times New Roman" w:hAnsi="Times New Roman"/>
          <w:sz w:val="18"/>
          <w:szCs w:val="18"/>
          <w:color w:val="auto"/>
        </w:rPr>
        <w:t>—The Company's recorded investment in impaired loans, presented by class, were as follows ($ in thousands)(1):</w:t>
      </w:r>
    </w:p>
    <w:p>
      <w:pPr>
        <w:spacing w:after="0" w:line="200" w:lineRule="exact"/>
        <w:rPr>
          <w:sz w:val="20"/>
          <w:szCs w:val="20"/>
          <w:color w:val="auto"/>
        </w:rPr>
      </w:pP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2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As of March 31, 2013</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As of December 31, 2012</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Recorded</w:t>
            </w:r>
          </w:p>
        </w:tc>
        <w:tc>
          <w:tcPr>
            <w:tcW w:w="280" w:type="dxa"/>
            <w:vAlign w:val="bottom"/>
          </w:tcPr>
          <w:p>
            <w:pPr>
              <w:spacing w:after="0"/>
              <w:rPr>
                <w:sz w:val="12"/>
                <w:szCs w:val="12"/>
                <w:color w:val="auto"/>
              </w:rPr>
            </w:pPr>
          </w:p>
        </w:tc>
        <w:tc>
          <w:tcPr>
            <w:tcW w:w="13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Unpaid</w:t>
            </w:r>
          </w:p>
        </w:tc>
        <w:tc>
          <w:tcPr>
            <w:tcW w:w="220" w:type="dxa"/>
            <w:vAlign w:val="bottom"/>
          </w:tcPr>
          <w:p>
            <w:pPr>
              <w:spacing w:after="0"/>
              <w:rPr>
                <w:sz w:val="12"/>
                <w:szCs w:val="12"/>
                <w:color w:val="auto"/>
              </w:rPr>
            </w:pPr>
          </w:p>
        </w:tc>
        <w:tc>
          <w:tcPr>
            <w:tcW w:w="12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Related</w:t>
            </w:r>
          </w:p>
        </w:tc>
        <w:tc>
          <w:tcPr>
            <w:tcW w:w="260" w:type="dxa"/>
            <w:vAlign w:val="bottom"/>
          </w:tcPr>
          <w:p>
            <w:pPr>
              <w:spacing w:after="0"/>
              <w:rPr>
                <w:sz w:val="12"/>
                <w:szCs w:val="12"/>
                <w:color w:val="auto"/>
              </w:rPr>
            </w:pPr>
          </w:p>
        </w:tc>
        <w:tc>
          <w:tcPr>
            <w:tcW w:w="1220" w:type="dxa"/>
            <w:vAlign w:val="bottom"/>
            <w:vMerge w:val="restart"/>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Recorded</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Unpaid</w:t>
            </w:r>
          </w:p>
        </w:tc>
        <w:tc>
          <w:tcPr>
            <w:tcW w:w="240" w:type="dxa"/>
            <w:vAlign w:val="bottom"/>
          </w:tcPr>
          <w:p>
            <w:pPr>
              <w:spacing w:after="0"/>
              <w:rPr>
                <w:sz w:val="12"/>
                <w:szCs w:val="12"/>
                <w:color w:val="auto"/>
              </w:rPr>
            </w:pPr>
          </w:p>
        </w:tc>
        <w:tc>
          <w:tcPr>
            <w:tcW w:w="1120" w:type="dxa"/>
            <w:vAlign w:val="bottom"/>
            <w:vMerge w:val="restart"/>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Related</w:t>
            </w: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2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2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280" w:type="dxa"/>
            <w:vAlign w:val="bottom"/>
          </w:tcPr>
          <w:p>
            <w:pPr>
              <w:spacing w:after="0"/>
              <w:rPr>
                <w:sz w:val="16"/>
                <w:szCs w:val="16"/>
                <w:color w:val="auto"/>
              </w:rPr>
            </w:pPr>
          </w:p>
        </w:tc>
        <w:tc>
          <w:tcPr>
            <w:tcW w:w="13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220" w:type="dxa"/>
            <w:vAlign w:val="bottom"/>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Allowance</w:t>
            </w:r>
          </w:p>
        </w:tc>
        <w:tc>
          <w:tcPr>
            <w:tcW w:w="260" w:type="dxa"/>
            <w:vAlign w:val="bottom"/>
          </w:tcPr>
          <w:p>
            <w:pPr>
              <w:spacing w:after="0"/>
              <w:rPr>
                <w:sz w:val="16"/>
                <w:szCs w:val="16"/>
                <w:color w:val="auto"/>
              </w:rPr>
            </w:pPr>
          </w:p>
        </w:tc>
        <w:tc>
          <w:tcPr>
            <w:tcW w:w="122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240" w:type="dxa"/>
            <w:vAlign w:val="bottom"/>
          </w:tcPr>
          <w:p>
            <w:pPr>
              <w:spacing w:after="0"/>
              <w:rPr>
                <w:sz w:val="16"/>
                <w:szCs w:val="16"/>
                <w:color w:val="auto"/>
              </w:rPr>
            </w:pPr>
          </w:p>
        </w:tc>
        <w:tc>
          <w:tcPr>
            <w:tcW w:w="112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Allowance</w:t>
            </w:r>
          </w:p>
        </w:tc>
        <w:tc>
          <w:tcPr>
            <w:tcW w:w="0" w:type="dxa"/>
            <w:vAlign w:val="bottom"/>
          </w:tcPr>
          <w:p>
            <w:pPr>
              <w:spacing w:after="0"/>
              <w:rPr>
                <w:sz w:val="1"/>
                <w:szCs w:val="1"/>
                <w:color w:val="auto"/>
              </w:rPr>
            </w:pPr>
          </w:p>
        </w:tc>
      </w:tr>
      <w:tr>
        <w:trPr>
          <w:trHeight w:val="206"/>
        </w:trPr>
        <w:tc>
          <w:tcPr>
            <w:tcW w:w="2180" w:type="dxa"/>
            <w:vAlign w:val="bottom"/>
            <w:tcBorders>
              <w:top w:val="single" w:sz="8" w:color="CCEEFF"/>
            </w:tcBorders>
            <w:shd w:val="clear" w:color="auto" w:fill="CCEEFF"/>
          </w:tcPr>
          <w:p>
            <w:pPr>
              <w:ind w:left="20"/>
              <w:spacing w:after="0" w:line="206" w:lineRule="exact"/>
              <w:rPr>
                <w:sz w:val="20"/>
                <w:szCs w:val="20"/>
                <w:color w:val="auto"/>
              </w:rPr>
            </w:pPr>
            <w:r>
              <w:rPr>
                <w:rFonts w:ascii="Times New Roman" w:cs="Times New Roman" w:eastAsia="Times New Roman" w:hAnsi="Times New Roman"/>
                <w:sz w:val="18"/>
                <w:szCs w:val="18"/>
                <w:b w:val="1"/>
                <w:bCs w:val="1"/>
                <w:color w:val="auto"/>
              </w:rPr>
              <w:t>With no related allowance</w:t>
            </w:r>
          </w:p>
        </w:tc>
        <w:tc>
          <w:tcPr>
            <w:tcW w:w="26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2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recorded:</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Senior mortgages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18,711</w:t>
            </w:r>
          </w:p>
        </w:tc>
        <w:tc>
          <w:tcPr>
            <w:tcW w:w="14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18,591</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108,077</w:t>
            </w:r>
          </w:p>
        </w:tc>
        <w:tc>
          <w:tcPr>
            <w:tcW w:w="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107,850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Corporate/Partnership</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loans</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10,110</w:t>
            </w:r>
          </w:p>
        </w:tc>
        <w:tc>
          <w:tcPr>
            <w:tcW w:w="1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10,160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10,110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10,160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2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Subtotal</w:t>
            </w: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28,821</w:t>
            </w:r>
          </w:p>
        </w:tc>
        <w:tc>
          <w:tcPr>
            <w:tcW w:w="140" w:type="dxa"/>
            <w:vAlign w:val="bottom"/>
          </w:tcPr>
          <w:p>
            <w:pPr>
              <w:spacing w:after="0"/>
              <w:rPr>
                <w:sz w:val="20"/>
                <w:szCs w:val="20"/>
                <w:color w:val="auto"/>
              </w:rPr>
            </w:pPr>
          </w:p>
        </w:tc>
        <w:tc>
          <w:tcPr>
            <w:tcW w:w="2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28,751</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118,187</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118,010</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With an allowance</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recorded:</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Senior mortgages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903,190</w:t>
            </w:r>
          </w:p>
        </w:tc>
        <w:tc>
          <w:tcPr>
            <w:tcW w:w="14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902,077</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(442,256)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918,975</w:t>
            </w:r>
          </w:p>
        </w:tc>
        <w:tc>
          <w:tcPr>
            <w:tcW w:w="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918,496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(442,760)</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Subordinate mortgages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53,797</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53,260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53,979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53,679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(39,579)</w:t>
            </w:r>
          </w:p>
        </w:tc>
        <w:tc>
          <w:tcPr>
            <w:tcW w:w="0" w:type="dxa"/>
            <w:vAlign w:val="bottom"/>
          </w:tcPr>
          <w:p>
            <w:pPr>
              <w:spacing w:after="0"/>
              <w:rPr>
                <w:sz w:val="1"/>
                <w:szCs w:val="1"/>
                <w:color w:val="auto"/>
              </w:rPr>
            </w:pPr>
          </w:p>
        </w:tc>
      </w:tr>
      <w:tr>
        <w:trPr>
          <w:trHeight w:val="225"/>
        </w:trPr>
        <w:tc>
          <w:tcPr>
            <w:tcW w:w="2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Corporate/Partnership</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loans</w:t>
            </w:r>
          </w:p>
        </w:tc>
        <w:tc>
          <w:tcPr>
            <w:tcW w:w="260" w:type="dxa"/>
            <w:vAlign w:val="bottom"/>
          </w:tcPr>
          <w:p>
            <w:pPr>
              <w:spacing w:after="0"/>
              <w:rPr>
                <w:sz w:val="20"/>
                <w:szCs w:val="20"/>
                <w:color w:val="auto"/>
              </w:rPr>
            </w:pPr>
          </w:p>
        </w:tc>
        <w:tc>
          <w:tcPr>
            <w:tcW w:w="12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61,556</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61,674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63,096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63,246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(9,060)</w:t>
            </w:r>
          </w:p>
        </w:tc>
        <w:tc>
          <w:tcPr>
            <w:tcW w:w="0" w:type="dxa"/>
            <w:vAlign w:val="bottom"/>
          </w:tcPr>
          <w:p>
            <w:pPr>
              <w:spacing w:after="0"/>
              <w:rPr>
                <w:sz w:val="1"/>
                <w:szCs w:val="1"/>
                <w:color w:val="auto"/>
              </w:rPr>
            </w:pPr>
          </w:p>
        </w:tc>
      </w:tr>
      <w:tr>
        <w:trPr>
          <w:trHeight w:val="27"/>
        </w:trPr>
        <w:tc>
          <w:tcPr>
            <w:tcW w:w="2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1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Subtotal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1,018,543</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1,017,011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(490,895)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1,036,050</w:t>
            </w:r>
          </w:p>
        </w:tc>
        <w:tc>
          <w:tcPr>
            <w:tcW w:w="3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1,035,421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(491,399)</w:t>
            </w:r>
          </w:p>
        </w:tc>
        <w:tc>
          <w:tcPr>
            <w:tcW w:w="0" w:type="dxa"/>
            <w:vAlign w:val="bottom"/>
          </w:tcPr>
          <w:p>
            <w:pPr>
              <w:spacing w:after="0"/>
              <w:rPr>
                <w:sz w:val="1"/>
                <w:szCs w:val="1"/>
                <w:color w:val="auto"/>
              </w:rPr>
            </w:pPr>
          </w:p>
        </w:tc>
      </w:tr>
      <w:tr>
        <w:trPr>
          <w:trHeight w:val="243"/>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Senior mortgages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921,901</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920,668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(442,256)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1,027,052</w:t>
            </w:r>
          </w:p>
        </w:tc>
        <w:tc>
          <w:tcPr>
            <w:tcW w:w="3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1,026,346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(442,760)</w:t>
            </w:r>
          </w:p>
        </w:tc>
        <w:tc>
          <w:tcPr>
            <w:tcW w:w="0" w:type="dxa"/>
            <w:vAlign w:val="bottom"/>
          </w:tcPr>
          <w:p>
            <w:pPr>
              <w:spacing w:after="0"/>
              <w:rPr>
                <w:sz w:val="1"/>
                <w:szCs w:val="1"/>
                <w:color w:val="auto"/>
              </w:rPr>
            </w:pPr>
          </w:p>
        </w:tc>
      </w:tr>
      <w:tr>
        <w:trPr>
          <w:trHeight w:val="243"/>
        </w:trPr>
        <w:tc>
          <w:tcPr>
            <w:tcW w:w="2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Subordinate mortgages</w:t>
            </w:r>
          </w:p>
        </w:tc>
        <w:tc>
          <w:tcPr>
            <w:tcW w:w="26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53,797</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53,260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(39,579)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53,979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53,679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(39,579)</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Corporate/Partnership</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loans</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71,666</w:t>
            </w:r>
          </w:p>
        </w:tc>
        <w:tc>
          <w:tcPr>
            <w:tcW w:w="1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71,834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73,206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73,406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(9,060)</w:t>
            </w:r>
          </w:p>
        </w:tc>
        <w:tc>
          <w:tcPr>
            <w:tcW w:w="0" w:type="dxa"/>
            <w:vAlign w:val="bottom"/>
          </w:tcPr>
          <w:p>
            <w:pPr>
              <w:spacing w:after="0"/>
              <w:rPr>
                <w:sz w:val="1"/>
                <w:szCs w:val="1"/>
                <w:color w:val="auto"/>
              </w:rPr>
            </w:pPr>
          </w:p>
        </w:tc>
      </w:tr>
      <w:tr>
        <w:trPr>
          <w:trHeight w:val="257"/>
        </w:trPr>
        <w:tc>
          <w:tcPr>
            <w:tcW w:w="2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1,047,364</w:t>
            </w:r>
          </w:p>
        </w:tc>
        <w:tc>
          <w:tcPr>
            <w:tcW w:w="140" w:type="dxa"/>
            <w:vAlign w:val="bottom"/>
          </w:tcPr>
          <w:p>
            <w:pPr>
              <w:spacing w:after="0"/>
              <w:rPr>
                <w:sz w:val="22"/>
                <w:szCs w:val="22"/>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1,045,762</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(490,895)</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1,154,237</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1,153,431</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(491,399)</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Explanatory Note: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120" w:lineRule="exact"/>
        <w:rPr>
          <w:sz w:val="20"/>
          <w:szCs w:val="20"/>
          <w:color w:val="auto"/>
        </w:rPr>
      </w:pPr>
    </w:p>
    <w:p>
      <w:pPr>
        <w:jc w:val="both"/>
        <w:ind w:left="660" w:hanging="652"/>
        <w:spacing w:after="0" w:line="261" w:lineRule="auto"/>
        <w:tabs>
          <w:tab w:leader="none" w:pos="6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 the Company's non-accrual loans are considered impaired and included in the table above. In addition, as of March 31, 2013 and December 31, 2012, certain loans modified through troubled debt restructurings with a recorded investment of $222.7 million and $175.0 million, respectively, are also included as impaired loans in accordance with GAAP although they are performing and on accrual status.</w:t>
      </w: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18" w:right="2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iStar Financial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Company's average recorded investment in impaired loans and interest income recognized, presented by class, were as follows ($ in thousands):</w:t>
      </w:r>
    </w:p>
    <w:p>
      <w:pPr>
        <w:spacing w:after="0" w:line="200" w:lineRule="exact"/>
        <w:rPr>
          <w:sz w:val="20"/>
          <w:szCs w:val="20"/>
          <w:color w:val="auto"/>
        </w:rPr>
      </w:pPr>
    </w:p>
    <w:p>
      <w:pPr>
        <w:spacing w:after="0" w:line="208" w:lineRule="exact"/>
        <w:rPr>
          <w:sz w:val="20"/>
          <w:szCs w:val="20"/>
          <w:color w:val="auto"/>
        </w:rPr>
      </w:pPr>
    </w:p>
    <w:tbl>
      <w:tblPr>
        <w:tblLayout w:type="fixed"/>
        <w:tblInd w:w="1160" w:type="dxa"/>
        <w:tblCellMar>
          <w:top w:w="0" w:type="dxa"/>
          <w:left w:w="0" w:type="dxa"/>
          <w:bottom w:w="0" w:type="dxa"/>
          <w:right w:w="0" w:type="dxa"/>
        </w:tblCellMar>
      </w:tblPr>
      <w:tr>
        <w:trPr>
          <w:trHeight w:val="195"/>
        </w:trPr>
        <w:tc>
          <w:tcPr>
            <w:tcW w:w="4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6"/>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264"/>
        </w:trPr>
        <w:tc>
          <w:tcPr>
            <w:tcW w:w="41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9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2012</w:t>
            </w:r>
          </w:p>
        </w:tc>
        <w:tc>
          <w:tcPr>
            <w:tcW w:w="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r>
      <w:tr>
        <w:trPr>
          <w:trHeight w:val="149"/>
        </w:trPr>
        <w:tc>
          <w:tcPr>
            <w:tcW w:w="4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20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2"/>
                <w:szCs w:val="12"/>
                <w:color w:val="auto"/>
              </w:rPr>
            </w:pPr>
          </w:p>
        </w:tc>
        <w:tc>
          <w:tcPr>
            <w:tcW w:w="940" w:type="dxa"/>
            <w:vAlign w:val="bottom"/>
          </w:tcPr>
          <w:p>
            <w:pPr>
              <w:jc w:val="center"/>
              <w:ind w:right="94"/>
              <w:spacing w:after="0" w:line="149" w:lineRule="exact"/>
              <w:rPr>
                <w:sz w:val="20"/>
                <w:szCs w:val="20"/>
                <w:color w:val="auto"/>
              </w:rPr>
            </w:pPr>
            <w:r>
              <w:rPr>
                <w:rFonts w:ascii="Times New Roman" w:cs="Times New Roman" w:eastAsia="Times New Roman" w:hAnsi="Times New Roman"/>
                <w:sz w:val="14"/>
                <w:szCs w:val="14"/>
                <w:b w:val="1"/>
                <w:bCs w:val="1"/>
                <w:color w:val="auto"/>
              </w:rPr>
              <w:t>Interest</w:t>
            </w:r>
          </w:p>
        </w:tc>
      </w:tr>
      <w:tr>
        <w:trPr>
          <w:trHeight w:val="149"/>
        </w:trPr>
        <w:tc>
          <w:tcPr>
            <w:tcW w:w="4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Recorded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Income</w:t>
            </w:r>
          </w:p>
        </w:tc>
        <w:tc>
          <w:tcPr>
            <w:tcW w:w="20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Recorded</w:t>
            </w:r>
          </w:p>
        </w:tc>
        <w:tc>
          <w:tcPr>
            <w:tcW w:w="160" w:type="dxa"/>
            <w:vAlign w:val="bottom"/>
          </w:tcPr>
          <w:p>
            <w:pPr>
              <w:spacing w:after="0"/>
              <w:rPr>
                <w:sz w:val="12"/>
                <w:szCs w:val="12"/>
                <w:color w:val="auto"/>
              </w:rPr>
            </w:pPr>
          </w:p>
        </w:tc>
        <w:tc>
          <w:tcPr>
            <w:tcW w:w="940" w:type="dxa"/>
            <w:vAlign w:val="bottom"/>
          </w:tcPr>
          <w:p>
            <w:pPr>
              <w:jc w:val="center"/>
              <w:ind w:right="74"/>
              <w:spacing w:after="0" w:line="149" w:lineRule="exact"/>
              <w:rPr>
                <w:sz w:val="20"/>
                <w:szCs w:val="20"/>
                <w:color w:val="auto"/>
              </w:rPr>
            </w:pPr>
            <w:r>
              <w:rPr>
                <w:rFonts w:ascii="Times New Roman" w:cs="Times New Roman" w:eastAsia="Times New Roman" w:hAnsi="Times New Roman"/>
                <w:sz w:val="14"/>
                <w:szCs w:val="14"/>
                <w:b w:val="1"/>
                <w:bCs w:val="1"/>
                <w:color w:val="auto"/>
              </w:rPr>
              <w:t>Income</w:t>
            </w:r>
          </w:p>
        </w:tc>
      </w:tr>
      <w:tr>
        <w:trPr>
          <w:trHeight w:val="195"/>
        </w:trPr>
        <w:tc>
          <w:tcPr>
            <w:tcW w:w="4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Recognized</w:t>
            </w:r>
          </w:p>
        </w:tc>
        <w:tc>
          <w:tcPr>
            <w:tcW w:w="20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60" w:type="dxa"/>
            <w:vAlign w:val="bottom"/>
          </w:tcPr>
          <w:p>
            <w:pPr>
              <w:spacing w:after="0"/>
              <w:rPr>
                <w:sz w:val="16"/>
                <w:szCs w:val="16"/>
                <w:color w:val="auto"/>
              </w:rPr>
            </w:pPr>
          </w:p>
        </w:tc>
        <w:tc>
          <w:tcPr>
            <w:tcW w:w="94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Recognized</w:t>
            </w:r>
          </w:p>
        </w:tc>
      </w:tr>
      <w:tr>
        <w:trPr>
          <w:trHeight w:val="249"/>
        </w:trPr>
        <w:tc>
          <w:tcPr>
            <w:tcW w:w="4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With no related allowance recorded:</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Senior mortgages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63,394</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20" w:type="dxa"/>
            <w:vAlign w:val="bottom"/>
          </w:tcPr>
          <w:p>
            <w:pPr>
              <w:spacing w:after="0"/>
              <w:rPr>
                <w:sz w:val="21"/>
                <w:szCs w:val="21"/>
                <w:color w:val="auto"/>
              </w:rPr>
            </w:pPr>
          </w:p>
        </w:tc>
        <w:tc>
          <w:tcPr>
            <w:tcW w:w="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212,803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r>
      <w:tr>
        <w:trPr>
          <w:trHeight w:val="27"/>
        </w:trPr>
        <w:tc>
          <w:tcPr>
            <w:tcW w:w="4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Corporate/Partnership loans</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10,110</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10,110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Subtotal</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73,504</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222,913</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w:t>
            </w:r>
          </w:p>
        </w:tc>
      </w:tr>
      <w:tr>
        <w:trPr>
          <w:trHeight w:val="27"/>
        </w:trPr>
        <w:tc>
          <w:tcPr>
            <w:tcW w:w="4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With an allowance recorded:</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4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Senior mortgages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911,082</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20" w:type="dxa"/>
            <w:vAlign w:val="bottom"/>
          </w:tcPr>
          <w:p>
            <w:pPr>
              <w:spacing w:after="0"/>
              <w:rPr>
                <w:sz w:val="21"/>
                <w:szCs w:val="21"/>
                <w:color w:val="auto"/>
              </w:rPr>
            </w:pPr>
          </w:p>
        </w:tc>
        <w:tc>
          <w:tcPr>
            <w:tcW w:w="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1,147,091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w:t>
            </w:r>
          </w:p>
        </w:tc>
      </w:tr>
      <w:tr>
        <w:trPr>
          <w:trHeight w:val="27"/>
        </w:trPr>
        <w:tc>
          <w:tcPr>
            <w:tcW w:w="4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Subordinate mortgages</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53,888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50,345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Corporate/Partnership loans</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62,326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62,959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7"/>
        </w:trPr>
        <w:tc>
          <w:tcPr>
            <w:tcW w:w="4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4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Subtotal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1,027,296</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1,260,395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w:t>
            </w:r>
          </w:p>
        </w:tc>
      </w:tr>
      <w:tr>
        <w:trPr>
          <w:trHeight w:val="243"/>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4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Senior mortgages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974,476</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1,359,894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w:t>
            </w:r>
          </w:p>
        </w:tc>
      </w:tr>
      <w:tr>
        <w:trPr>
          <w:trHeight w:val="243"/>
        </w:trPr>
        <w:tc>
          <w:tcPr>
            <w:tcW w:w="4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Subordinate mortgages</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53,888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50,345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Corporate/Partnership loans</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72,436</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73,069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57"/>
        </w:trPr>
        <w:tc>
          <w:tcPr>
            <w:tcW w:w="4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1,100,800</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1,483,308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1,727</w:t>
            </w:r>
          </w:p>
        </w:tc>
      </w:tr>
      <w:tr>
        <w:trPr>
          <w:trHeight w:val="20"/>
        </w:trPr>
        <w:tc>
          <w:tcPr>
            <w:tcW w:w="4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jc w:val="both"/>
        <w:ind w:firstLine="405"/>
        <w:spacing w:after="0" w:line="286" w:lineRule="auto"/>
        <w:rPr>
          <w:sz w:val="20"/>
          <w:szCs w:val="20"/>
          <w:color w:val="auto"/>
        </w:rPr>
      </w:pPr>
      <w:r>
        <w:rPr>
          <w:rFonts w:ascii="Times New Roman" w:cs="Times New Roman" w:eastAsia="Times New Roman" w:hAnsi="Times New Roman"/>
          <w:sz w:val="18"/>
          <w:szCs w:val="18"/>
          <w:b w:val="1"/>
          <w:bCs w:val="1"/>
          <w:color w:val="auto"/>
        </w:rPr>
        <w:t>Troubled Debt Restructurings</w:t>
      </w:r>
      <w:r>
        <w:rPr>
          <w:rFonts w:ascii="Times New Roman" w:cs="Times New Roman" w:eastAsia="Times New Roman" w:hAnsi="Times New Roman"/>
          <w:sz w:val="18"/>
          <w:szCs w:val="18"/>
          <w:color w:val="auto"/>
        </w:rPr>
        <w:t>—During the three months ended March 31, 2013 and 2012, the Company modified loans that were determined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troubled debt restructurings. The recorded investment in these loans was impacted by the modifications as follows, presented by class ($ in thousands):</w:t>
      </w:r>
    </w:p>
    <w:p>
      <w:pPr>
        <w:spacing w:after="0" w:line="342"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160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600" w:type="dxa"/>
            <w:vAlign w:val="bottom"/>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305"/>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225"/>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16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Pre-Modification</w:t>
            </w:r>
          </w:p>
        </w:tc>
        <w:tc>
          <w:tcPr>
            <w:tcW w:w="240" w:type="dxa"/>
            <w:vAlign w:val="bottom"/>
          </w:tcPr>
          <w:p>
            <w:pPr>
              <w:spacing w:after="0"/>
              <w:rPr>
                <w:sz w:val="12"/>
                <w:szCs w:val="12"/>
                <w:color w:val="auto"/>
              </w:rPr>
            </w:pPr>
          </w:p>
        </w:tc>
        <w:tc>
          <w:tcPr>
            <w:tcW w:w="17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Post-Modification</w:t>
            </w: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Pre-Modification</w:t>
            </w:r>
          </w:p>
        </w:tc>
        <w:tc>
          <w:tcPr>
            <w:tcW w:w="240" w:type="dxa"/>
            <w:vAlign w:val="bottom"/>
          </w:tcPr>
          <w:p>
            <w:pPr>
              <w:spacing w:after="0"/>
              <w:rPr>
                <w:sz w:val="12"/>
                <w:szCs w:val="12"/>
                <w:color w:val="auto"/>
              </w:rPr>
            </w:pPr>
          </w:p>
        </w:tc>
        <w:tc>
          <w:tcPr>
            <w:tcW w:w="1580" w:type="dxa"/>
            <w:vAlign w:val="bottom"/>
          </w:tcPr>
          <w:p>
            <w:pPr>
              <w:jc w:val="center"/>
              <w:ind w:right="164"/>
              <w:spacing w:after="0" w:line="149" w:lineRule="exact"/>
              <w:rPr>
                <w:sz w:val="20"/>
                <w:szCs w:val="20"/>
                <w:color w:val="auto"/>
              </w:rPr>
            </w:pPr>
            <w:r>
              <w:rPr>
                <w:rFonts w:ascii="Times New Roman" w:cs="Times New Roman" w:eastAsia="Times New Roman" w:hAnsi="Times New Roman"/>
                <w:sz w:val="14"/>
                <w:szCs w:val="14"/>
                <w:b w:val="1"/>
                <w:bCs w:val="1"/>
                <w:color w:val="auto"/>
              </w:rPr>
              <w:t>Post-Modification</w:t>
            </w:r>
          </w:p>
        </w:tc>
        <w:tc>
          <w:tcPr>
            <w:tcW w:w="0" w:type="dxa"/>
            <w:vAlign w:val="bottom"/>
          </w:tcPr>
          <w:p>
            <w:pPr>
              <w:spacing w:after="0"/>
              <w:rPr>
                <w:sz w:val="1"/>
                <w:szCs w:val="1"/>
                <w:color w:val="auto"/>
              </w:rPr>
            </w:pPr>
          </w:p>
        </w:tc>
      </w:tr>
      <w:tr>
        <w:trPr>
          <w:trHeight w:val="149"/>
        </w:trPr>
        <w:tc>
          <w:tcPr>
            <w:tcW w:w="1600" w:type="dxa"/>
            <w:vAlign w:val="bottom"/>
          </w:tcPr>
          <w:p>
            <w:pPr>
              <w:spacing w:after="0"/>
              <w:rPr>
                <w:sz w:val="12"/>
                <w:szCs w:val="12"/>
                <w:color w:val="auto"/>
              </w:rPr>
            </w:pPr>
          </w:p>
        </w:tc>
        <w:tc>
          <w:tcPr>
            <w:tcW w:w="128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tcPr>
          <w:p>
            <w:pPr>
              <w:spacing w:after="0"/>
              <w:rPr>
                <w:sz w:val="12"/>
                <w:szCs w:val="12"/>
                <w:color w:val="auto"/>
              </w:rPr>
            </w:pPr>
          </w:p>
        </w:tc>
        <w:tc>
          <w:tcPr>
            <w:tcW w:w="16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40" w:type="dxa"/>
            <w:vAlign w:val="bottom"/>
          </w:tcPr>
          <w:p>
            <w:pPr>
              <w:spacing w:after="0"/>
              <w:rPr>
                <w:sz w:val="12"/>
                <w:szCs w:val="12"/>
                <w:color w:val="auto"/>
              </w:rPr>
            </w:pPr>
          </w:p>
        </w:tc>
        <w:tc>
          <w:tcPr>
            <w:tcW w:w="17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1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tcPr>
          <w:p>
            <w:pPr>
              <w:spacing w:after="0"/>
              <w:rPr>
                <w:sz w:val="12"/>
                <w:szCs w:val="12"/>
                <w:color w:val="auto"/>
              </w:rPr>
            </w:pPr>
          </w:p>
        </w:tc>
        <w:tc>
          <w:tcPr>
            <w:tcW w:w="15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40" w:type="dxa"/>
            <w:vAlign w:val="bottom"/>
          </w:tcPr>
          <w:p>
            <w:pPr>
              <w:spacing w:after="0"/>
              <w:rPr>
                <w:sz w:val="12"/>
                <w:szCs w:val="12"/>
                <w:color w:val="auto"/>
              </w:rPr>
            </w:pPr>
          </w:p>
        </w:tc>
        <w:tc>
          <w:tcPr>
            <w:tcW w:w="1580" w:type="dxa"/>
            <w:vAlign w:val="bottom"/>
          </w:tcPr>
          <w:p>
            <w:pPr>
              <w:jc w:val="center"/>
              <w:ind w:right="144"/>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49"/>
        </w:trPr>
        <w:tc>
          <w:tcPr>
            <w:tcW w:w="16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Recorded</w:t>
            </w:r>
          </w:p>
        </w:tc>
        <w:tc>
          <w:tcPr>
            <w:tcW w:w="240" w:type="dxa"/>
            <w:vAlign w:val="bottom"/>
          </w:tcPr>
          <w:p>
            <w:pPr>
              <w:spacing w:after="0"/>
              <w:rPr>
                <w:sz w:val="12"/>
                <w:szCs w:val="12"/>
                <w:color w:val="auto"/>
              </w:rPr>
            </w:pPr>
          </w:p>
        </w:tc>
        <w:tc>
          <w:tcPr>
            <w:tcW w:w="17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Recorded</w:t>
            </w:r>
          </w:p>
        </w:tc>
        <w:tc>
          <w:tcPr>
            <w:tcW w:w="11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Recorded</w:t>
            </w:r>
          </w:p>
        </w:tc>
        <w:tc>
          <w:tcPr>
            <w:tcW w:w="240" w:type="dxa"/>
            <w:vAlign w:val="bottom"/>
          </w:tcPr>
          <w:p>
            <w:pPr>
              <w:spacing w:after="0"/>
              <w:rPr>
                <w:sz w:val="12"/>
                <w:szCs w:val="12"/>
                <w:color w:val="auto"/>
              </w:rPr>
            </w:pPr>
          </w:p>
        </w:tc>
        <w:tc>
          <w:tcPr>
            <w:tcW w:w="1580" w:type="dxa"/>
            <w:vAlign w:val="bottom"/>
          </w:tcPr>
          <w:p>
            <w:pPr>
              <w:jc w:val="center"/>
              <w:ind w:right="144"/>
              <w:spacing w:after="0" w:line="149" w:lineRule="exact"/>
              <w:rPr>
                <w:sz w:val="20"/>
                <w:szCs w:val="20"/>
                <w:color w:val="auto"/>
              </w:rPr>
            </w:pPr>
            <w:r>
              <w:rPr>
                <w:rFonts w:ascii="Times New Roman" w:cs="Times New Roman" w:eastAsia="Times New Roman" w:hAnsi="Times New Roman"/>
                <w:sz w:val="14"/>
                <w:szCs w:val="14"/>
                <w:b w:val="1"/>
                <w:bCs w:val="1"/>
                <w:color w:val="auto"/>
              </w:rPr>
              <w:t>Recorded</w:t>
            </w:r>
          </w:p>
        </w:tc>
        <w:tc>
          <w:tcPr>
            <w:tcW w:w="0" w:type="dxa"/>
            <w:vAlign w:val="bottom"/>
          </w:tcPr>
          <w:p>
            <w:pPr>
              <w:spacing w:after="0"/>
              <w:rPr>
                <w:sz w:val="1"/>
                <w:szCs w:val="1"/>
                <w:color w:val="auto"/>
              </w:rPr>
            </w:pPr>
          </w:p>
        </w:tc>
      </w:tr>
      <w:tr>
        <w:trPr>
          <w:trHeight w:val="195"/>
        </w:trPr>
        <w:tc>
          <w:tcPr>
            <w:tcW w:w="1600" w:type="dxa"/>
            <w:vAlign w:val="bottom"/>
          </w:tcPr>
          <w:p>
            <w:pPr>
              <w:spacing w:after="0"/>
              <w:rPr>
                <w:sz w:val="16"/>
                <w:szCs w:val="16"/>
                <w:color w:val="auto"/>
              </w:rPr>
            </w:pPr>
          </w:p>
        </w:tc>
        <w:tc>
          <w:tcPr>
            <w:tcW w:w="128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of Loans</w:t>
            </w:r>
          </w:p>
        </w:tc>
        <w:tc>
          <w:tcPr>
            <w:tcW w:w="220" w:type="dxa"/>
            <w:vAlign w:val="bottom"/>
          </w:tcPr>
          <w:p>
            <w:pPr>
              <w:spacing w:after="0"/>
              <w:rPr>
                <w:sz w:val="16"/>
                <w:szCs w:val="16"/>
                <w:color w:val="auto"/>
              </w:rPr>
            </w:pPr>
          </w:p>
        </w:tc>
        <w:tc>
          <w:tcPr>
            <w:tcW w:w="16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240" w:type="dxa"/>
            <w:vAlign w:val="bottom"/>
          </w:tcPr>
          <w:p>
            <w:pPr>
              <w:spacing w:after="0"/>
              <w:rPr>
                <w:sz w:val="16"/>
                <w:szCs w:val="16"/>
                <w:color w:val="auto"/>
              </w:rPr>
            </w:pPr>
          </w:p>
        </w:tc>
        <w:tc>
          <w:tcPr>
            <w:tcW w:w="17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1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of Loans</w:t>
            </w:r>
          </w:p>
        </w:tc>
        <w:tc>
          <w:tcPr>
            <w:tcW w:w="220" w:type="dxa"/>
            <w:vAlign w:val="bottom"/>
          </w:tcPr>
          <w:p>
            <w:pPr>
              <w:spacing w:after="0"/>
              <w:rPr>
                <w:sz w:val="16"/>
                <w:szCs w:val="16"/>
                <w:color w:val="auto"/>
              </w:rPr>
            </w:pPr>
          </w:p>
        </w:tc>
        <w:tc>
          <w:tcPr>
            <w:tcW w:w="15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240" w:type="dxa"/>
            <w:vAlign w:val="bottom"/>
          </w:tcPr>
          <w:p>
            <w:pPr>
              <w:spacing w:after="0"/>
              <w:rPr>
                <w:sz w:val="16"/>
                <w:szCs w:val="16"/>
                <w:color w:val="auto"/>
              </w:rPr>
            </w:pPr>
          </w:p>
        </w:tc>
        <w:tc>
          <w:tcPr>
            <w:tcW w:w="1580" w:type="dxa"/>
            <w:vAlign w:val="bottom"/>
          </w:tcPr>
          <w:p>
            <w:pPr>
              <w:jc w:val="center"/>
              <w:ind w:right="144"/>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0" w:type="dxa"/>
            <w:vAlign w:val="bottom"/>
          </w:tcPr>
          <w:p>
            <w:pPr>
              <w:spacing w:after="0"/>
              <w:rPr>
                <w:sz w:val="1"/>
                <w:szCs w:val="1"/>
                <w:color w:val="auto"/>
              </w:rPr>
            </w:pPr>
          </w:p>
        </w:tc>
      </w:tr>
      <w:tr>
        <w:trPr>
          <w:trHeight w:val="262"/>
        </w:trPr>
        <w:tc>
          <w:tcPr>
            <w:tcW w:w="1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mortgages</w:t>
            </w:r>
          </w:p>
        </w:tc>
        <w:tc>
          <w:tcPr>
            <w:tcW w:w="116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8"/>
                <w:szCs w:val="18"/>
                <w:color w:val="auto"/>
              </w:rPr>
              <w:t>72,674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8"/>
                <w:szCs w:val="18"/>
                <w:color w:val="auto"/>
              </w:rPr>
              <w:t>65,000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00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8"/>
                <w:szCs w:val="18"/>
                <w:color w:val="auto"/>
              </w:rPr>
              <w:t>305,780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260,307</w:t>
            </w: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2013, the Company restructured one non-performing loan with a recorded investment of $72.7 million. The Company received a $13.3 million paydown and accepted a discounted payoff option on this loan, with final payment expected to be made in July 2013, subject to conditional extension options, and the loan was reclassified from non-performing to performing status as the Company believes the borrower can perform under the modified terms of the agreement.</w:t>
      </w:r>
    </w:p>
    <w:p>
      <w:pPr>
        <w:spacing w:after="0" w:line="140"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Troubled debt restructurings that occurred during the three months ended March 31, 2012 included the modifications of performing loans with a combined recorded investment of $58.1 million. The modified terms of these loans granted maturity extensions ranging from three months to one year and included conditional extension options in certain cases dependent on borrower-specific performance hurdles. In each case, the Company believes the borrowers can perform under the modified terms of the loans and continues to classify these loans as performing.</w:t>
      </w:r>
    </w:p>
    <w:p>
      <w:pPr>
        <w:spacing w:after="0" w:line="140"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Non-performing loans with a combined recorded investment of $247.7 million were also modified during the three months ended March 31, 2012 and continued to be classified as non-performing subsequent to modification. Included in this balance was a loan with a recorded investment of $181.5 million prior to modification, for which the Company agreed to reduce the outstanding principal balance and recorded charge-offs totaling $45.5 million, and also reduced the loan's interest rate. The remaining non-</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18" w:right="2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iStar Financial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performing loans were granted maturity extensions ranging from one month to seven months and the interest rate was reduced on one loan.</w:t>
      </w:r>
    </w:p>
    <w:p>
      <w:pPr>
        <w:spacing w:after="0" w:line="18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Generally when granting concessions, the Company will seek to protect its position by requiring incremental pay downs, additional collateral or guarantees and in some cases lookback features or equity kickers to offset concessions granted should conditions impacting the loan improve. The Company's determination of credit losses is impacted by troubled debt restructurings whereby loans that have gone through troubled debt restructurings are considered impaired, assessed for specific reserves, and are not included in the Company's assessment of general loan loss reserves. Loans previously restructured under troubled debt restructurings that subsequently default are reassessed to incorporate the Company's current assumptions on expected cash flows and additional provision expense is recorded to the extent necessary. As of March 31, 2013, the Company had $21.5 million of unfunded commitments associated with modified loans considered troubled debt restructurings.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6—Other Investments</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Company's other investments and its proportionate share of results from equity method investments were as follows ($ in thousands):</w:t>
      </w:r>
    </w:p>
    <w:p>
      <w:pPr>
        <w:spacing w:after="0" w:line="328"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0" w:type="dxa"/>
            <w:vAlign w:val="bottom"/>
            <w:gridSpan w:val="3"/>
            <w:vMerge w:val="restart"/>
          </w:tcPr>
          <w:p>
            <w:pPr>
              <w:jc w:val="center"/>
              <w:ind w:left="574"/>
              <w:spacing w:after="0"/>
              <w:rPr>
                <w:sz w:val="20"/>
                <w:szCs w:val="20"/>
                <w:color w:val="auto"/>
              </w:rPr>
            </w:pPr>
            <w:r>
              <w:rPr>
                <w:rFonts w:ascii="Times New Roman" w:cs="Times New Roman" w:eastAsia="Times New Roman" w:hAnsi="Times New Roman"/>
                <w:sz w:val="14"/>
                <w:szCs w:val="14"/>
                <w:b w:val="1"/>
                <w:bCs w:val="1"/>
                <w:color w:val="auto"/>
              </w:rPr>
              <w:t>Carrying Value as of</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80" w:type="dxa"/>
            <w:vAlign w:val="bottom"/>
            <w:gridSpan w:val="4"/>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Equity in earnings for the Three Months</w:t>
            </w:r>
          </w:p>
        </w:tc>
        <w:tc>
          <w:tcPr>
            <w:tcW w:w="0" w:type="dxa"/>
            <w:vAlign w:val="bottom"/>
          </w:tcPr>
          <w:p>
            <w:pPr>
              <w:spacing w:after="0"/>
              <w:rPr>
                <w:sz w:val="1"/>
                <w:szCs w:val="1"/>
                <w:color w:val="auto"/>
              </w:rPr>
            </w:pPr>
          </w:p>
        </w:tc>
      </w:tr>
      <w:tr>
        <w:trPr>
          <w:trHeight w:val="195"/>
        </w:trPr>
        <w:tc>
          <w:tcPr>
            <w:tcW w:w="4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3"/>
            <w:vMerge w:val="continue"/>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2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March 31, 2013</w:t>
            </w:r>
          </w:p>
        </w:tc>
        <w:tc>
          <w:tcPr>
            <w:tcW w:w="120" w:type="dxa"/>
            <w:vAlign w:val="bottom"/>
            <w:tcBorders>
              <w:bottom w:val="single" w:sz="8" w:color="CCEEFF"/>
            </w:tcBorders>
          </w:tcPr>
          <w:p>
            <w:pPr>
              <w:spacing w:after="0"/>
              <w:rPr>
                <w:sz w:val="22"/>
                <w:szCs w:val="22"/>
                <w:color w:val="auto"/>
              </w:rPr>
            </w:pPr>
          </w:p>
        </w:tc>
        <w:tc>
          <w:tcPr>
            <w:tcW w:w="164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December 31, 2012</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w w:val="99"/>
              </w:rPr>
              <w:t>2012</w:t>
            </w:r>
          </w:p>
        </w:tc>
        <w:tc>
          <w:tcPr>
            <w:tcW w:w="0" w:type="dxa"/>
            <w:vAlign w:val="bottom"/>
          </w:tcPr>
          <w:p>
            <w:pPr>
              <w:spacing w:after="0"/>
              <w:rPr>
                <w:sz w:val="1"/>
                <w:szCs w:val="1"/>
                <w:color w:val="auto"/>
              </w:rPr>
            </w:pPr>
          </w:p>
        </w:tc>
      </w:tr>
      <w:tr>
        <w:trPr>
          <w:trHeight w:val="249"/>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LNR</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221,912</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center"/>
              <w:ind w:right="614"/>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205,773</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14,746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12,137</w:t>
            </w:r>
          </w:p>
        </w:tc>
        <w:tc>
          <w:tcPr>
            <w:tcW w:w="0" w:type="dxa"/>
            <w:vAlign w:val="bottom"/>
          </w:tcPr>
          <w:p>
            <w:pPr>
              <w:spacing w:after="0"/>
              <w:rPr>
                <w:sz w:val="1"/>
                <w:szCs w:val="1"/>
                <w:color w:val="auto"/>
              </w:rPr>
            </w:pPr>
          </w:p>
        </w:tc>
      </w:tr>
      <w:tr>
        <w:trPr>
          <w:trHeight w:val="243"/>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Madison Funds</w:t>
            </w:r>
          </w:p>
        </w:tc>
        <w:tc>
          <w:tcPr>
            <w:tcW w:w="18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56,245</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56,547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2,259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9,498</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Oak Hill Funds</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26,794</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29,840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1,157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3,374</w:t>
            </w:r>
          </w:p>
        </w:tc>
        <w:tc>
          <w:tcPr>
            <w:tcW w:w="0" w:type="dxa"/>
            <w:vAlign w:val="bottom"/>
          </w:tcPr>
          <w:p>
            <w:pPr>
              <w:spacing w:after="0"/>
              <w:rPr>
                <w:sz w:val="1"/>
                <w:szCs w:val="1"/>
                <w:color w:val="auto"/>
              </w:rPr>
            </w:pPr>
          </w:p>
        </w:tc>
      </w:tr>
      <w:tr>
        <w:trPr>
          <w:trHeight w:val="243"/>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 equity investments</w:t>
            </w:r>
          </w:p>
        </w:tc>
        <w:tc>
          <w:tcPr>
            <w:tcW w:w="18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40,560</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47,619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1,763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6,771</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equity method investments</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48,489</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47,939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1,753</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3,006</w:t>
            </w:r>
          </w:p>
        </w:tc>
        <w:tc>
          <w:tcPr>
            <w:tcW w:w="0" w:type="dxa"/>
            <w:vAlign w:val="bottom"/>
          </w:tcPr>
          <w:p>
            <w:pPr>
              <w:spacing w:after="0"/>
              <w:rPr>
                <w:sz w:val="1"/>
                <w:szCs w:val="1"/>
                <w:color w:val="auto"/>
              </w:rPr>
            </w:pPr>
          </w:p>
        </w:tc>
      </w:tr>
      <w:tr>
        <w:trPr>
          <w:trHeight w:val="297"/>
        </w:trPr>
        <w:tc>
          <w:tcPr>
            <w:tcW w:w="42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Total equity method investments</w:t>
            </w:r>
          </w:p>
        </w:tc>
        <w:tc>
          <w:tcPr>
            <w:tcW w:w="180" w:type="dxa"/>
            <w:vAlign w:val="bottom"/>
            <w:tcBorders>
              <w:top w:val="single" w:sz="8" w:color="auto"/>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CCEEFF"/>
            </w:tcBorders>
          </w:tcPr>
          <w:p>
            <w:pPr>
              <w:jc w:val="right"/>
              <w:ind w:right="14"/>
              <w:spacing w:after="0"/>
              <w:rPr>
                <w:sz w:val="20"/>
                <w:szCs w:val="20"/>
                <w:color w:val="auto"/>
              </w:rPr>
            </w:pPr>
            <w:r>
              <w:rPr>
                <w:rFonts w:ascii="Times New Roman" w:cs="Times New Roman" w:eastAsia="Times New Roman" w:hAnsi="Times New Roman"/>
                <w:sz w:val="18"/>
                <w:szCs w:val="18"/>
                <w:color w:val="auto"/>
              </w:rPr>
              <w:t>394,000</w:t>
            </w:r>
          </w:p>
        </w:tc>
        <w:tc>
          <w:tcPr>
            <w:tcW w:w="120" w:type="dxa"/>
            <w:vAlign w:val="bottom"/>
            <w:tcBorders>
              <w:bottom w:val="single" w:sz="8" w:color="CCEEFF"/>
            </w:tcBorders>
          </w:tcPr>
          <w:p>
            <w:pPr>
              <w:spacing w:after="0"/>
              <w:rPr>
                <w:sz w:val="24"/>
                <w:szCs w:val="24"/>
                <w:color w:val="auto"/>
              </w:rPr>
            </w:pPr>
          </w:p>
        </w:tc>
        <w:tc>
          <w:tcPr>
            <w:tcW w:w="820" w:type="dxa"/>
            <w:vAlign w:val="bottom"/>
            <w:tcBorders>
              <w:top w:val="single" w:sz="8" w:color="auto"/>
              <w:bottom w:val="single" w:sz="8" w:color="CCEEFF"/>
            </w:tcBorders>
          </w:tcPr>
          <w:p>
            <w:pPr>
              <w:jc w:val="center"/>
              <w:ind w:right="614"/>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color w:val="auto"/>
              </w:rPr>
              <w:t>387,718</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21,678</w:t>
            </w:r>
          </w:p>
        </w:tc>
        <w:tc>
          <w:tcPr>
            <w:tcW w:w="100" w:type="dxa"/>
            <w:vAlign w:val="bottom"/>
            <w:tcBorders>
              <w:bottom w:val="single" w:sz="8" w:color="CCEEFF"/>
            </w:tcBorders>
          </w:tcPr>
          <w:p>
            <w:pPr>
              <w:spacing w:after="0"/>
              <w:rPr>
                <w:sz w:val="24"/>
                <w:szCs w:val="24"/>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34,786</w:t>
            </w:r>
          </w:p>
        </w:tc>
        <w:tc>
          <w:tcPr>
            <w:tcW w:w="0" w:type="dxa"/>
            <w:vAlign w:val="bottom"/>
          </w:tcPr>
          <w:p>
            <w:pPr>
              <w:spacing w:after="0"/>
              <w:rPr>
                <w:sz w:val="1"/>
                <w:szCs w:val="1"/>
                <w:color w:val="auto"/>
              </w:rPr>
            </w:pPr>
          </w:p>
        </w:tc>
      </w:tr>
      <w:tr>
        <w:trPr>
          <w:trHeight w:val="257"/>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9,759</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11,125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other investments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403,759</w:t>
            </w:r>
          </w:p>
        </w:tc>
        <w:tc>
          <w:tcPr>
            <w:tcW w:w="120" w:type="dxa"/>
            <w:vAlign w:val="bottom"/>
          </w:tcPr>
          <w:p>
            <w:pPr>
              <w:spacing w:after="0"/>
              <w:rPr>
                <w:sz w:val="22"/>
                <w:szCs w:val="22"/>
                <w:color w:val="auto"/>
              </w:rPr>
            </w:pPr>
          </w:p>
        </w:tc>
        <w:tc>
          <w:tcPr>
            <w:tcW w:w="820" w:type="dxa"/>
            <w:vAlign w:val="bottom"/>
            <w:tcBorders>
              <w:top w:val="single" w:sz="8" w:color="auto"/>
              <w:bottom w:val="single" w:sz="8" w:color="auto"/>
            </w:tcBorders>
          </w:tcPr>
          <w:p>
            <w:pPr>
              <w:jc w:val="center"/>
              <w:ind w:right="614"/>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398,843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Method Investments</w:t>
      </w:r>
    </w:p>
    <w:p>
      <w:pPr>
        <w:spacing w:after="0" w:line="185" w:lineRule="exact"/>
        <w:rPr>
          <w:sz w:val="20"/>
          <w:szCs w:val="20"/>
          <w:color w:val="auto"/>
        </w:rPr>
      </w:pPr>
    </w:p>
    <w:p>
      <w:pPr>
        <w:jc w:val="both"/>
        <w:ind w:firstLine="405"/>
        <w:spacing w:after="0" w:line="259" w:lineRule="auto"/>
        <w:rPr>
          <w:sz w:val="20"/>
          <w:szCs w:val="20"/>
          <w:color w:val="auto"/>
        </w:rPr>
      </w:pPr>
      <w:r>
        <w:rPr>
          <w:rFonts w:ascii="Times New Roman" w:cs="Times New Roman" w:eastAsia="Times New Roman" w:hAnsi="Times New Roman"/>
          <w:sz w:val="18"/>
          <w:szCs w:val="18"/>
          <w:b w:val="1"/>
          <w:bCs w:val="1"/>
          <w:color w:val="auto"/>
        </w:rPr>
        <w:t>LNR</w:t>
      </w:r>
      <w:r>
        <w:rPr>
          <w:rFonts w:ascii="Times New Roman" w:cs="Times New Roman" w:eastAsia="Times New Roman" w:hAnsi="Times New Roman"/>
          <w:sz w:val="18"/>
          <w:szCs w:val="18"/>
          <w:color w:val="auto"/>
        </w:rPr>
        <w:t>—On July 29, 2010, the Company acquired an ownership interest of approximately 24% in LNR Property Corporation ("LNR"). LNR is a servicer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special servicer of commercial mortgage loans and CMBS and a diversified real estate investment, finance and management company. In the transaction, the Company and a group of investors, including other creditors of LNR, acquired 100% of the common stock of LNR in exchange for cash and the extinguishment of existing senior notes of LNR's parent holding company (the "Holdco Notes"). The Company contributed $100.0 million aggregate principal amount of Holdco Notes and $100.0 million in cash in exchange for an equity interest of $120.0 million.</w:t>
      </w:r>
    </w:p>
    <w:p>
      <w:pPr>
        <w:spacing w:after="0" w:line="143"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Subsequent to quarter end, the Company completed the sale of its 24% equity interest in LNR and received $220.3 million in net proceeds (see Note 16 —Subsequent Events), which approximated the carrying value at March 31, 2013.</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18" w:right="2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iStar Financial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represents the latest available investee level summarized financial information for LNR ($ in thousands)(1):</w:t>
      </w:r>
    </w:p>
    <w:p>
      <w:pPr>
        <w:spacing w:after="0" w:line="200" w:lineRule="exact"/>
        <w:rPr>
          <w:sz w:val="20"/>
          <w:szCs w:val="20"/>
          <w:color w:val="auto"/>
        </w:rPr>
      </w:pPr>
    </w:p>
    <w:p>
      <w:pPr>
        <w:spacing w:after="0" w:line="208" w:lineRule="exact"/>
        <w:rPr>
          <w:sz w:val="20"/>
          <w:szCs w:val="20"/>
          <w:color w:val="auto"/>
        </w:rPr>
      </w:pPr>
    </w:p>
    <w:tbl>
      <w:tblPr>
        <w:tblLayout w:type="fixed"/>
        <w:tblInd w:w="1040" w:type="dxa"/>
        <w:tblCellMar>
          <w:top w:w="0" w:type="dxa"/>
          <w:left w:w="0" w:type="dxa"/>
          <w:bottom w:w="0" w:type="dxa"/>
          <w:right w:w="0" w:type="dxa"/>
        </w:tblCellMar>
      </w:tblPr>
      <w:tr>
        <w:trPr>
          <w:trHeight w:val="195"/>
        </w:trPr>
        <w:tc>
          <w:tcPr>
            <w:tcW w:w="60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For the Three Months Ended December 31,</w:t>
            </w:r>
          </w:p>
        </w:tc>
      </w:tr>
      <w:tr>
        <w:trPr>
          <w:trHeight w:val="264"/>
        </w:trPr>
        <w:tc>
          <w:tcPr>
            <w:tcW w:w="606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2011</w:t>
            </w:r>
          </w:p>
        </w:tc>
      </w:tr>
      <w:tr>
        <w:trPr>
          <w:trHeight w:val="249"/>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Income Statements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revenue(2)</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77,780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77,360</w:t>
            </w: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164,582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20,936</w:t>
            </w: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1,837</w:t>
            </w: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attributable to LNR</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189,249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50,621</w:t>
            </w: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iStar's ownership percentage</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Subtotal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45,420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12,137</w:t>
            </w: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Basis difference(3)</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(30,674)</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6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iStar's equity in earnings from LNR</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14,746</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12,137</w:t>
            </w:r>
          </w:p>
        </w:tc>
      </w:tr>
      <w:tr>
        <w:trPr>
          <w:trHeight w:val="27"/>
        </w:trPr>
        <w:tc>
          <w:tcPr>
            <w:tcW w:w="60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180" w:lineRule="exact"/>
        <w:rPr>
          <w:sz w:val="20"/>
          <w:szCs w:val="20"/>
          <w:color w:val="auto"/>
        </w:rPr>
      </w:pPr>
    </w:p>
    <w:p>
      <w:pPr>
        <w:jc w:val="center"/>
        <w:ind w:left="804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4919345</wp:posOffset>
            </wp:positionH>
            <wp:positionV relativeFrom="paragraph">
              <wp:posOffset>24765</wp:posOffset>
            </wp:positionV>
            <wp:extent cx="11233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23315" cy="8890"/>
                    </a:xfrm>
                    <a:prstGeom prst="rect">
                      <a:avLst/>
                    </a:prstGeom>
                    <a:noFill/>
                  </pic:spPr>
                </pic:pic>
              </a:graphicData>
            </a:graphic>
          </wp:anchor>
        </w:drawing>
      </w:r>
    </w:p>
    <w:p>
      <w:pPr>
        <w:spacing w:after="0" w:line="89" w:lineRule="exact"/>
        <w:rPr>
          <w:sz w:val="20"/>
          <w:szCs w:val="20"/>
          <w:color w:val="auto"/>
        </w:rPr>
      </w:pPr>
    </w:p>
    <w:p>
      <w:pPr>
        <w:jc w:val="center"/>
        <w:ind w:left="8040"/>
        <w:spacing w:after="0"/>
        <w:rPr>
          <w:sz w:val="20"/>
          <w:szCs w:val="20"/>
          <w:color w:val="auto"/>
        </w:rPr>
      </w:pPr>
      <w:r>
        <w:rPr>
          <w:rFonts w:ascii="Times New Roman" w:cs="Times New Roman" w:eastAsia="Times New Roman" w:hAnsi="Times New Roman"/>
          <w:sz w:val="14"/>
          <w:szCs w:val="14"/>
          <w:b w:val="1"/>
          <w:bCs w:val="1"/>
          <w:color w:val="auto"/>
        </w:rPr>
        <w:t>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24765</wp:posOffset>
            </wp:positionV>
            <wp:extent cx="7229475" cy="1803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As of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wp:posOffset>
            </wp:positionH>
            <wp:positionV relativeFrom="paragraph">
              <wp:posOffset>24765</wp:posOffset>
            </wp:positionV>
            <wp:extent cx="11322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pacing w:after="0" w:line="89"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2012</w:t>
      </w:r>
    </w:p>
    <w:p>
      <w:pPr>
        <w:spacing w:after="0" w:line="57" w:lineRule="exact"/>
        <w:rPr>
          <w:sz w:val="20"/>
          <w:szCs w:val="20"/>
          <w:color w:val="auto"/>
        </w:rPr>
      </w:pPr>
    </w:p>
    <w:p>
      <w:pPr>
        <w:sectPr>
          <w:pgSz w:w="11900" w:h="16838" w:orient="portrait"/>
          <w:cols w:equalWidth="0" w:num="2">
            <w:col w:w="9220" w:space="680"/>
            <w:col w:w="1520"/>
          </w:cols>
          <w:pgMar w:left="240" w:top="118" w:right="2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6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assets(2)</w:t>
            </w:r>
          </w:p>
        </w:tc>
        <w:tc>
          <w:tcPr>
            <w:tcW w:w="33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1,610,143</w:t>
            </w:r>
          </w:p>
        </w:tc>
        <w:tc>
          <w:tcPr>
            <w:tcW w:w="5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1,384,337</w:t>
            </w:r>
          </w:p>
        </w:tc>
      </w:tr>
      <w:tr>
        <w:trPr>
          <w:trHeight w:val="27"/>
        </w:trPr>
        <w:tc>
          <w:tcPr>
            <w:tcW w:w="49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debt(2)</w:t>
            </w:r>
          </w:p>
        </w:tc>
        <w:tc>
          <w:tcPr>
            <w:tcW w:w="33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468,355</w:t>
            </w:r>
          </w:p>
        </w:tc>
        <w:tc>
          <w:tcPr>
            <w:tcW w:w="56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398,912</w:t>
            </w:r>
          </w:p>
        </w:tc>
      </w:tr>
      <w:tr>
        <w:trPr>
          <w:trHeight w:val="243"/>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liabilities(2)</w:t>
            </w:r>
          </w:p>
        </w:tc>
        <w:tc>
          <w:tcPr>
            <w:tcW w:w="33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553,150</w:t>
            </w:r>
          </w:p>
        </w:tc>
        <w:tc>
          <w:tcPr>
            <w:tcW w:w="5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517,088</w:t>
            </w:r>
          </w:p>
        </w:tc>
      </w:tr>
      <w:tr>
        <w:trPr>
          <w:trHeight w:val="27"/>
        </w:trPr>
        <w:tc>
          <w:tcPr>
            <w:tcW w:w="49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33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1,588</w:t>
            </w:r>
          </w:p>
        </w:tc>
        <w:tc>
          <w:tcPr>
            <w:tcW w:w="56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1,560</w:t>
            </w:r>
          </w:p>
        </w:tc>
      </w:tr>
      <w:tr>
        <w:trPr>
          <w:trHeight w:val="243"/>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LNR Property LLC equity</w:t>
            </w:r>
          </w:p>
        </w:tc>
        <w:tc>
          <w:tcPr>
            <w:tcW w:w="33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1,055,405</w:t>
            </w:r>
          </w:p>
        </w:tc>
        <w:tc>
          <w:tcPr>
            <w:tcW w:w="5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865,689</w:t>
            </w:r>
          </w:p>
        </w:tc>
      </w:tr>
      <w:tr>
        <w:trPr>
          <w:trHeight w:val="27"/>
        </w:trPr>
        <w:tc>
          <w:tcPr>
            <w:tcW w:w="49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iStar's ownership percentage</w:t>
            </w:r>
          </w:p>
        </w:tc>
        <w:tc>
          <w:tcPr>
            <w:tcW w:w="3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5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43"/>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iStar's equity in LNR</w:t>
            </w:r>
          </w:p>
        </w:tc>
        <w:tc>
          <w:tcPr>
            <w:tcW w:w="33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221,912</w:t>
            </w:r>
          </w:p>
        </w:tc>
        <w:tc>
          <w:tcPr>
            <w:tcW w:w="5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205,773</w:t>
            </w:r>
          </w:p>
        </w:tc>
      </w:tr>
    </w:tbl>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Explanatory Notes: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120" w:lineRule="exact"/>
        <w:rPr>
          <w:sz w:val="20"/>
          <w:szCs w:val="20"/>
          <w:color w:val="auto"/>
        </w:rPr>
      </w:pPr>
    </w:p>
    <w:p>
      <w:pPr>
        <w:ind w:left="660" w:hanging="652"/>
        <w:spacing w:after="0" w:line="253" w:lineRule="auto"/>
        <w:tabs>
          <w:tab w:leader="none" w:pos="6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records its investment in LNR on a one quarter lag, therefore, amounts in the Company's financial statements for the three months ended March 31, 2013 and 2012 are based on balances and results from LNR for the three months ended December 31, 2012 and 2011.</w:t>
      </w:r>
    </w:p>
    <w:p>
      <w:pPr>
        <w:jc w:val="both"/>
        <w:ind w:left="660" w:hanging="652"/>
        <w:spacing w:after="0" w:line="241" w:lineRule="auto"/>
        <w:tabs>
          <w:tab w:leader="none" w:pos="6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LNR consolidates certain commercial mortgage-backed securities and collateralized debt obligation trusts that are considered VIEs (and for which it is the primary beneficiary), that have been excluded from the amounts presented above. As of December 31, 2012 and September 30, 2012, the assets of these trusts, which aggregated approximately $91.06 billion and $97.52 billion, respectively, were the sole source of repayment of the related liabilities, which aggregated approximately $90.74 billion and $97.21 billion, respectively, and are non-recourse to LNR and its equity holders, including the Company. In addition, total revenue presented above includes $29.3 million and $28.7 million for the three months ended December 31, 2012, and 2011, respectively, of servicing fee revenue that is eliminated upon consolidation of the VIE's at the LNR level. This income is then added back through consolidation at the LNR level as an adjustment to income allocable to noncontrolling entities and has no net impact on net income attributable to LNR.</w:t>
      </w:r>
    </w:p>
    <w:p>
      <w:pPr>
        <w:spacing w:after="0" w:line="2" w:lineRule="exact"/>
        <w:rPr>
          <w:rFonts w:ascii="Times New Roman" w:cs="Times New Roman" w:eastAsia="Times New Roman" w:hAnsi="Times New Roman"/>
          <w:sz w:val="14"/>
          <w:szCs w:val="14"/>
          <w:color w:val="auto"/>
        </w:rPr>
      </w:pPr>
    </w:p>
    <w:p>
      <w:pPr>
        <w:ind w:left="660" w:hanging="652"/>
        <w:spacing w:after="0" w:line="258" w:lineRule="auto"/>
        <w:tabs>
          <w:tab w:leader="none" w:pos="6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limited its recognition of its proportionate share of earnings in LNR for the three months ended March 31, 2013 to the amounts of proceeds it anticipates receiving from the sale.</w:t>
      </w:r>
    </w:p>
    <w:p>
      <w:pPr>
        <w:spacing w:after="0" w:line="138"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18"/>
          <w:szCs w:val="18"/>
          <w:b w:val="1"/>
          <w:bCs w:val="1"/>
          <w:color w:val="auto"/>
        </w:rPr>
        <w:t>Madison Funds</w:t>
      </w:r>
      <w:r>
        <w:rPr>
          <w:rFonts w:ascii="Times New Roman" w:cs="Times New Roman" w:eastAsia="Times New Roman" w:hAnsi="Times New Roman"/>
          <w:sz w:val="18"/>
          <w:szCs w:val="18"/>
          <w:color w:val="auto"/>
        </w:rPr>
        <w:t>—As of March 31, 2013, the Company owned a 29.52% interest in Madison International Real Estate Fund II, LP, a 32.92% interest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Madison International Real Estate Fund III, LP and a 29.52% interest in Madison GP1 Investors, LP (collectively, the "Madison Funds"). The Madison Funds invest in ownership positions of entities that own real estate assets. The Company determined that all of these entities are variable interest entities and that the Company is not the primary beneficiary.</w:t>
      </w:r>
    </w:p>
    <w:p>
      <w:pPr>
        <w:spacing w:after="0" w:line="136"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Oak Hill Funds</w:t>
      </w:r>
      <w:r>
        <w:rPr>
          <w:rFonts w:ascii="Times New Roman" w:cs="Times New Roman" w:eastAsia="Times New Roman" w:hAnsi="Times New Roman"/>
          <w:sz w:val="18"/>
          <w:szCs w:val="18"/>
          <w:color w:val="auto"/>
        </w:rPr>
        <w:t>—As of March 31, 2013, the Company owned a 5.92% interest in OHA Strategic Credit Master Fund, L.P. ("OHASCF"). OHASCF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formed to acquire and manage a diverse portfolio of assets, investing in distressed, stressed and undervalued loans, bonds, equities and other investments. The Company determined that this entity is a variable interest entity and that the Company is not the primary beneficiary.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18" w:right="2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iStar Financial Inc.</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8"/>
          <w:szCs w:val="18"/>
          <w:b w:val="1"/>
          <w:bCs w:val="1"/>
          <w:color w:val="auto"/>
        </w:rPr>
        <w:t>Real estate equity investments</w:t>
      </w:r>
      <w:r>
        <w:rPr>
          <w:rFonts w:ascii="Times New Roman" w:cs="Times New Roman" w:eastAsia="Times New Roman" w:hAnsi="Times New Roman"/>
          <w:sz w:val="18"/>
          <w:szCs w:val="18"/>
          <w:color w:val="auto"/>
        </w:rPr>
        <w:t>—As of March 31, 2013, the Company's real estate equity investments included equity interests in real estate ventures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ranging from 31% to 70%, comprised of investments of $16.4 million in net lease assets, $20.3 million in operating properties and $3.9 million in land assets. As of December 31, 2012, the Company's real estate equity investments included $16.4 million in net lease assets, $25.7 million in operating properties and $5.5 million in land assets. One of the Company's equity investments in operating properties represents a 33% interest in residential property units. During the three months ended March 31, 2013 and 2012, the Company's earnings from its interest in this property includes income from sales of residential units of $2.5 million and $8.0 million, respectively.</w:t>
      </w:r>
    </w:p>
    <w:p>
      <w:pPr>
        <w:spacing w:after="0" w:line="142" w:lineRule="exact"/>
        <w:rPr>
          <w:sz w:val="20"/>
          <w:szCs w:val="20"/>
          <w:color w:val="auto"/>
        </w:rPr>
      </w:pPr>
    </w:p>
    <w:p>
      <w:pPr>
        <w:jc w:val="both"/>
        <w:ind w:right="20"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Other Equity Method Investments</w:t>
      </w:r>
      <w:r>
        <w:rPr>
          <w:rFonts w:ascii="Times New Roman" w:cs="Times New Roman" w:eastAsia="Times New Roman" w:hAnsi="Times New Roman"/>
          <w:sz w:val="18"/>
          <w:szCs w:val="18"/>
          <w:color w:val="auto"/>
        </w:rPr>
        <w:t>—The Company also had smaller investments in several other entities that were accounted for under the equity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method. Several of these investments are in real estate related funds or other strategic investment opportunities within niche markets.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7—Other Assets and Other Liabilities</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Deferred expenses and other assets, net, consist of the following items ($ in thousands):</w:t>
      </w:r>
    </w:p>
    <w:p>
      <w:pPr>
        <w:spacing w:after="0" w:line="200" w:lineRule="exact"/>
        <w:rPr>
          <w:sz w:val="20"/>
          <w:szCs w:val="20"/>
          <w:color w:val="auto"/>
        </w:rPr>
      </w:pP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78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500" w:type="dxa"/>
            <w:vAlign w:val="bottom"/>
            <w:tcBorders>
              <w:bottom w:val="single" w:sz="8" w:color="auto"/>
            </w:tcBorders>
          </w:tcPr>
          <w:p>
            <w:pPr>
              <w:spacing w:after="0"/>
              <w:rPr>
                <w:sz w:val="16"/>
                <w:szCs w:val="16"/>
                <w:color w:val="auto"/>
              </w:rPr>
            </w:pPr>
          </w:p>
        </w:tc>
      </w:tr>
      <w:tr>
        <w:trPr>
          <w:trHeight w:val="264"/>
        </w:trPr>
        <w:tc>
          <w:tcPr>
            <w:tcW w:w="78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March 31, 2013</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December 31, 2012</w:t>
            </w:r>
          </w:p>
        </w:tc>
      </w:tr>
      <w:tr>
        <w:trPr>
          <w:trHeight w:val="249"/>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financing fees, net(1)</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23,721</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26,629</w:t>
            </w:r>
          </w:p>
        </w:tc>
      </w:tr>
      <w:tr>
        <w:trPr>
          <w:trHeight w:val="24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Leasing costs, net(2)</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19,322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20,205</w:t>
            </w:r>
          </w:p>
        </w:tc>
      </w:tr>
      <w:tr>
        <w:trPr>
          <w:trHeight w:val="27"/>
        </w:trPr>
        <w:tc>
          <w:tcPr>
            <w:tcW w:w="7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receivables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11,517</w:t>
            </w:r>
          </w:p>
        </w:tc>
      </w:tr>
      <w:tr>
        <w:trPr>
          <w:trHeight w:val="24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asset</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5,218</w:t>
            </w:r>
          </w:p>
        </w:tc>
      </w:tr>
      <w:tr>
        <w:trPr>
          <w:trHeight w:val="24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furniture, fixtures and equipment, net(3)</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7,537</w:t>
            </w:r>
          </w:p>
        </w:tc>
      </w:tr>
      <w:tr>
        <w:trPr>
          <w:trHeight w:val="27"/>
        </w:trPr>
        <w:tc>
          <w:tcPr>
            <w:tcW w:w="7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24,175</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22,884</w:t>
            </w:r>
          </w:p>
        </w:tc>
      </w:tr>
      <w:tr>
        <w:trPr>
          <w:trHeight w:val="257"/>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expenses and other assets, net</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108,299</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93,990</w:t>
            </w:r>
          </w:p>
        </w:tc>
      </w:tr>
      <w:tr>
        <w:trPr>
          <w:trHeight w:val="20"/>
        </w:trPr>
        <w:tc>
          <w:tcPr>
            <w:tcW w:w="7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Explanatory Notes: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120"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Accumulated amortization on deferred financing fees was $2.6 million and $4.1 million as of March 31, 2013 and December 31, 2012, respectively.</w:t>
      </w:r>
    </w:p>
    <w:p>
      <w:pPr>
        <w:spacing w:after="0" w:line="17" w:lineRule="exact"/>
        <w:rPr>
          <w:rFonts w:ascii="Times New Roman" w:cs="Times New Roman" w:eastAsia="Times New Roman" w:hAnsi="Times New Roman"/>
          <w:sz w:val="14"/>
          <w:szCs w:val="14"/>
          <w:color w:val="auto"/>
        </w:rPr>
      </w:pPr>
    </w:p>
    <w:p>
      <w:pPr>
        <w:ind w:left="660" w:hanging="652"/>
        <w:spacing w:after="0"/>
        <w:tabs>
          <w:tab w:leader="none" w:pos="6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Accumulated amortization on leasing costs was $5.0 million and $6.6 million as of March 31, 2013 and December 31, 2012, respectively.</w:t>
      </w:r>
    </w:p>
    <w:p>
      <w:pPr>
        <w:spacing w:after="0" w:line="1" w:lineRule="exact"/>
        <w:rPr>
          <w:rFonts w:ascii="Times New Roman" w:cs="Times New Roman" w:eastAsia="Times New Roman" w:hAnsi="Times New Roman"/>
          <w:sz w:val="14"/>
          <w:szCs w:val="14"/>
          <w:color w:val="auto"/>
        </w:rPr>
      </w:pPr>
    </w:p>
    <w:p>
      <w:pPr>
        <w:ind w:left="660" w:hanging="652"/>
        <w:spacing w:after="0"/>
        <w:tabs>
          <w:tab w:leader="none" w:pos="6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Accumulated depreciation on corporate furniture, fixtures and equipment was $6.0 million and $6.2 million as of March 31, 2013 and December 31, 2012, respectively.</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18" w:right="2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iStar Financial Inc.</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 consist of the following items ($ in thousands):</w:t>
      </w:r>
    </w:p>
    <w:p>
      <w:pPr>
        <w:spacing w:after="0" w:line="200" w:lineRule="exact"/>
        <w:rPr>
          <w:sz w:val="20"/>
          <w:szCs w:val="20"/>
          <w:color w:val="auto"/>
        </w:rPr>
      </w:pP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78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500" w:type="dxa"/>
            <w:vAlign w:val="bottom"/>
            <w:tcBorders>
              <w:bottom w:val="single" w:sz="8" w:color="auto"/>
            </w:tcBorders>
          </w:tcPr>
          <w:p>
            <w:pPr>
              <w:spacing w:after="0"/>
              <w:rPr>
                <w:sz w:val="16"/>
                <w:szCs w:val="16"/>
                <w:color w:val="auto"/>
              </w:rPr>
            </w:pPr>
          </w:p>
        </w:tc>
      </w:tr>
      <w:tr>
        <w:trPr>
          <w:trHeight w:val="264"/>
        </w:trPr>
        <w:tc>
          <w:tcPr>
            <w:tcW w:w="78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March 31, 2013</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December 31, 2012</w:t>
            </w:r>
          </w:p>
        </w:tc>
      </w:tr>
      <w:tr>
        <w:trPr>
          <w:trHeight w:val="249"/>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interest payable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43,691</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29,521</w:t>
            </w:r>
          </w:p>
        </w:tc>
      </w:tr>
      <w:tr>
        <w:trPr>
          <w:trHeight w:val="24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34,643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50,467</w:t>
            </w:r>
          </w:p>
        </w:tc>
      </w:tr>
      <w:tr>
        <w:trPr>
          <w:trHeight w:val="27"/>
        </w:trPr>
        <w:tc>
          <w:tcPr>
            <w:tcW w:w="7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taxes payable</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8,206</w:t>
            </w:r>
          </w:p>
        </w:tc>
      </w:tr>
      <w:tr>
        <w:trPr>
          <w:trHeight w:val="24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Unearned operating lease income</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11,294</w:t>
            </w:r>
          </w:p>
        </w:tc>
      </w:tr>
      <w:tr>
        <w:trPr>
          <w:trHeight w:val="27"/>
        </w:trPr>
        <w:tc>
          <w:tcPr>
            <w:tcW w:w="7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Security deposits and other investment deposits(1)</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13,717</w:t>
            </w:r>
          </w:p>
        </w:tc>
      </w:tr>
      <w:tr>
        <w:trPr>
          <w:trHeight w:val="24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liabilities</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3,435</w:t>
            </w:r>
          </w:p>
        </w:tc>
      </w:tr>
      <w:tr>
        <w:trPr>
          <w:trHeight w:val="27"/>
        </w:trPr>
        <w:tc>
          <w:tcPr>
            <w:tcW w:w="7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12,412</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15,820</w:t>
            </w:r>
          </w:p>
        </w:tc>
      </w:tr>
      <w:tr>
        <w:trPr>
          <w:trHeight w:val="257"/>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117,227</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132,460</w:t>
            </w:r>
          </w:p>
        </w:tc>
      </w:tr>
      <w:tr>
        <w:trPr>
          <w:trHeight w:val="20"/>
        </w:trPr>
        <w:tc>
          <w:tcPr>
            <w:tcW w:w="7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Explanatory Note: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120"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three months ended March 31, 2013, $8.9 million of restricted cash collateralizing a letter of credit related to one of the Company's loan investments was disbursed.</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Deferred tax assets and liabilities of the Company's TRS entities were as follows ($ in thousands):</w:t>
      </w:r>
    </w:p>
    <w:p>
      <w:pPr>
        <w:spacing w:after="0" w:line="200" w:lineRule="exact"/>
        <w:rPr>
          <w:sz w:val="20"/>
          <w:szCs w:val="20"/>
          <w:color w:val="auto"/>
        </w:rPr>
      </w:pP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78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500" w:type="dxa"/>
            <w:vAlign w:val="bottom"/>
            <w:tcBorders>
              <w:bottom w:val="single" w:sz="8" w:color="auto"/>
            </w:tcBorders>
          </w:tcPr>
          <w:p>
            <w:pPr>
              <w:spacing w:after="0"/>
              <w:rPr>
                <w:sz w:val="16"/>
                <w:szCs w:val="16"/>
                <w:color w:val="auto"/>
              </w:rPr>
            </w:pPr>
          </w:p>
        </w:tc>
      </w:tr>
      <w:tr>
        <w:trPr>
          <w:trHeight w:val="250"/>
        </w:trPr>
        <w:tc>
          <w:tcPr>
            <w:tcW w:w="7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2013</w:t>
            </w:r>
          </w:p>
        </w:tc>
        <w:tc>
          <w:tcPr>
            <w:tcW w:w="200" w:type="dxa"/>
            <w:vAlign w:val="bottom"/>
          </w:tcPr>
          <w:p>
            <w:pPr>
              <w:spacing w:after="0"/>
              <w:rPr>
                <w:sz w:val="21"/>
                <w:szCs w:val="21"/>
                <w:color w:val="auto"/>
              </w:rPr>
            </w:pPr>
          </w:p>
        </w:tc>
        <w:tc>
          <w:tcPr>
            <w:tcW w:w="150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December 31, 2012</w:t>
            </w:r>
          </w:p>
        </w:tc>
      </w:tr>
      <w:tr>
        <w:trPr>
          <w:trHeight w:val="249"/>
        </w:trPr>
        <w:tc>
          <w:tcPr>
            <w:tcW w:w="7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assets(1)</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50,968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40,800</w:t>
            </w:r>
          </w:p>
        </w:tc>
      </w:tr>
      <w:tr>
        <w:trPr>
          <w:trHeight w:val="24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2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(50,968)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(40,800)</w:t>
            </w:r>
          </w:p>
        </w:tc>
      </w:tr>
      <w:tr>
        <w:trPr>
          <w:trHeight w:val="27"/>
        </w:trPr>
        <w:tc>
          <w:tcPr>
            <w:tcW w:w="7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7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deferred tax assets (liabilities)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Explanatory Note: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120" w:lineRule="exact"/>
        <w:rPr>
          <w:sz w:val="20"/>
          <w:szCs w:val="20"/>
          <w:color w:val="auto"/>
        </w:rPr>
      </w:pPr>
    </w:p>
    <w:p>
      <w:pPr>
        <w:jc w:val="both"/>
        <w:ind w:left="660" w:hanging="652"/>
        <w:spacing w:after="0" w:line="261" w:lineRule="auto"/>
        <w:tabs>
          <w:tab w:leader="none" w:pos="6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Deferred tax assets as of March 31, 2013, include real estate basis differences of $36.3 million, net operating loss carryforwards of $6.7 million and investment basis differences of $7.9 million. Deferred tax assets as of December 31, 2012, include real estate basis differences of $31.2 million, net operating loss carryforwards of $10.8 million and investment basis differences of $(1.2) million.</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18" w:right="2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iStar Financial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8—Debt Obligations, net</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March 31, 2013 and December 31, 2012, the Company's debt obligations were as follows ($ in thousands):</w:t>
      </w:r>
    </w:p>
    <w:p>
      <w:pPr>
        <w:spacing w:after="0" w:line="200" w:lineRule="exact"/>
        <w:rPr>
          <w:sz w:val="20"/>
          <w:szCs w:val="20"/>
          <w:color w:val="auto"/>
        </w:rPr>
      </w:pP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194"/>
        </w:trPr>
        <w:tc>
          <w:tcPr>
            <w:tcW w:w="43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772"/>
              <w:spacing w:after="0"/>
              <w:rPr>
                <w:sz w:val="20"/>
                <w:szCs w:val="20"/>
                <w:color w:val="auto"/>
              </w:rPr>
            </w:pPr>
            <w:r>
              <w:rPr>
                <w:rFonts w:ascii="Times New Roman" w:cs="Times New Roman" w:eastAsia="Times New Roman" w:hAnsi="Times New Roman"/>
                <w:sz w:val="14"/>
                <w:szCs w:val="14"/>
                <w:b w:val="1"/>
                <w:bCs w:val="1"/>
                <w:color w:val="auto"/>
              </w:rPr>
              <w:t>Carrying Value as of</w:t>
            </w:r>
          </w:p>
        </w:tc>
        <w:tc>
          <w:tcPr>
            <w:tcW w:w="1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151"/>
        </w:trPr>
        <w:tc>
          <w:tcPr>
            <w:tcW w:w="4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ind w:left="140"/>
              <w:spacing w:after="0" w:line="15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260" w:type="dxa"/>
            <w:vAlign w:val="bottom"/>
          </w:tcPr>
          <w:p>
            <w:pPr>
              <w:jc w:val="right"/>
              <w:ind w:right="232"/>
              <w:spacing w:after="0" w:line="15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3"/>
                <w:szCs w:val="13"/>
                <w:color w:val="auto"/>
              </w:rPr>
            </w:pPr>
          </w:p>
        </w:tc>
        <w:tc>
          <w:tcPr>
            <w:tcW w:w="1780" w:type="dxa"/>
            <w:vAlign w:val="bottom"/>
          </w:tcPr>
          <w:p>
            <w:pPr>
              <w:jc w:val="right"/>
              <w:ind w:right="615"/>
              <w:spacing w:after="0" w:line="151" w:lineRule="exact"/>
              <w:rPr>
                <w:sz w:val="20"/>
                <w:szCs w:val="20"/>
                <w:color w:val="auto"/>
              </w:rPr>
            </w:pPr>
            <w:r>
              <w:rPr>
                <w:rFonts w:ascii="Times New Roman" w:cs="Times New Roman" w:eastAsia="Times New Roman" w:hAnsi="Times New Roman"/>
                <w:sz w:val="14"/>
                <w:szCs w:val="14"/>
                <w:b w:val="1"/>
                <w:bCs w:val="1"/>
                <w:color w:val="auto"/>
              </w:rPr>
              <w:t>Stated</w:t>
            </w:r>
          </w:p>
        </w:tc>
        <w:tc>
          <w:tcPr>
            <w:tcW w:w="440" w:type="dxa"/>
            <w:vAlign w:val="bottom"/>
          </w:tcPr>
          <w:p>
            <w:pPr>
              <w:spacing w:after="0"/>
              <w:rPr>
                <w:sz w:val="13"/>
                <w:szCs w:val="13"/>
                <w:color w:val="auto"/>
              </w:rPr>
            </w:pPr>
          </w:p>
        </w:tc>
        <w:tc>
          <w:tcPr>
            <w:tcW w:w="170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Scheduled</w:t>
            </w:r>
          </w:p>
        </w:tc>
      </w:tr>
      <w:tr>
        <w:trPr>
          <w:trHeight w:val="195"/>
        </w:trPr>
        <w:tc>
          <w:tcPr>
            <w:tcW w:w="43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Interest Rates</w:t>
            </w:r>
          </w:p>
        </w:tc>
        <w:tc>
          <w:tcPr>
            <w:tcW w:w="44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 Date</w:t>
            </w:r>
          </w:p>
        </w:tc>
      </w:tr>
      <w:tr>
        <w:trPr>
          <w:trHeight w:val="249"/>
        </w:trPr>
        <w:tc>
          <w:tcPr>
            <w:tcW w:w="4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Secured credit facilities and term loans: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4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2012 Tranche A-1 Facility</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60,309</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169,164</w:t>
            </w:r>
          </w:p>
        </w:tc>
        <w:tc>
          <w:tcPr>
            <w:tcW w:w="120" w:type="dxa"/>
            <w:vAlign w:val="bottom"/>
          </w:tcPr>
          <w:p>
            <w:pPr>
              <w:spacing w:after="0"/>
              <w:rPr>
                <w:sz w:val="21"/>
                <w:szCs w:val="21"/>
                <w:color w:val="auto"/>
              </w:rPr>
            </w:pPr>
          </w:p>
        </w:tc>
        <w:tc>
          <w:tcPr>
            <w:tcW w:w="17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LIBOR + 4.00%</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2016</w:t>
            </w:r>
          </w:p>
        </w:tc>
      </w:tr>
      <w:tr>
        <w:trPr>
          <w:trHeight w:val="27"/>
        </w:trPr>
        <w:tc>
          <w:tcPr>
            <w:tcW w:w="4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2012 Tranche A-2 Facility</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470,000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470,000</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LIBOR + 5.75%</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March 2017</w:t>
            </w:r>
          </w:p>
        </w:tc>
      </w:tr>
      <w:tr>
        <w:trPr>
          <w:trHeight w:val="243"/>
        </w:trPr>
        <w:tc>
          <w:tcPr>
            <w:tcW w:w="4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October 2012 Secured Credit Facility</w:t>
            </w:r>
          </w:p>
        </w:tc>
        <w:tc>
          <w:tcPr>
            <w:tcW w:w="2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1,754,466</w:t>
            </w:r>
          </w:p>
        </w:tc>
        <w:tc>
          <w:tcPr>
            <w:tcW w:w="120" w:type="dxa"/>
            <w:vAlign w:val="bottom"/>
          </w:tcPr>
          <w:p>
            <w:pPr>
              <w:spacing w:after="0"/>
              <w:rPr>
                <w:sz w:val="21"/>
                <w:szCs w:val="21"/>
                <w:color w:val="auto"/>
              </w:rPr>
            </w:pPr>
          </w:p>
        </w:tc>
        <w:tc>
          <w:tcPr>
            <w:tcW w:w="17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LIBOR + 4.50%</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4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February 2013 Secured Credit Facility</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1,673,414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LIBOR + 3.50%</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October 2017</w:t>
            </w:r>
          </w:p>
        </w:tc>
      </w:tr>
      <w:tr>
        <w:trPr>
          <w:trHeight w:val="243"/>
        </w:trPr>
        <w:tc>
          <w:tcPr>
            <w:tcW w:w="4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Term loans collateralized by net lease assets</w:t>
            </w:r>
          </w:p>
        </w:tc>
        <w:tc>
          <w:tcPr>
            <w:tcW w:w="2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263,489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264,432</w:t>
            </w:r>
          </w:p>
        </w:tc>
        <w:tc>
          <w:tcPr>
            <w:tcW w:w="190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4.851% - 7.68%</w:t>
            </w:r>
          </w:p>
        </w:tc>
        <w:tc>
          <w:tcPr>
            <w:tcW w:w="44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Various through 2026</w:t>
            </w:r>
          </w:p>
        </w:tc>
      </w:tr>
      <w:tr>
        <w:trPr>
          <w:trHeight w:val="27"/>
        </w:trPr>
        <w:tc>
          <w:tcPr>
            <w:tcW w:w="43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r>
      <w:tr>
        <w:trPr>
          <w:trHeight w:val="244"/>
        </w:trPr>
        <w:tc>
          <w:tcPr>
            <w:tcW w:w="4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secured credit facilities and term loans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2,467,212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2,658,062</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Unsecured notes:</w:t>
            </w: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7"/>
        </w:trPr>
        <w:tc>
          <w:tcPr>
            <w:tcW w:w="4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8.625% senior notes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96,801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96,801</w:t>
            </w:r>
          </w:p>
        </w:tc>
        <w:tc>
          <w:tcPr>
            <w:tcW w:w="1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8.625%</w:t>
            </w:r>
          </w:p>
        </w:tc>
        <w:tc>
          <w:tcPr>
            <w:tcW w:w="4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June 2013</w:t>
            </w:r>
          </w:p>
        </w:tc>
      </w:tr>
      <w:tr>
        <w:trPr>
          <w:trHeight w:val="243"/>
        </w:trPr>
        <w:tc>
          <w:tcPr>
            <w:tcW w:w="4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5.95% senior notes</w:t>
            </w:r>
          </w:p>
        </w:tc>
        <w:tc>
          <w:tcPr>
            <w:tcW w:w="2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448,453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448,453</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44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 2013</w:t>
            </w:r>
          </w:p>
        </w:tc>
      </w:tr>
      <w:tr>
        <w:trPr>
          <w:trHeight w:val="27"/>
        </w:trPr>
        <w:tc>
          <w:tcPr>
            <w:tcW w:w="4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5.70% senior notes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200,601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200,601</w:t>
            </w:r>
          </w:p>
        </w:tc>
        <w:tc>
          <w:tcPr>
            <w:tcW w:w="1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4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March 2014</w:t>
            </w:r>
          </w:p>
        </w:tc>
      </w:tr>
      <w:tr>
        <w:trPr>
          <w:trHeight w:val="243"/>
        </w:trPr>
        <w:tc>
          <w:tcPr>
            <w:tcW w:w="4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6.05% senior notes</w:t>
            </w:r>
          </w:p>
        </w:tc>
        <w:tc>
          <w:tcPr>
            <w:tcW w:w="2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105,765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105,765</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44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2015</w:t>
            </w:r>
          </w:p>
        </w:tc>
      </w:tr>
      <w:tr>
        <w:trPr>
          <w:trHeight w:val="27"/>
        </w:trPr>
        <w:tc>
          <w:tcPr>
            <w:tcW w:w="4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5.875% senior notes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261,403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261,403</w:t>
            </w:r>
          </w:p>
        </w:tc>
        <w:tc>
          <w:tcPr>
            <w:tcW w:w="1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5.875%</w:t>
            </w:r>
          </w:p>
        </w:tc>
        <w:tc>
          <w:tcPr>
            <w:tcW w:w="4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March 2016</w:t>
            </w:r>
          </w:p>
        </w:tc>
      </w:tr>
      <w:tr>
        <w:trPr>
          <w:trHeight w:val="243"/>
        </w:trPr>
        <w:tc>
          <w:tcPr>
            <w:tcW w:w="4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3.0% senior convertible notes(4)</w:t>
            </w:r>
          </w:p>
        </w:tc>
        <w:tc>
          <w:tcPr>
            <w:tcW w:w="2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200,000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200,000</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440" w:type="dxa"/>
            <w:vAlign w:val="bottom"/>
          </w:tcPr>
          <w:p>
            <w:pPr>
              <w:spacing w:after="0"/>
              <w:rPr>
                <w:sz w:val="21"/>
                <w:szCs w:val="21"/>
                <w:color w:val="auto"/>
              </w:rPr>
            </w:pPr>
          </w:p>
        </w:tc>
        <w:tc>
          <w:tcPr>
            <w:tcW w:w="170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9"/>
              </w:rPr>
              <w:t>November 2016</w:t>
            </w:r>
          </w:p>
        </w:tc>
      </w:tr>
      <w:tr>
        <w:trPr>
          <w:trHeight w:val="27"/>
        </w:trPr>
        <w:tc>
          <w:tcPr>
            <w:tcW w:w="4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5.85% senior notes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99,722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99,722</w:t>
            </w:r>
          </w:p>
        </w:tc>
        <w:tc>
          <w:tcPr>
            <w:tcW w:w="1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4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March 2017</w:t>
            </w:r>
          </w:p>
        </w:tc>
      </w:tr>
      <w:tr>
        <w:trPr>
          <w:trHeight w:val="243"/>
        </w:trPr>
        <w:tc>
          <w:tcPr>
            <w:tcW w:w="4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9.0% senior notes</w:t>
            </w:r>
          </w:p>
        </w:tc>
        <w:tc>
          <w:tcPr>
            <w:tcW w:w="2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275,000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275,000</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44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2017</w:t>
            </w:r>
          </w:p>
        </w:tc>
      </w:tr>
      <w:tr>
        <w:trPr>
          <w:trHeight w:val="27"/>
        </w:trPr>
        <w:tc>
          <w:tcPr>
            <w:tcW w:w="4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43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7.125% senior notes</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300,000</w:t>
            </w:r>
          </w:p>
        </w:tc>
        <w:tc>
          <w:tcPr>
            <w:tcW w:w="1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7.125%</w:t>
            </w:r>
          </w:p>
        </w:tc>
        <w:tc>
          <w:tcPr>
            <w:tcW w:w="44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February 2018</w:t>
            </w:r>
          </w:p>
        </w:tc>
      </w:tr>
      <w:tr>
        <w:trPr>
          <w:trHeight w:val="237"/>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unsecured notes</w:t>
            </w: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1,987,745</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1,987,745</w:t>
            </w:r>
          </w:p>
        </w:tc>
        <w:tc>
          <w:tcPr>
            <w:tcW w:w="1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27"/>
        </w:trPr>
        <w:tc>
          <w:tcPr>
            <w:tcW w:w="4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debt obligations: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4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debt obligations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100,000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100,000</w:t>
            </w:r>
          </w:p>
        </w:tc>
        <w:tc>
          <w:tcPr>
            <w:tcW w:w="120" w:type="dxa"/>
            <w:vAlign w:val="bottom"/>
          </w:tcPr>
          <w:p>
            <w:pPr>
              <w:spacing w:after="0"/>
              <w:rPr>
                <w:sz w:val="21"/>
                <w:szCs w:val="21"/>
                <w:color w:val="auto"/>
              </w:rPr>
            </w:pPr>
          </w:p>
        </w:tc>
        <w:tc>
          <w:tcPr>
            <w:tcW w:w="17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LIBOR + 1.5%</w:t>
            </w:r>
          </w:p>
        </w:tc>
        <w:tc>
          <w:tcPr>
            <w:tcW w:w="44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 2035</w:t>
            </w:r>
          </w:p>
        </w:tc>
      </w:tr>
      <w:tr>
        <w:trPr>
          <w:trHeight w:val="27"/>
        </w:trPr>
        <w:tc>
          <w:tcPr>
            <w:tcW w:w="43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r>
      <w:tr>
        <w:trPr>
          <w:trHeight w:val="244"/>
        </w:trPr>
        <w:tc>
          <w:tcPr>
            <w:tcW w:w="4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debt obligations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4,554,957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4,745,807</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discounts, net</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(60,320)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(54,313)</w:t>
            </w:r>
          </w:p>
        </w:tc>
        <w:tc>
          <w:tcPr>
            <w:tcW w:w="1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7"/>
        </w:trPr>
        <w:tc>
          <w:tcPr>
            <w:tcW w:w="43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r>
      <w:tr>
        <w:trPr>
          <w:trHeight w:val="257"/>
        </w:trPr>
        <w:tc>
          <w:tcPr>
            <w:tcW w:w="4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debt obligations, net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4,494,637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4,691,494</w:t>
            </w:r>
          </w:p>
        </w:tc>
        <w:tc>
          <w:tcPr>
            <w:tcW w:w="12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r>
      <w:tr>
        <w:trPr>
          <w:trHeight w:val="20"/>
        </w:trPr>
        <w:tc>
          <w:tcPr>
            <w:tcW w:w="4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Explanatory Notes: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120" w:lineRule="exact"/>
        <w:rPr>
          <w:sz w:val="20"/>
          <w:szCs w:val="20"/>
          <w:color w:val="auto"/>
        </w:rPr>
      </w:pPr>
    </w:p>
    <w:p>
      <w:pPr>
        <w:ind w:left="660" w:hanging="652"/>
        <w:spacing w:after="0" w:line="253" w:lineRule="auto"/>
        <w:tabs>
          <w:tab w:leader="none" w:pos="6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loans each have a LIBOR floor of 1.25%. As of March 31, 2013, inclusive of the floors, the 2012 Tranche A-1 Facility and 2012 Tranche A-2 Facility loans incurred interest at a rate of 5.25% and 7.00%, respectively.</w:t>
      </w:r>
    </w:p>
    <w:p>
      <w:pPr>
        <w:ind w:left="660" w:hanging="652"/>
        <w:spacing w:after="0"/>
        <w:tabs>
          <w:tab w:leader="none" w:pos="6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loan had a LIBOR floor of 1.25%.</w:t>
      </w:r>
    </w:p>
    <w:p>
      <w:pPr>
        <w:spacing w:after="0" w:line="1" w:lineRule="exact"/>
        <w:rPr>
          <w:rFonts w:ascii="Times New Roman" w:cs="Times New Roman" w:eastAsia="Times New Roman" w:hAnsi="Times New Roman"/>
          <w:sz w:val="14"/>
          <w:szCs w:val="14"/>
          <w:color w:val="auto"/>
        </w:rPr>
      </w:pPr>
    </w:p>
    <w:p>
      <w:pPr>
        <w:ind w:left="660" w:hanging="652"/>
        <w:spacing w:after="0"/>
        <w:tabs>
          <w:tab w:leader="none" w:pos="6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loan has a LIBOR floor of 1.00%. As of March 31, 2013, inclusive of the floor, the February 2013 Secured Credit Facility incurred interest at a rate of 4.50%.</w:t>
      </w:r>
    </w:p>
    <w:p>
      <w:pPr>
        <w:spacing w:after="0" w:line="1" w:lineRule="exact"/>
        <w:rPr>
          <w:rFonts w:ascii="Times New Roman" w:cs="Times New Roman" w:eastAsia="Times New Roman" w:hAnsi="Times New Roman"/>
          <w:sz w:val="14"/>
          <w:szCs w:val="14"/>
          <w:color w:val="auto"/>
        </w:rPr>
      </w:pPr>
    </w:p>
    <w:p>
      <w:pPr>
        <w:ind w:left="660" w:hanging="652"/>
        <w:spacing w:after="0" w:line="258" w:lineRule="auto"/>
        <w:tabs>
          <w:tab w:leader="none" w:pos="6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senior convertible fixed rate notes due November 2016 ("Convertible Notes") are convertible at the option of the holders, into 85.0 shares per $1,000 principal amount of Convertible Notes, at any time prior to the close of business on November 14, 2016.</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18" w:right="2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iStar Financial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Future Scheduled Maturities</w:t>
      </w:r>
      <w:r>
        <w:rPr>
          <w:rFonts w:ascii="Times New Roman" w:cs="Times New Roman" w:eastAsia="Times New Roman" w:hAnsi="Times New Roman"/>
          <w:sz w:val="18"/>
          <w:szCs w:val="18"/>
          <w:color w:val="auto"/>
        </w:rPr>
        <w:t>—As of March 31, 2013, future scheduled maturities of outstanding debt obligations are as follows ($ in thousands):</w:t>
      </w:r>
    </w:p>
    <w:p>
      <w:pPr>
        <w:spacing w:after="0" w:line="200" w:lineRule="exact"/>
        <w:rPr>
          <w:sz w:val="20"/>
          <w:szCs w:val="20"/>
          <w:color w:val="auto"/>
        </w:rPr>
      </w:pP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60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Unsecured Debt</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Secured Debt</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9"/>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2013 (remaining nine months)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545,254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545,254</w:t>
            </w:r>
          </w:p>
        </w:tc>
      </w:tr>
      <w:tr>
        <w:trPr>
          <w:trHeight w:val="243"/>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2014</w:t>
            </w:r>
          </w:p>
        </w:tc>
        <w:tc>
          <w:tcPr>
            <w:tcW w:w="24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200,601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853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201,454</w:t>
            </w:r>
          </w:p>
        </w:tc>
      </w:tr>
      <w:tr>
        <w:trPr>
          <w:trHeight w:val="27"/>
        </w:trPr>
        <w:tc>
          <w:tcPr>
            <w:tcW w:w="6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2015</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105,765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105,765</w:t>
            </w:r>
          </w:p>
        </w:tc>
      </w:tr>
      <w:tr>
        <w:trPr>
          <w:trHeight w:val="243"/>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2016</w:t>
            </w:r>
          </w:p>
        </w:tc>
        <w:tc>
          <w:tcPr>
            <w:tcW w:w="24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461,403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60,309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521,712</w:t>
            </w:r>
          </w:p>
        </w:tc>
      </w:tr>
      <w:tr>
        <w:trPr>
          <w:trHeight w:val="27"/>
        </w:trPr>
        <w:tc>
          <w:tcPr>
            <w:tcW w:w="6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2017</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374,722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2,143,414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2,518,136</w:t>
            </w:r>
          </w:p>
        </w:tc>
      </w:tr>
      <w:tr>
        <w:trPr>
          <w:trHeight w:val="243"/>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400,000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262,636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662,636</w:t>
            </w:r>
          </w:p>
        </w:tc>
      </w:tr>
      <w:tr>
        <w:trPr>
          <w:trHeight w:val="27"/>
        </w:trPr>
        <w:tc>
          <w:tcPr>
            <w:tcW w:w="6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principal maturities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2,087,745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2,467,212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4,554,957</w:t>
            </w:r>
          </w:p>
        </w:tc>
      </w:tr>
      <w:tr>
        <w:trPr>
          <w:trHeight w:val="243"/>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debt discounts, net</w:t>
            </w:r>
          </w:p>
        </w:tc>
        <w:tc>
          <w:tcPr>
            <w:tcW w:w="2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(42,962)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(60,320)</w:t>
            </w:r>
          </w:p>
        </w:tc>
      </w:tr>
      <w:tr>
        <w:trPr>
          <w:trHeight w:val="27"/>
        </w:trPr>
        <w:tc>
          <w:tcPr>
            <w:tcW w:w="6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long-term debt obligations, net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2,070,387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2,424,250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4,494,637</w:t>
            </w:r>
          </w:p>
        </w:tc>
      </w:tr>
      <w:tr>
        <w:trPr>
          <w:trHeight w:val="20"/>
        </w:trPr>
        <w:tc>
          <w:tcPr>
            <w:tcW w:w="6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jc w:val="both"/>
        <w:ind w:firstLine="405"/>
        <w:spacing w:after="0" w:line="259" w:lineRule="auto"/>
        <w:rPr>
          <w:sz w:val="20"/>
          <w:szCs w:val="20"/>
          <w:color w:val="auto"/>
        </w:rPr>
      </w:pPr>
      <w:r>
        <w:rPr>
          <w:rFonts w:ascii="Times New Roman" w:cs="Times New Roman" w:eastAsia="Times New Roman" w:hAnsi="Times New Roman"/>
          <w:sz w:val="18"/>
          <w:szCs w:val="18"/>
          <w:b w:val="1"/>
          <w:bCs w:val="1"/>
          <w:color w:val="auto"/>
        </w:rPr>
        <w:t>February 2013 Secured Credit Facility</w:t>
      </w:r>
      <w:r>
        <w:rPr>
          <w:rFonts w:ascii="Times New Roman" w:cs="Times New Roman" w:eastAsia="Times New Roman" w:hAnsi="Times New Roman"/>
          <w:sz w:val="18"/>
          <w:szCs w:val="18"/>
          <w:color w:val="auto"/>
        </w:rPr>
        <w:t>—On February 11, 2013, the Company entered into a $1.71 billion senior secured credit facility due October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15, 2017 (the “February 2013 Secured Credit Facility”) that amended and restated its $1.82 billion senior secured credit facility, dated October 15, 2012 (the “October 2012 Secured Credit Facility”). The February 2013 Credit Facility amended the October 2012 Secured Credit Facility by: (i) reducing the interest rate from LIBOR plus 4.50%, with a 1.25% LIBOR floor, to LIBOR plus 3.50%, with a 1.00% LIBOR floor; and (ii) extending the call protection period for the lenders from October 15, 2013 to December 31, 2013.</w:t>
      </w:r>
    </w:p>
    <w:p>
      <w:pPr>
        <w:spacing w:after="0" w:line="143"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Borrowings under the February 2013 Secured Credit Facility are collateralized by a first lien on a fixed pool of assets, with required minimum collateral coverage of not less than 125% of outstanding borrowings. If collateral coverage is less than 137.5% of outstanding borrowings, 100% of the proceeds from principal repayments and sales of collateral will be applied to repay outstanding borrowings under the February 2013 Secured Credit Facility. For so long as collateral coverage is between 137.5% and 150% of outstanding borrowings, 50% of proceeds from principal repayments and sales of collateral will be applied to repay outstanding borrowings under the February 2013 Secured Credit Facility and for so long as collateral coverage is greater than 150% of outstanding borrowings, the Company may retain all proceeds from principal repayments and sales of collateral. The Company retains proceeds from interest, rent, lease payments and fee income in all cases.</w:t>
      </w:r>
    </w:p>
    <w:p>
      <w:pPr>
        <w:spacing w:after="0" w:line="14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connection with the February 2013 Secured Credit Facility transaction, the Company incurred $17.1 million of lender fees and $3.8 million in third party fees, of which the lender fees were capitalized in "Debt Obligations, net" on the Company's Consolidated Balance Sheets, and $3.6 million of third party fees were recognized in “Other expense” on the Company's Consolidated Statements of Operations, as it related primarily to the portion of lenders from the original facility that modified their debt under the new facility. The remaining $0.2 million of third party fees were recorded in “Deferred expenses and other assets, net” on the Company's Consolidated Balance Sheets, as it related to the new lenders.</w:t>
      </w:r>
    </w:p>
    <w:p>
      <w:pPr>
        <w:spacing w:after="0" w:line="14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February 2013 Secured Credit Facility contains certain covenants relating to the collateral, among other matters, but does not contain corporate level financial covenants. For so long as the Company maintains its qualification as a REIT, it is permitted to distribute 100% of its REIT taxable income on an annual basis. In addition, the Company may distribute to its stockholders real estate assets, or interests therein, having an aggregate equity value not to exceed $200 million, that are not collateral securing the borrowings under the February 2013 Secured Credit Facility. Except for the distribution of real estate assets described in the preceding sentence, the Company may not pay common dividends if it ceases to qualify as a REIT.</w:t>
      </w:r>
    </w:p>
    <w:p>
      <w:pPr>
        <w:spacing w:after="0" w:line="14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Through March 31, 2013, the Company has made cumulative amortization repayments of $33.6 million on the February 2013 Secured Credit Facility. Repayments of the February 2013 Secured Credit Facility prior to the scheduled maturity date have resulted in losses on early extinguishment of debt of $0.8 million for the three months ended March 31, 2013 related to the acceleration of discounts and unamortized deferred financing fees on the portion of the facility that was repaid.</w:t>
      </w:r>
    </w:p>
    <w:p>
      <w:pPr>
        <w:spacing w:after="0" w:line="136" w:lineRule="exact"/>
        <w:rPr>
          <w:sz w:val="20"/>
          <w:szCs w:val="20"/>
          <w:color w:val="auto"/>
        </w:rPr>
      </w:pPr>
    </w:p>
    <w:p>
      <w:pPr>
        <w:jc w:val="both"/>
        <w:ind w:firstLine="405"/>
        <w:spacing w:after="0" w:line="268" w:lineRule="auto"/>
        <w:rPr>
          <w:sz w:val="20"/>
          <w:szCs w:val="20"/>
          <w:color w:val="auto"/>
        </w:rPr>
      </w:pPr>
      <w:r>
        <w:rPr>
          <w:rFonts w:ascii="Times New Roman" w:cs="Times New Roman" w:eastAsia="Times New Roman" w:hAnsi="Times New Roman"/>
          <w:sz w:val="18"/>
          <w:szCs w:val="18"/>
          <w:b w:val="1"/>
          <w:bCs w:val="1"/>
          <w:color w:val="auto"/>
        </w:rPr>
        <w:t>October 2012 Secured Credit Facility</w:t>
      </w:r>
      <w:r>
        <w:rPr>
          <w:rFonts w:ascii="Times New Roman" w:cs="Times New Roman" w:eastAsia="Times New Roman" w:hAnsi="Times New Roman"/>
          <w:sz w:val="18"/>
          <w:szCs w:val="18"/>
          <w:color w:val="auto"/>
        </w:rPr>
        <w:t>—On October 15, 2012, the Company entered into a $1.82 billion senior secured credit agreement due October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15, 2017 (the “October 2012 Secured Credit Facility”). The October 2012 Secured Credit Facility bears interest at a rate of LIBOR + 4.50%, with a 1.25% LIBOR floor, and was issued at 99.0% of par. Proceeds from the October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18" w:right="2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iStar Financial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2012 Secured Credit Facility were used to refinance the remaining outstanding balances of the Company’s existing 2011 Secured Credit Facilities.</w:t>
      </w:r>
    </w:p>
    <w:p>
      <w:pPr>
        <w:spacing w:after="0" w:line="18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October 2012 Secured Credit Facility was refinanced by the February 2013 Secured Credit Facility. Prior to refinancing, through March 31, 2013, the Company made cumulative amortization repayments of $113.0 million on the October 2012 Secured Credit Facility, which resulted in losses on early extinguishment of debt of $0.8 million for the three months ended March 31, 2013 related to the acceleration of discounts and unamortized deferred financing fees on the portion of the facility that was repaid.</w:t>
      </w:r>
    </w:p>
    <w:p>
      <w:pPr>
        <w:spacing w:after="0" w:line="140"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At the time of the refinancing, the Company had $30.5 million of unamortized discounts and financing fees related to the October 2012 Secured Credit Facility. In connection with the refinancing, the Company recorded a loss on early extinguishment of debt of $4.9 million, related primarily to the portion of lenders in the original facility that did not participate in the new facility. The remaining $25.6 million of unamortized fees and discounts will continue to be amortized to interest expense over the remaining term of the February 2013 Secured Credit Facility.</w:t>
      </w:r>
    </w:p>
    <w:p>
      <w:pPr>
        <w:spacing w:after="0" w:line="136"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b w:val="1"/>
          <w:bCs w:val="1"/>
          <w:color w:val="auto"/>
        </w:rPr>
        <w:t>March 2012 Secured Credit Facilities</w:t>
      </w:r>
      <w:r>
        <w:rPr>
          <w:rFonts w:ascii="Times New Roman" w:cs="Times New Roman" w:eastAsia="Times New Roman" w:hAnsi="Times New Roman"/>
          <w:sz w:val="18"/>
          <w:szCs w:val="18"/>
          <w:color w:val="auto"/>
        </w:rPr>
        <w:t>—In March 2012, the Company entered into an $880.0 million senior secured credit agreement providing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two tranches of term loans: a $410.0 million 2012 A-1 tranche due March 2016, which bears interest at a rate of LIBOR + 4.00% (the "2012 Tranche A-1 Facility"), and a $470.0 million 2012 A-2 tranche due March 2017, which bears interest at a rate of LIBOR + 5.75% (the "2012 Tranche A-2 Facility," together the "March 2012 Secured Credit Facilities"). The 2012 A-1 and A-2 tranches were issued at 98.0% of par and 98.5% of par, respectively, and both tranches include a LIBOR floor of 1.25%. Proceeds from the March 2012 Secured Credit Facilities were used to repurchase and repay at maturity $606.7 million aggregate principal amount of the Company's convertible notes due October 2012, to fully repay the $244.0 million balance on the Company's unsecured credit facility due June 2012, and to repay, upon maturity, $90.3 million outstanding principal balance of its 5.50% senior unsecured notes.</w:t>
      </w:r>
    </w:p>
    <w:p>
      <w:pPr>
        <w:spacing w:after="0" w:line="147"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March 2012 Secured Credit Facilities are collateralized by a first lien on a fixed pool of assets. Proceeds from principal repayments and sales of collateral are applied to amortize the March 2012 Secured Credit Facilities. Proceeds received for interest, rent, lease payments and fee income are retained by the Company. The 2012 Tranche A-1 Facility requires amortization payments of $41.0 million to be made every six months beginning December 31, 2012. After the 2012 Tranche A-1 Facility is repaid, proceeds from principal repayments and sales of collateral will be used to amortize the 2012 Tranche A-2 Facility. The Company may make optional prepayments on each tranche of term loans, subject to prepayment fees.</w:t>
      </w:r>
    </w:p>
    <w:p>
      <w:pPr>
        <w:spacing w:after="0" w:line="14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Through March 31, 2013, the Company made cumulative amortization repayments of $349.7 million on the 2012 Tranche A-1 Facility, which exceeds all required amortization payments through December 31, 2014. Repayments of the 2012 Tranche A-1 Facility prior to scheduled amortization dates have resulted in losses on early extinguishment of debt of $3.0 million for the three months ended March 31, 2013 related to the acceleration of discounts and unamortized deferred financing fees on the portion of the facility that was repaid.</w:t>
      </w:r>
    </w:p>
    <w:p>
      <w:pPr>
        <w:spacing w:after="0" w:line="136" w:lineRule="exact"/>
        <w:rPr>
          <w:sz w:val="20"/>
          <w:szCs w:val="20"/>
          <w:color w:val="auto"/>
        </w:rPr>
      </w:pPr>
    </w:p>
    <w:p>
      <w:pPr>
        <w:jc w:val="both"/>
        <w:ind w:firstLine="405"/>
        <w:spacing w:after="0" w:line="259" w:lineRule="auto"/>
        <w:rPr>
          <w:sz w:val="20"/>
          <w:szCs w:val="20"/>
          <w:color w:val="auto"/>
        </w:rPr>
      </w:pPr>
      <w:r>
        <w:rPr>
          <w:rFonts w:ascii="Times New Roman" w:cs="Times New Roman" w:eastAsia="Times New Roman" w:hAnsi="Times New Roman"/>
          <w:sz w:val="18"/>
          <w:szCs w:val="18"/>
          <w:b w:val="1"/>
          <w:bCs w:val="1"/>
          <w:color w:val="auto"/>
        </w:rPr>
        <w:t>2011 Secured Credit Facilities</w:t>
      </w:r>
      <w:r>
        <w:rPr>
          <w:rFonts w:ascii="Times New Roman" w:cs="Times New Roman" w:eastAsia="Times New Roman" w:hAnsi="Times New Roman"/>
          <w:sz w:val="18"/>
          <w:szCs w:val="18"/>
          <w:color w:val="auto"/>
        </w:rPr>
        <w:t>—In March 2011, the Company entered into a $2.95 billion senior secured credit agreement providing for two tranches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term loans: a $1.50 billion 2011 A-1 tranche due June 2013, bearing interest at a rate of LIBOR + 3.75% (the "2011 Tranche A-1 Facility"), and a $1.45 billion 2011 A-2 tranche due June 2014, bearing interest at a rate of LIBOR + 5.75% (the "2011 Tranche A-2 Facility," together the "2011 Secured Credit Facilities"). The 2011 A-1 and A-2 tranches were issued at 99.0% of par and 98.5% of par, respectively, and both tranches include a LIBOR floor of 1.25%. The 2011 Secured Credit Facilities were refinanced by the October 2012 Secured Credit Facility.</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18" w:right="2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iStar Financial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firstLine="405"/>
        <w:spacing w:after="0" w:line="286" w:lineRule="auto"/>
        <w:rPr>
          <w:sz w:val="20"/>
          <w:szCs w:val="20"/>
          <w:color w:val="auto"/>
        </w:rPr>
      </w:pPr>
      <w:r>
        <w:rPr>
          <w:rFonts w:ascii="Times New Roman" w:cs="Times New Roman" w:eastAsia="Times New Roman" w:hAnsi="Times New Roman"/>
          <w:sz w:val="18"/>
          <w:szCs w:val="18"/>
          <w:b w:val="1"/>
          <w:bCs w:val="1"/>
          <w:color w:val="auto"/>
        </w:rPr>
        <w:t>Unencumbered/Encumbered Assets</w:t>
      </w:r>
      <w:r>
        <w:rPr>
          <w:rFonts w:ascii="Times New Roman" w:cs="Times New Roman" w:eastAsia="Times New Roman" w:hAnsi="Times New Roman"/>
          <w:sz w:val="18"/>
          <w:szCs w:val="18"/>
          <w:color w:val="auto"/>
        </w:rPr>
        <w:t>—As of March 31, 2013, the carrying value of the Company's unencumbered and encumbered assets by asset type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as follows ($ in thousands):</w:t>
      </w:r>
    </w:p>
    <w:p>
      <w:pPr>
        <w:spacing w:after="0" w:line="342" w:lineRule="exact"/>
        <w:rPr>
          <w:sz w:val="20"/>
          <w:szCs w:val="20"/>
          <w:color w:val="auto"/>
        </w:rPr>
      </w:pPr>
    </w:p>
    <w:tbl>
      <w:tblPr>
        <w:tblLayout w:type="fixed"/>
        <w:tblInd w:w="260" w:type="dxa"/>
        <w:tblCellMar>
          <w:top w:w="0" w:type="dxa"/>
          <w:left w:w="0" w:type="dxa"/>
          <w:bottom w:w="0" w:type="dxa"/>
          <w:right w:w="0" w:type="dxa"/>
        </w:tblCellMar>
      </w:tblPr>
      <w:tr>
        <w:trPr>
          <w:trHeight w:val="195"/>
        </w:trPr>
        <w:tc>
          <w:tcPr>
            <w:tcW w:w="54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4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4"/>
                <w:szCs w:val="14"/>
                <w:b w:val="1"/>
                <w:bCs w:val="1"/>
                <w:color w:val="auto"/>
              </w:rPr>
              <w:t>March 31, 2013</w:t>
            </w:r>
          </w:p>
        </w:tc>
        <w:tc>
          <w:tcPr>
            <w:tcW w:w="8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460" w:type="dxa"/>
            <w:vAlign w:val="bottom"/>
            <w:tcBorders>
              <w:bottom w:val="single" w:sz="8" w:color="auto"/>
            </w:tcBorders>
            <w:gridSpan w:val="4"/>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December 31, 2012</w:t>
            </w:r>
          </w:p>
        </w:tc>
        <w:tc>
          <w:tcPr>
            <w:tcW w:w="0" w:type="dxa"/>
            <w:vAlign w:val="bottom"/>
          </w:tcPr>
          <w:p>
            <w:pPr>
              <w:spacing w:after="0"/>
              <w:rPr>
                <w:sz w:val="1"/>
                <w:szCs w:val="1"/>
                <w:color w:val="auto"/>
              </w:rPr>
            </w:pPr>
          </w:p>
        </w:tc>
      </w:tr>
      <w:tr>
        <w:trPr>
          <w:trHeight w:val="149"/>
        </w:trPr>
        <w:tc>
          <w:tcPr>
            <w:tcW w:w="5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Encumbered</w:t>
            </w:r>
          </w:p>
        </w:tc>
        <w:tc>
          <w:tcPr>
            <w:tcW w:w="15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Unencumbered Assets</w:t>
            </w:r>
          </w:p>
        </w:tc>
        <w:tc>
          <w:tcPr>
            <w:tcW w:w="16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Encumbered</w:t>
            </w:r>
          </w:p>
        </w:tc>
        <w:tc>
          <w:tcPr>
            <w:tcW w:w="160" w:type="dxa"/>
            <w:vAlign w:val="bottom"/>
          </w:tcPr>
          <w:p>
            <w:pPr>
              <w:spacing w:after="0"/>
              <w:rPr>
                <w:sz w:val="12"/>
                <w:szCs w:val="12"/>
                <w:color w:val="auto"/>
              </w:rPr>
            </w:pPr>
          </w:p>
        </w:tc>
        <w:tc>
          <w:tcPr>
            <w:tcW w:w="1160" w:type="dxa"/>
            <w:vAlign w:val="bottom"/>
          </w:tcPr>
          <w:p>
            <w:pPr>
              <w:jc w:val="right"/>
              <w:ind w:right="114"/>
              <w:spacing w:after="0" w:line="149" w:lineRule="exact"/>
              <w:rPr>
                <w:sz w:val="20"/>
                <w:szCs w:val="20"/>
                <w:color w:val="auto"/>
              </w:rPr>
            </w:pPr>
            <w:r>
              <w:rPr>
                <w:rFonts w:ascii="Times New Roman" w:cs="Times New Roman" w:eastAsia="Times New Roman" w:hAnsi="Times New Roman"/>
                <w:sz w:val="14"/>
                <w:szCs w:val="14"/>
                <w:b w:val="1"/>
                <w:bCs w:val="1"/>
                <w:color w:val="auto"/>
              </w:rPr>
              <w:t>Unencumbered</w:t>
            </w:r>
          </w:p>
        </w:tc>
        <w:tc>
          <w:tcPr>
            <w:tcW w:w="0" w:type="dxa"/>
            <w:vAlign w:val="bottom"/>
          </w:tcPr>
          <w:p>
            <w:pPr>
              <w:spacing w:after="0"/>
              <w:rPr>
                <w:sz w:val="1"/>
                <w:szCs w:val="1"/>
                <w:color w:val="auto"/>
              </w:rPr>
            </w:pPr>
          </w:p>
        </w:tc>
      </w:tr>
      <w:tr>
        <w:trPr>
          <w:trHeight w:val="195"/>
        </w:trPr>
        <w:tc>
          <w:tcPr>
            <w:tcW w:w="5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52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60" w:type="dxa"/>
            <w:vAlign w:val="bottom"/>
          </w:tcPr>
          <w:p>
            <w:pPr>
              <w:spacing w:after="0"/>
              <w:rPr>
                <w:sz w:val="16"/>
                <w:szCs w:val="16"/>
                <w:color w:val="auto"/>
              </w:rPr>
            </w:pPr>
          </w:p>
        </w:tc>
        <w:tc>
          <w:tcPr>
            <w:tcW w:w="116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249"/>
        </w:trPr>
        <w:tc>
          <w:tcPr>
            <w:tcW w:w="5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net</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1,649,658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99"/>
              </w:rPr>
              <w:t>1,135,146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1,794,198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1,004,825</w:t>
            </w:r>
          </w:p>
        </w:tc>
        <w:tc>
          <w:tcPr>
            <w:tcW w:w="0" w:type="dxa"/>
            <w:vAlign w:val="bottom"/>
          </w:tcPr>
          <w:p>
            <w:pPr>
              <w:spacing w:after="0"/>
              <w:rPr>
                <w:sz w:val="1"/>
                <w:szCs w:val="1"/>
                <w:color w:val="auto"/>
              </w:rPr>
            </w:pPr>
          </w:p>
        </w:tc>
      </w:tr>
      <w:tr>
        <w:trPr>
          <w:trHeight w:val="243"/>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 available and held for sale</w:t>
            </w:r>
          </w:p>
        </w:tc>
        <w:tc>
          <w:tcPr>
            <w:tcW w:w="160" w:type="dxa"/>
            <w:vAlign w:val="bottom"/>
          </w:tcPr>
          <w:p>
            <w:pPr>
              <w:spacing w:after="0"/>
              <w:rPr>
                <w:sz w:val="21"/>
                <w:szCs w:val="21"/>
                <w:color w:val="auto"/>
              </w:rPr>
            </w:pPr>
          </w:p>
        </w:tc>
        <w:tc>
          <w:tcPr>
            <w:tcW w:w="10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252,354</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346,707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141,673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494,192</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receivable, net(1)</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1,076,080</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537,476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1,197,373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665,712</w:t>
            </w:r>
          </w:p>
        </w:tc>
        <w:tc>
          <w:tcPr>
            <w:tcW w:w="0" w:type="dxa"/>
            <w:vAlign w:val="bottom"/>
          </w:tcPr>
          <w:p>
            <w:pPr>
              <w:spacing w:after="0"/>
              <w:rPr>
                <w:sz w:val="1"/>
                <w:szCs w:val="1"/>
                <w:color w:val="auto"/>
              </w:rPr>
            </w:pPr>
          </w:p>
        </w:tc>
      </w:tr>
      <w:tr>
        <w:trPr>
          <w:trHeight w:val="243"/>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investments</w:t>
            </w:r>
          </w:p>
        </w:tc>
        <w:tc>
          <w:tcPr>
            <w:tcW w:w="160" w:type="dxa"/>
            <w:vAlign w:val="bottom"/>
          </w:tcPr>
          <w:p>
            <w:pPr>
              <w:spacing w:after="0"/>
              <w:rPr>
                <w:sz w:val="21"/>
                <w:szCs w:val="21"/>
                <w:color w:val="auto"/>
              </w:rPr>
            </w:pPr>
          </w:p>
        </w:tc>
        <w:tc>
          <w:tcPr>
            <w:tcW w:w="10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34,130</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369,629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43,545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355,298</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other assets</w:t>
            </w: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706,838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487,073</w:t>
            </w:r>
          </w:p>
        </w:tc>
        <w:tc>
          <w:tcPr>
            <w:tcW w:w="0" w:type="dxa"/>
            <w:vAlign w:val="bottom"/>
          </w:tcPr>
          <w:p>
            <w:pPr>
              <w:spacing w:after="0"/>
              <w:rPr>
                <w:sz w:val="1"/>
                <w:szCs w:val="1"/>
                <w:color w:val="auto"/>
              </w:rPr>
            </w:pPr>
          </w:p>
        </w:tc>
      </w:tr>
      <w:tr>
        <w:trPr>
          <w:trHeight w:val="257"/>
        </w:trPr>
        <w:tc>
          <w:tcPr>
            <w:tcW w:w="5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3,012,222</w:t>
            </w:r>
          </w:p>
        </w:tc>
        <w:tc>
          <w:tcPr>
            <w:tcW w:w="120" w:type="dxa"/>
            <w:vAlign w:val="bottom"/>
          </w:tcPr>
          <w:p>
            <w:pPr>
              <w:spacing w:after="0"/>
              <w:rPr>
                <w:sz w:val="22"/>
                <w:szCs w:val="22"/>
                <w:color w:val="auto"/>
              </w:rPr>
            </w:pPr>
          </w:p>
        </w:tc>
        <w:tc>
          <w:tcPr>
            <w:tcW w:w="5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w w:val="99"/>
              </w:rPr>
              <w:t>3,095,796</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3,176,789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3,007,100</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Explanatory Note: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120"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March 31, 2013 and December 31, 2012, the amounts presented exclude general reserves for loan losses of $30.9 million and $33.1 million, respectively.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Covenants</w:t>
      </w:r>
    </w:p>
    <w:p>
      <w:pPr>
        <w:spacing w:after="0" w:line="189"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The Company's outstanding unsecured debt securities contain corporate level covenants that include a covenant to maintain a ratio of unencumbered assets to unsecured indebtedness of at least 1.2x and a restriction on debt incurrence based upon the effect of the debt incurrence on the Company's fixed charge coverage ratio. If any of the Company's covenants are breached and not cured within applicable cure periods, the breach could result in acceleration of its debt securities unless a waiver or modification is agreed upon with the requisite percentage of the bondholders. While the Company expects that its ability to incur new indebtedness under the fixed charge coverage ratio will be limited for the foreseeable future, it will continue to be permitted to incur indebtedness for the purpose of refinancing existing indebtedness and for other permitted purposes under the indentures.</w:t>
      </w:r>
    </w:p>
    <w:p>
      <w:pPr>
        <w:spacing w:after="0" w:line="147"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The Company's March 2012 Secured Credit Facilities and February 2013 Secured Credit Facility are collectively defined as the "Secured Credit Facilities." The Company's Secured Credit Facilities contain certain covenants, including covenants relating to collateral coverage, dividend payments, restrictions on fundamental changes, transactions with affiliates, matters relating to the liens granted to the lenders and the delivery of information to the lenders. In particular, the Company is required to maintain collateral coverage of 1.25x outstanding borrowings. In addition, for so long as the Company maintains its qualification as a REIT, the Secured Credit Facilities permit the Company to distribute 100% of its REIT taxable income on an annual basis and the February 2013 Secured Credit Facility permits the Company to distribute to its shareholders real estate assets, or interests therein, having an aggregate equity value not to exceed $200 million, so long as such assets are not collateral for the February 2013 Secured Credit Facility. The Company may not pay common dividends if it ceases to qualify as a REIT (except that the February 2013 Secured Credit Facility permits us to distribute certain real estate assets as described in the preceding sentence).</w:t>
      </w:r>
    </w:p>
    <w:p>
      <w:pPr>
        <w:spacing w:after="0" w:line="149"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Company's Secured Credit Facilities contain cross default provisions that would allow the lenders to declare an event of default and accelerate the Company's indebtedness to them if the Company fails to pay amounts due in respect of its other recourse indebtedness in excess of specified thresholds or if the lenders under such other indebtedness are otherwise permitted to accelerate such indebtedness for any reason. The indentures governing the Company's unsecured public debt securities permit the bondholders to declare an event of default and accelerate the Company's indebtedness to them if the Company's other recourse indebtedness in excess of specified thresholds is not paid at final maturity or if such indebtedness is accelerated.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9—Commitments and Contingencies</w:t>
      </w:r>
    </w:p>
    <w:p>
      <w:pPr>
        <w:spacing w:after="0" w:line="185" w:lineRule="exact"/>
        <w:rPr>
          <w:sz w:val="20"/>
          <w:szCs w:val="20"/>
          <w:color w:val="auto"/>
        </w:rPr>
      </w:pPr>
    </w:p>
    <w:p>
      <w:pPr>
        <w:jc w:val="both"/>
        <w:ind w:firstLine="405"/>
        <w:spacing w:after="0" w:line="259" w:lineRule="auto"/>
        <w:rPr>
          <w:sz w:val="20"/>
          <w:szCs w:val="20"/>
          <w:color w:val="auto"/>
        </w:rPr>
      </w:pPr>
      <w:r>
        <w:rPr>
          <w:rFonts w:ascii="Times New Roman" w:cs="Times New Roman" w:eastAsia="Times New Roman" w:hAnsi="Times New Roman"/>
          <w:sz w:val="18"/>
          <w:szCs w:val="18"/>
          <w:b w:val="1"/>
          <w:bCs w:val="1"/>
          <w:color w:val="auto"/>
        </w:rPr>
        <w:t>Business Risks and Uncertainties—</w:t>
      </w:r>
      <w:r>
        <w:rPr>
          <w:rFonts w:ascii="Times New Roman" w:cs="Times New Roman" w:eastAsia="Times New Roman" w:hAnsi="Times New Roman"/>
          <w:sz w:val="18"/>
          <w:szCs w:val="18"/>
          <w:color w:val="auto"/>
        </w:rPr>
        <w:t>The Company's business continues to recover from the recent economic recession, as commercial real estate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values and the availability of liquidity have improved. The Company raised approximately $3.51 billion through secured and unsecured debt transactions in 2012, the proceeds of which were used to repay and/or refinance a significant portion of its debt that was due to mature before 2017. The Company's three unsecured senior notes transactions in 2012 marked the first time that the Company accessed the unsecured debt markets since 2008 and, following an upgrade in the Company's</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18" w:right="2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iStar Financial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corporate credit ratings, the Company saw a material improvement in the interest rates associated with its unsecured senior notes issued in the latter half of 2012, as compared to the notes issued in the first half of the year. In 2013, the Company was able to further reduce the interest costs associated with its October 2012 Secured Credit Facility by amending and restating that facility to reduce the interest rate and floor. In addition, the Company raised $194.0 million in net proceeds from its Series J Convertible Preferred Stock offering to provide liquidity for new investment originations and general corporate purposes.</w:t>
      </w:r>
    </w:p>
    <w:p>
      <w:pPr>
        <w:spacing w:after="0" w:line="14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While the Company has benefited from generally improving conditions in the economy and real estate markets, it nonetheless continues to be impacted by the effects of the recent financial crisis. Non-performing assets and the carrying costs of owned real estate negatively impact the Company's earnings. The Company continues to work on resolving its remaining non-performing loans and stabilizing and extracting value from its owned real estate. Continued improvement in the Company's financial condition and operating results and its ability to continue to generate sufficient liquidity at market rates are dependent on a sustained economic recovery, which cannot be predicted with certainty.</w:t>
      </w:r>
    </w:p>
    <w:p>
      <w:pPr>
        <w:spacing w:after="0" w:line="14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As of March 31, 2013, the Company had $545.3 million of debt maturities due before December 31, 2013, with a majority of that amount due in October 2013. The Company's capital sources to meet its debt maturities throughout 2013 will primarily include cash on hand, as well as debt refinancings, proceeds from unencumbered asset sales and loan repayments from borrowers, and may include equity capital raising transactions. As of March 31, 2013, the Company had unencumbered assets with a carrying value of approximately $3.10 billion. As further described in Note 16, in April 2013 the Company sold its interest in LNR for net proceeds of $220.3 million.</w:t>
      </w:r>
    </w:p>
    <w:p>
      <w:pPr>
        <w:spacing w:after="0" w:line="14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 will adjust its plans as appropriate in response to changes in its expectations and changes in market conditions. However, it is not possible for the Company to predict whether improving economic trends will continue, or to quantify the impact of these or other trends on its financial results. If the Company fails to repay its obligations as they become due, it would be an event of default under the relevant debt instruments, which could result in a cross-default and acceleration of the Company's other outstanding debt obligations, all of which would have a material adverse effect on the Company.</w:t>
      </w:r>
    </w:p>
    <w:p>
      <w:pPr>
        <w:spacing w:after="0" w:line="136" w:lineRule="exact"/>
        <w:rPr>
          <w:sz w:val="20"/>
          <w:szCs w:val="20"/>
          <w:color w:val="auto"/>
        </w:rPr>
      </w:pPr>
    </w:p>
    <w:p>
      <w:pPr>
        <w:jc w:val="both"/>
        <w:ind w:firstLine="405"/>
        <w:spacing w:after="0" w:line="268" w:lineRule="auto"/>
        <w:rPr>
          <w:sz w:val="20"/>
          <w:szCs w:val="20"/>
          <w:color w:val="auto"/>
        </w:rPr>
      </w:pPr>
      <w:r>
        <w:rPr>
          <w:rFonts w:ascii="Times New Roman" w:cs="Times New Roman" w:eastAsia="Times New Roman" w:hAnsi="Times New Roman"/>
          <w:sz w:val="18"/>
          <w:szCs w:val="18"/>
          <w:b w:val="1"/>
          <w:bCs w:val="1"/>
          <w:color w:val="auto"/>
        </w:rPr>
        <w:t>Unfunded Commitments</w:t>
      </w:r>
      <w:r>
        <w:rPr>
          <w:rFonts w:ascii="Times New Roman" w:cs="Times New Roman" w:eastAsia="Times New Roman" w:hAnsi="Times New Roman"/>
          <w:sz w:val="18"/>
          <w:szCs w:val="18"/>
          <w:color w:val="auto"/>
        </w:rPr>
        <w:t>—As of March 31, 2013, the maximum amount of fundings the Company may be required to make under each category,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assuming all performance hurdles and milestones are met under the Performance-Based Commitments, that it approves all Discretionary Fundings and that 100% of its capital committed to Strategic Investments is drawn down, are as follows ($ in thousands):</w:t>
      </w:r>
    </w:p>
    <w:p>
      <w:pPr>
        <w:spacing w:after="0" w:line="278" w:lineRule="exact"/>
        <w:rPr>
          <w:sz w:val="20"/>
          <w:szCs w:val="20"/>
          <w:color w:val="auto"/>
        </w:rPr>
      </w:pPr>
    </w:p>
    <w:tbl>
      <w:tblPr>
        <w:tblLayout w:type="fixed"/>
        <w:tblInd w:w="2080" w:type="dxa"/>
        <w:tblCellMar>
          <w:top w:w="0" w:type="dxa"/>
          <w:left w:w="0" w:type="dxa"/>
          <w:bottom w:w="0" w:type="dxa"/>
          <w:right w:w="0" w:type="dxa"/>
        </w:tblCellMar>
      </w:tblPr>
      <w:tr>
        <w:trPr>
          <w:trHeight w:val="161"/>
        </w:trPr>
        <w:tc>
          <w:tcPr>
            <w:tcW w:w="3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vMerge w:val="restart"/>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Loans</w:t>
            </w:r>
          </w:p>
        </w:tc>
        <w:tc>
          <w:tcPr>
            <w:tcW w:w="100" w:type="dxa"/>
            <w:vAlign w:val="bottom"/>
            <w:vMerge w:val="restart"/>
          </w:tcPr>
          <w:p>
            <w:pPr>
              <w:spacing w:after="0"/>
              <w:rPr>
                <w:sz w:val="13"/>
                <w:szCs w:val="13"/>
                <w:color w:val="auto"/>
              </w:rPr>
            </w:pPr>
          </w:p>
        </w:tc>
        <w:tc>
          <w:tcPr>
            <w:tcW w:w="92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Strategic</w:t>
            </w:r>
          </w:p>
        </w:tc>
        <w:tc>
          <w:tcPr>
            <w:tcW w:w="200" w:type="dxa"/>
            <w:vAlign w:val="bottom"/>
          </w:tcPr>
          <w:p>
            <w:pPr>
              <w:spacing w:after="0"/>
              <w:rPr>
                <w:sz w:val="13"/>
                <w:szCs w:val="13"/>
                <w:color w:val="auto"/>
              </w:rPr>
            </w:pPr>
          </w:p>
        </w:tc>
        <w:tc>
          <w:tcPr>
            <w:tcW w:w="72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2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Performance-Based Commitments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72,475</w:t>
            </w:r>
          </w:p>
        </w:tc>
        <w:tc>
          <w:tcPr>
            <w:tcW w:w="0" w:type="dxa"/>
            <w:vAlign w:val="bottom"/>
          </w:tcPr>
          <w:p>
            <w:pPr>
              <w:spacing w:after="0"/>
              <w:rPr>
                <w:sz w:val="1"/>
                <w:szCs w:val="1"/>
                <w:color w:val="auto"/>
              </w:rPr>
            </w:pPr>
          </w:p>
        </w:tc>
      </w:tr>
      <w:tr>
        <w:trPr>
          <w:trHeight w:val="243"/>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Discretionary Fundings</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Strategic investments</w:t>
            </w: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47,040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47,040</w:t>
            </w:r>
          </w:p>
        </w:tc>
        <w:tc>
          <w:tcPr>
            <w:tcW w:w="0" w:type="dxa"/>
            <w:vAlign w:val="bottom"/>
          </w:tcPr>
          <w:p>
            <w:pPr>
              <w:spacing w:after="0"/>
              <w:rPr>
                <w:sz w:val="1"/>
                <w:szCs w:val="1"/>
                <w:color w:val="auto"/>
              </w:rPr>
            </w:pPr>
          </w:p>
        </w:tc>
      </w:tr>
      <w:tr>
        <w:trPr>
          <w:trHeight w:val="257"/>
        </w:trPr>
        <w:tc>
          <w:tcPr>
            <w:tcW w:w="3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39,536</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33,064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47,040</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119,640</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Legal Proceedings</w:t>
      </w:r>
      <w:r>
        <w:rPr>
          <w:rFonts w:ascii="Times New Roman" w:cs="Times New Roman" w:eastAsia="Times New Roman" w:hAnsi="Times New Roman"/>
          <w:sz w:val="18"/>
          <w:szCs w:val="18"/>
          <w:color w:val="auto"/>
        </w:rPr>
        <w:t>—The Company and/or one or more of its subsidiaries is party to various pending litigation matters that are considered ordinary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routine litigation incidental to the Company's business as a finance and investment company focused on the commercial real estate industry, including loan foreclosure and foreclosure-related proceedings.</w:t>
      </w:r>
    </w:p>
    <w:p>
      <w:pPr>
        <w:spacing w:after="0" w:line="134"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On June 4, 2012, the Company reached an agreement in principle with the plaintiffs' Court-appointed representatives in the previously reported Citiline class action to settle the litigation. Settlement payments will be primarily funded by the Company's insurance carriers, with the Company contributing $2.0 million to the settlement, which was included in "Other expense" on the Consolidated Statement of Operations for the year ended December 31, 2012. On April 5, 2013, the Court approved the settlement, entered a Final Judgment and Order of Dismissal With Prejudice and the Citiline Action was concluded. See "Part II. Item 1. Legal Proceedings" for further details and for other disclosures related to legal proceedings.</w:t>
      </w:r>
    </w:p>
    <w:p>
      <w:pPr>
        <w:spacing w:after="0" w:line="143"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Company evaluates, on a quarterly basis, developments in legal proceedings that could require a liability to be accrued and/or disclosed. Based on its current knowledge, and after consultation with legal counsel, the Company believes it is not a party to, nor are any of its properties the subject of, any pending legal proceeding that would have a material adverse effect on the Company's consolidated financial condition.</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18" w:right="2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iStar Financial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10—Risk Management and Derivatives</w:t>
      </w:r>
    </w:p>
    <w:p>
      <w:pPr>
        <w:spacing w:after="0" w:line="189"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Company's use of derivative financial instruments is primarily limited to the utilization of interest rate hedges and foreign exchange hedges. The principal objective of such hedges is to minimize the risks and/or costs associated with the Company's operating and financial structure and to manage its exposure to foreign exchange rates. Derivatives not designated as hedges are not speculative and are used to manage the Company's exposure to interest rate movements, foreign exchange rate movements, and other identified risks, but may not meet the strict hedge accounting requirements.</w:t>
      </w:r>
    </w:p>
    <w:p>
      <w:pPr>
        <w:spacing w:after="0" w:line="140"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The table below presents the fair value of the Company's derivative financial instruments as well as their classification on the Consolidated Balance Sheets as of March 31, 2013 and December 31, 2012 ($ in thousands):</w:t>
      </w:r>
    </w:p>
    <w:p>
      <w:pPr>
        <w:spacing w:after="0" w:line="345"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148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Derivative Assets as of</w:t>
            </w:r>
          </w:p>
        </w:tc>
        <w:tc>
          <w:tcPr>
            <w:tcW w:w="6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Derivative Liabilities as of</w:t>
            </w: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480" w:type="dxa"/>
            <w:vAlign w:val="bottom"/>
          </w:tcPr>
          <w:p>
            <w:pPr>
              <w:spacing w:after="0"/>
              <w:rPr>
                <w:sz w:val="22"/>
                <w:szCs w:val="22"/>
                <w:color w:val="auto"/>
              </w:rPr>
            </w:pPr>
          </w:p>
        </w:tc>
        <w:tc>
          <w:tcPr>
            <w:tcW w:w="174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4"/>
                <w:szCs w:val="14"/>
                <w:b w:val="1"/>
                <w:bCs w:val="1"/>
                <w:color w:val="auto"/>
              </w:rPr>
              <w:t>March 31, 2013</w:t>
            </w:r>
          </w:p>
        </w:tc>
        <w:tc>
          <w:tcPr>
            <w:tcW w:w="6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140" w:type="dxa"/>
            <w:vAlign w:val="bottom"/>
            <w:tcBorders>
              <w:bottom w:val="single" w:sz="8" w:color="auto"/>
            </w:tcBorders>
            <w:gridSpan w:val="3"/>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December 31, 2012</w:t>
            </w:r>
          </w:p>
        </w:tc>
        <w:tc>
          <w:tcPr>
            <w:tcW w:w="2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700" w:type="dxa"/>
            <w:vAlign w:val="bottom"/>
            <w:tcBorders>
              <w:bottom w:val="single" w:sz="8" w:color="auto"/>
            </w:tcBorders>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March 31, 2013</w:t>
            </w:r>
          </w:p>
        </w:tc>
        <w:tc>
          <w:tcPr>
            <w:tcW w:w="6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360" w:type="dxa"/>
            <w:vAlign w:val="bottom"/>
            <w:tcBorders>
              <w:bottom w:val="single" w:sz="8" w:color="auto"/>
            </w:tcBorders>
            <w:gridSpan w:val="4"/>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December 31, 2012</w:t>
            </w:r>
          </w:p>
        </w:tc>
        <w:tc>
          <w:tcPr>
            <w:tcW w:w="0" w:type="dxa"/>
            <w:vAlign w:val="bottom"/>
          </w:tcPr>
          <w:p>
            <w:pPr>
              <w:spacing w:after="0"/>
              <w:rPr>
                <w:sz w:val="1"/>
                <w:szCs w:val="1"/>
                <w:color w:val="auto"/>
              </w:rPr>
            </w:pPr>
          </w:p>
        </w:tc>
      </w:tr>
      <w:tr>
        <w:trPr>
          <w:trHeight w:val="149"/>
        </w:trPr>
        <w:tc>
          <w:tcPr>
            <w:tcW w:w="1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14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Balance Sheet</w:t>
            </w:r>
          </w:p>
        </w:tc>
        <w:tc>
          <w:tcPr>
            <w:tcW w:w="260" w:type="dxa"/>
            <w:vAlign w:val="bottom"/>
          </w:tcPr>
          <w:p>
            <w:pPr>
              <w:spacing w:after="0"/>
              <w:rPr>
                <w:sz w:val="12"/>
                <w:szCs w:val="12"/>
                <w:color w:val="auto"/>
              </w:rPr>
            </w:pPr>
          </w:p>
        </w:tc>
        <w:tc>
          <w:tcPr>
            <w:tcW w:w="680" w:type="dxa"/>
            <w:vAlign w:val="bottom"/>
          </w:tcPr>
          <w:p>
            <w:pPr>
              <w:jc w:val="right"/>
              <w:ind w:right="268"/>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12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Balance Sheet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Balance Sheet</w:t>
            </w:r>
          </w:p>
        </w:tc>
        <w:tc>
          <w:tcPr>
            <w:tcW w:w="240" w:type="dxa"/>
            <w:vAlign w:val="bottom"/>
          </w:tcPr>
          <w:p>
            <w:pPr>
              <w:spacing w:after="0"/>
              <w:rPr>
                <w:sz w:val="12"/>
                <w:szCs w:val="12"/>
                <w:color w:val="auto"/>
              </w:rPr>
            </w:pPr>
          </w:p>
        </w:tc>
        <w:tc>
          <w:tcPr>
            <w:tcW w:w="660" w:type="dxa"/>
            <w:vAlign w:val="bottom"/>
          </w:tcPr>
          <w:p>
            <w:pPr>
              <w:jc w:val="right"/>
              <w:ind w:right="248"/>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Balance Sheet</w:t>
            </w:r>
          </w:p>
        </w:tc>
        <w:tc>
          <w:tcPr>
            <w:tcW w:w="180" w:type="dxa"/>
            <w:vAlign w:val="bottom"/>
          </w:tcPr>
          <w:p>
            <w:pPr>
              <w:spacing w:after="0"/>
              <w:rPr>
                <w:sz w:val="12"/>
                <w:szCs w:val="12"/>
                <w:color w:val="auto"/>
              </w:rPr>
            </w:pPr>
          </w:p>
        </w:tc>
        <w:tc>
          <w:tcPr>
            <w:tcW w:w="720" w:type="dxa"/>
            <w:vAlign w:val="bottom"/>
          </w:tcPr>
          <w:p>
            <w:pPr>
              <w:jc w:val="right"/>
              <w:ind w:right="248"/>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5"/>
        </w:trPr>
        <w:tc>
          <w:tcPr>
            <w:tcW w:w="1480" w:type="dxa"/>
            <w:vAlign w:val="bottom"/>
            <w:tcBorders>
              <w:bottom w:val="single" w:sz="8" w:color="CCEEFF"/>
            </w:tcBorders>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2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38"/>
        </w:trPr>
        <w:tc>
          <w:tcPr>
            <w:tcW w:w="148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Foreign exchange</w:t>
            </w:r>
          </w:p>
        </w:tc>
        <w:tc>
          <w:tcPr>
            <w:tcW w:w="14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6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10,522</w:t>
            </w:r>
          </w:p>
        </w:tc>
        <w:tc>
          <w:tcPr>
            <w:tcW w:w="120" w:type="dxa"/>
            <w:vAlign w:val="bottom"/>
            <w:shd w:val="clear" w:color="auto" w:fill="CCEEFF"/>
          </w:tcPr>
          <w:p>
            <w:pPr>
              <w:spacing w:after="0"/>
              <w:rPr>
                <w:sz w:val="11"/>
                <w:szCs w:val="11"/>
                <w:color w:val="auto"/>
              </w:rPr>
            </w:pPr>
          </w:p>
        </w:tc>
        <w:tc>
          <w:tcPr>
            <w:tcW w:w="14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N/A</w:t>
            </w:r>
          </w:p>
        </w:tc>
        <w:tc>
          <w:tcPr>
            <w:tcW w:w="660" w:type="dxa"/>
            <w:vAlign w:val="bottom"/>
            <w:vMerge w:val="restart"/>
            <w:shd w:val="clear" w:color="auto" w:fill="CCEEFF"/>
          </w:tcPr>
          <w:p>
            <w:pPr>
              <w:jc w:val="right"/>
              <w:ind w:right="48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146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N/A</w:t>
            </w:r>
          </w:p>
        </w:tc>
        <w:tc>
          <w:tcPr>
            <w:tcW w:w="2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146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Other Liabilities</w:t>
            </w:r>
          </w:p>
        </w:tc>
        <w:tc>
          <w:tcPr>
            <w:tcW w:w="1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2,855</w:t>
            </w:r>
          </w:p>
        </w:tc>
        <w:tc>
          <w:tcPr>
            <w:tcW w:w="0" w:type="dxa"/>
            <w:vAlign w:val="bottom"/>
          </w:tcPr>
          <w:p>
            <w:pPr>
              <w:spacing w:after="0"/>
              <w:rPr>
                <w:sz w:val="1"/>
                <w:szCs w:val="1"/>
                <w:color w:val="auto"/>
              </w:rPr>
            </w:pPr>
          </w:p>
        </w:tc>
      </w:tr>
      <w:tr>
        <w:trPr>
          <w:trHeight w:val="198"/>
        </w:trPr>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contracts</w:t>
            </w:r>
          </w:p>
        </w:tc>
        <w:tc>
          <w:tcPr>
            <w:tcW w:w="1480" w:type="dxa"/>
            <w:vAlign w:val="bottom"/>
            <w:gridSpan w:val="2"/>
            <w:vMerge w:val="continue"/>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gridSpan w:val="2"/>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gridSpan w:val="2"/>
            <w:vMerge w:val="continue"/>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gridSpan w:val="2"/>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48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color w:val="auto"/>
              </w:rPr>
              <w:t>Cash flow interest rate</w:t>
            </w:r>
          </w:p>
        </w:tc>
        <w:tc>
          <w:tcPr>
            <w:tcW w:w="1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N/A</w:t>
            </w:r>
          </w:p>
        </w:tc>
        <w:tc>
          <w:tcPr>
            <w:tcW w:w="260" w:type="dxa"/>
            <w:vAlign w:val="bottom"/>
          </w:tcPr>
          <w:p>
            <w:pPr>
              <w:spacing w:after="0"/>
              <w:rPr>
                <w:sz w:val="13"/>
                <w:szCs w:val="13"/>
                <w:color w:val="auto"/>
              </w:rPr>
            </w:pPr>
          </w:p>
        </w:tc>
        <w:tc>
          <w:tcPr>
            <w:tcW w:w="6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1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N/A</w:t>
            </w:r>
          </w:p>
        </w:tc>
        <w:tc>
          <w:tcPr>
            <w:tcW w:w="660" w:type="dxa"/>
            <w:vAlign w:val="bottom"/>
          </w:tcPr>
          <w:p>
            <w:pPr>
              <w:spacing w:after="0"/>
              <w:rPr>
                <w:sz w:val="13"/>
                <w:szCs w:val="13"/>
                <w:color w:val="auto"/>
              </w:rPr>
            </w:pPr>
          </w:p>
        </w:tc>
        <w:tc>
          <w:tcPr>
            <w:tcW w:w="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14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Other Liabilities</w:t>
            </w:r>
          </w:p>
        </w:tc>
        <w:tc>
          <w:tcPr>
            <w:tcW w:w="240" w:type="dxa"/>
            <w:vAlign w:val="bottom"/>
          </w:tcPr>
          <w:p>
            <w:pPr>
              <w:spacing w:after="0"/>
              <w:rPr>
                <w:sz w:val="13"/>
                <w:szCs w:val="13"/>
                <w:color w:val="auto"/>
              </w:rPr>
            </w:pPr>
          </w:p>
        </w:tc>
        <w:tc>
          <w:tcPr>
            <w:tcW w:w="6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455</w:t>
            </w:r>
          </w:p>
        </w:tc>
        <w:tc>
          <w:tcPr>
            <w:tcW w:w="100" w:type="dxa"/>
            <w:vAlign w:val="bottom"/>
          </w:tcPr>
          <w:p>
            <w:pPr>
              <w:spacing w:after="0"/>
              <w:rPr>
                <w:sz w:val="13"/>
                <w:szCs w:val="13"/>
                <w:color w:val="auto"/>
              </w:rPr>
            </w:pPr>
          </w:p>
        </w:tc>
        <w:tc>
          <w:tcPr>
            <w:tcW w:w="14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Other Liabilities</w:t>
            </w:r>
          </w:p>
        </w:tc>
        <w:tc>
          <w:tcPr>
            <w:tcW w:w="180" w:type="dxa"/>
            <w:vAlign w:val="bottom"/>
          </w:tcPr>
          <w:p>
            <w:pPr>
              <w:spacing w:after="0"/>
              <w:rPr>
                <w:sz w:val="13"/>
                <w:szCs w:val="13"/>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580</w:t>
            </w:r>
          </w:p>
        </w:tc>
        <w:tc>
          <w:tcPr>
            <w:tcW w:w="0" w:type="dxa"/>
            <w:vAlign w:val="bottom"/>
          </w:tcPr>
          <w:p>
            <w:pPr>
              <w:spacing w:after="0"/>
              <w:rPr>
                <w:sz w:val="1"/>
                <w:szCs w:val="1"/>
                <w:color w:val="auto"/>
              </w:rPr>
            </w:pPr>
          </w:p>
        </w:tc>
      </w:tr>
      <w:tr>
        <w:trPr>
          <w:trHeight w:val="193"/>
        </w:trPr>
        <w:tc>
          <w:tcPr>
            <w:tcW w:w="1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swap</w:t>
            </w:r>
          </w:p>
        </w:tc>
        <w:tc>
          <w:tcPr>
            <w:tcW w:w="1480" w:type="dxa"/>
            <w:vAlign w:val="bottom"/>
            <w:tcBorders>
              <w:bottom w:val="single" w:sz="8" w:color="CCEEFF"/>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CCEEFF"/>
            </w:tcBorders>
            <w:gridSpan w:val="2"/>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CCEEFF"/>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CCEEFF"/>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1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10,522</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8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455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3,435</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tables below present the effect of the Company's derivative financial instruments on the Consolidated Statements of Operations for the three months ended March 31, 2013 and 2012 ($ in thousands):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80" w:type="dxa"/>
            <w:vAlign w:val="bottom"/>
            <w:gridSpan w:val="4"/>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 of Gain (Loss)</w:t>
            </w:r>
          </w:p>
        </w:tc>
        <w:tc>
          <w:tcPr>
            <w:tcW w:w="180" w:type="dxa"/>
            <w:vAlign w:val="bottom"/>
          </w:tcPr>
          <w:p>
            <w:pPr>
              <w:spacing w:after="0"/>
              <w:rPr>
                <w:sz w:val="13"/>
                <w:szCs w:val="13"/>
                <w:color w:val="auto"/>
              </w:rPr>
            </w:pPr>
          </w:p>
        </w:tc>
        <w:tc>
          <w:tcPr>
            <w:tcW w:w="162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Amount of Gain (Loss)</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8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Location of Gain (Loss)</w:t>
            </w:r>
          </w:p>
        </w:tc>
        <w:tc>
          <w:tcPr>
            <w:tcW w:w="160" w:type="dxa"/>
            <w:vAlign w:val="bottom"/>
          </w:tcPr>
          <w:p>
            <w:pPr>
              <w:spacing w:after="0"/>
              <w:rPr>
                <w:sz w:val="12"/>
                <w:szCs w:val="12"/>
                <w:color w:val="auto"/>
              </w:rPr>
            </w:pPr>
          </w:p>
        </w:tc>
        <w:tc>
          <w:tcPr>
            <w:tcW w:w="1780" w:type="dxa"/>
            <w:vAlign w:val="bottom"/>
            <w:gridSpan w:val="4"/>
            <w:vMerge w:val="continue"/>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gridSpan w:val="5"/>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Reclassified from</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2"/>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Amount of Gain (Loss)</w:t>
            </w:r>
          </w:p>
        </w:tc>
        <w:tc>
          <w:tcPr>
            <w:tcW w:w="0" w:type="dxa"/>
            <w:vAlign w:val="bottom"/>
          </w:tcPr>
          <w:p>
            <w:pPr>
              <w:spacing w:after="0"/>
              <w:rPr>
                <w:sz w:val="1"/>
                <w:szCs w:val="1"/>
                <w:color w:val="auto"/>
              </w:rPr>
            </w:pPr>
          </w:p>
        </w:tc>
      </w:tr>
      <w:tr>
        <w:trPr>
          <w:trHeight w:val="149"/>
        </w:trPr>
        <w:tc>
          <w:tcPr>
            <w:tcW w:w="68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1940" w:type="dxa"/>
            <w:vAlign w:val="bottom"/>
            <w:gridSpan w:val="5"/>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Recognized in Accumulated</w:t>
            </w:r>
          </w:p>
        </w:tc>
        <w:tc>
          <w:tcPr>
            <w:tcW w:w="180" w:type="dxa"/>
            <w:vAlign w:val="bottom"/>
          </w:tcPr>
          <w:p>
            <w:pPr>
              <w:spacing w:after="0"/>
              <w:rPr>
                <w:sz w:val="12"/>
                <w:szCs w:val="12"/>
                <w:color w:val="auto"/>
              </w:rPr>
            </w:pPr>
          </w:p>
        </w:tc>
        <w:tc>
          <w:tcPr>
            <w:tcW w:w="1620" w:type="dxa"/>
            <w:vAlign w:val="bottom"/>
            <w:gridSpan w:val="5"/>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Derivatives Designated in Hedging Relationships</w:t>
            </w:r>
          </w:p>
        </w:tc>
        <w:tc>
          <w:tcPr>
            <w:tcW w:w="120" w:type="dxa"/>
            <w:vAlign w:val="bottom"/>
            <w:vMerge w:val="restart"/>
          </w:tcPr>
          <w:p>
            <w:pPr>
              <w:spacing w:after="0"/>
              <w:rPr>
                <w:sz w:val="12"/>
                <w:szCs w:val="12"/>
                <w:color w:val="auto"/>
              </w:rPr>
            </w:pPr>
          </w:p>
        </w:tc>
        <w:tc>
          <w:tcPr>
            <w:tcW w:w="19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Recognized in</w:t>
            </w:r>
          </w:p>
        </w:tc>
        <w:tc>
          <w:tcPr>
            <w:tcW w:w="160" w:type="dxa"/>
            <w:vAlign w:val="bottom"/>
          </w:tcPr>
          <w:p>
            <w:pPr>
              <w:spacing w:after="0"/>
              <w:rPr>
                <w:sz w:val="12"/>
                <w:szCs w:val="12"/>
                <w:color w:val="auto"/>
              </w:rPr>
            </w:pPr>
          </w:p>
        </w:tc>
        <w:tc>
          <w:tcPr>
            <w:tcW w:w="1780" w:type="dxa"/>
            <w:vAlign w:val="bottom"/>
            <w:gridSpan w:val="4"/>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Other Comprehensive</w:t>
            </w:r>
          </w:p>
        </w:tc>
        <w:tc>
          <w:tcPr>
            <w:tcW w:w="1800" w:type="dxa"/>
            <w:vAlign w:val="bottom"/>
            <w:gridSpan w:val="6"/>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 Income into</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2"/>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Recognized in Earnings</w:t>
            </w:r>
          </w:p>
        </w:tc>
        <w:tc>
          <w:tcPr>
            <w:tcW w:w="0" w:type="dxa"/>
            <w:vAlign w:val="bottom"/>
          </w:tcPr>
          <w:p>
            <w:pPr>
              <w:spacing w:after="0"/>
              <w:rPr>
                <w:sz w:val="1"/>
                <w:szCs w:val="1"/>
                <w:color w:val="auto"/>
              </w:rPr>
            </w:pPr>
          </w:p>
        </w:tc>
      </w:tr>
      <w:tr>
        <w:trPr>
          <w:trHeight w:val="195"/>
        </w:trPr>
        <w:tc>
          <w:tcPr>
            <w:tcW w:w="36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on Derivative</w:t>
            </w:r>
          </w:p>
        </w:tc>
        <w:tc>
          <w:tcPr>
            <w:tcW w:w="120" w:type="dxa"/>
            <w:vAlign w:val="bottom"/>
            <w:tcBorders>
              <w:bottom w:val="single" w:sz="8" w:color="CCEEFF"/>
            </w:tcBorders>
          </w:tcPr>
          <w:p>
            <w:pPr>
              <w:spacing w:after="0"/>
              <w:rPr>
                <w:sz w:val="16"/>
                <w:szCs w:val="16"/>
                <w:color w:val="auto"/>
              </w:rPr>
            </w:pPr>
          </w:p>
        </w:tc>
        <w:tc>
          <w:tcPr>
            <w:tcW w:w="18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(Effective Portion)</w:t>
            </w:r>
          </w:p>
        </w:tc>
        <w:tc>
          <w:tcPr>
            <w:tcW w:w="10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Earnings (Effective Portion)</w:t>
            </w: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(Ineffective Portion)</w:t>
            </w:r>
          </w:p>
        </w:tc>
        <w:tc>
          <w:tcPr>
            <w:tcW w:w="0" w:type="dxa"/>
            <w:vAlign w:val="bottom"/>
          </w:tcPr>
          <w:p>
            <w:pPr>
              <w:spacing w:after="0"/>
              <w:rPr>
                <w:sz w:val="1"/>
                <w:szCs w:val="1"/>
                <w:color w:val="auto"/>
              </w:rPr>
            </w:pPr>
          </w:p>
        </w:tc>
      </w:tr>
      <w:tr>
        <w:trPr>
          <w:trHeight w:val="255"/>
        </w:trPr>
        <w:tc>
          <w:tcPr>
            <w:tcW w:w="37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2013</w:t>
            </w:r>
          </w:p>
        </w:tc>
        <w:tc>
          <w:tcPr>
            <w:tcW w:w="1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378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Cash flow interest rate swap</w:t>
            </w:r>
          </w:p>
        </w:tc>
        <w:tc>
          <w:tcPr>
            <w:tcW w:w="19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Interest Expense</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gridSpan w:val="3"/>
          </w:tcPr>
          <w:p>
            <w:pPr>
              <w:jc w:val="right"/>
              <w:ind w:right="44"/>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275"/>
        </w:trPr>
        <w:tc>
          <w:tcPr>
            <w:tcW w:w="37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2012</w:t>
            </w:r>
          </w:p>
        </w:tc>
        <w:tc>
          <w:tcPr>
            <w:tcW w:w="1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378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Cash flow interest rate swap</w:t>
            </w:r>
          </w:p>
        </w:tc>
        <w:tc>
          <w:tcPr>
            <w:tcW w:w="19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Interest Expense</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471"/>
        </w:trPr>
        <w:tc>
          <w:tcPr>
            <w:tcW w:w="6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60" w:type="dxa"/>
            <w:vAlign w:val="bottom"/>
            <w:gridSpan w:val="7"/>
          </w:tcPr>
          <w:p>
            <w:pPr>
              <w:jc w:val="center"/>
              <w:ind w:right="728"/>
              <w:spacing w:after="0"/>
              <w:rPr>
                <w:sz w:val="20"/>
                <w:szCs w:val="20"/>
                <w:color w:val="auto"/>
              </w:rPr>
            </w:pPr>
            <w:r>
              <w:rPr>
                <w:rFonts w:ascii="Times New Roman" w:cs="Times New Roman" w:eastAsia="Times New Roman" w:hAnsi="Times New Roman"/>
                <w:sz w:val="14"/>
                <w:szCs w:val="14"/>
                <w:b w:val="1"/>
                <w:bCs w:val="1"/>
                <w:color w:val="auto"/>
              </w:rPr>
              <w:t>Amount of Gain or (Loss)</w:t>
            </w:r>
          </w:p>
        </w:tc>
        <w:tc>
          <w:tcPr>
            <w:tcW w:w="0" w:type="dxa"/>
            <w:vAlign w:val="bottom"/>
          </w:tcPr>
          <w:p>
            <w:pPr>
              <w:spacing w:after="0"/>
              <w:rPr>
                <w:sz w:val="1"/>
                <w:szCs w:val="1"/>
                <w:color w:val="auto"/>
              </w:rPr>
            </w:pPr>
          </w:p>
        </w:tc>
      </w:tr>
      <w:tr>
        <w:trPr>
          <w:trHeight w:val="194"/>
        </w:trPr>
        <w:tc>
          <w:tcPr>
            <w:tcW w:w="68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6"/>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Recognized in Income on Derivative</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8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3"/>
          </w:tcPr>
          <w:p>
            <w:pPr>
              <w:jc w:val="center"/>
              <w:ind w:left="164"/>
              <w:spacing w:after="0"/>
              <w:rPr>
                <w:sz w:val="20"/>
                <w:szCs w:val="20"/>
                <w:color w:val="auto"/>
              </w:rPr>
            </w:pPr>
            <w:r>
              <w:rPr>
                <w:rFonts w:ascii="Times New Roman" w:cs="Times New Roman" w:eastAsia="Times New Roman" w:hAnsi="Times New Roman"/>
                <w:sz w:val="14"/>
                <w:szCs w:val="14"/>
                <w:b w:val="1"/>
                <w:bCs w:val="1"/>
                <w:color w:val="auto"/>
              </w:rPr>
              <w:t>Location of Gain or</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0" w:type="dxa"/>
            <w:vAlign w:val="bottom"/>
            <w:gridSpan w:val="8"/>
          </w:tcPr>
          <w:p>
            <w:pPr>
              <w:jc w:val="center"/>
              <w:ind w:right="588"/>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54"/>
        </w:trPr>
        <w:tc>
          <w:tcPr>
            <w:tcW w:w="680" w:type="dxa"/>
            <w:vAlign w:val="bottom"/>
          </w:tcPr>
          <w:p>
            <w:pPr>
              <w:spacing w:after="0"/>
              <w:rPr>
                <w:sz w:val="4"/>
                <w:szCs w:val="4"/>
                <w:color w:val="auto"/>
              </w:rPr>
            </w:pPr>
          </w:p>
        </w:tc>
        <w:tc>
          <w:tcPr>
            <w:tcW w:w="2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vMerge w:val="restart"/>
          </w:tcPr>
          <w:p>
            <w:pPr>
              <w:spacing w:after="0"/>
              <w:rPr>
                <w:sz w:val="4"/>
                <w:szCs w:val="4"/>
                <w:color w:val="auto"/>
              </w:rPr>
            </w:pPr>
          </w:p>
        </w:tc>
        <w:tc>
          <w:tcPr>
            <w:tcW w:w="1560" w:type="dxa"/>
            <w:vAlign w:val="bottom"/>
            <w:gridSpan w:val="3"/>
            <w:vMerge w:val="restart"/>
          </w:tcPr>
          <w:p>
            <w:pPr>
              <w:jc w:val="center"/>
              <w:ind w:left="164"/>
              <w:spacing w:after="0" w:line="137" w:lineRule="exact"/>
              <w:rPr>
                <w:sz w:val="20"/>
                <w:szCs w:val="20"/>
                <w:color w:val="auto"/>
              </w:rPr>
            </w:pPr>
            <w:r>
              <w:rPr>
                <w:rFonts w:ascii="Times New Roman" w:cs="Times New Roman" w:eastAsia="Times New Roman" w:hAnsi="Times New Roman"/>
                <w:sz w:val="14"/>
                <w:szCs w:val="14"/>
                <w:b w:val="1"/>
                <w:bCs w:val="1"/>
                <w:color w:val="auto"/>
              </w:rPr>
              <w:t>(Loss) Recognized in</w:t>
            </w: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680" w:type="dxa"/>
            <w:vAlign w:val="bottom"/>
          </w:tcPr>
          <w:p>
            <w:pPr>
              <w:spacing w:after="0"/>
              <w:rPr>
                <w:sz w:val="5"/>
                <w:szCs w:val="5"/>
                <w:color w:val="auto"/>
              </w:rPr>
            </w:pPr>
          </w:p>
        </w:tc>
        <w:tc>
          <w:tcPr>
            <w:tcW w:w="506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not Designated in Hedging Relationships</w:t>
            </w: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1560" w:type="dxa"/>
            <w:vAlign w:val="bottom"/>
            <w:gridSpan w:val="3"/>
            <w:vMerge w:val="continue"/>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vMerge w:val="restart"/>
          </w:tcPr>
          <w:p>
            <w:pPr>
              <w:jc w:val="right"/>
              <w:ind w:right="405"/>
              <w:spacing w:after="0"/>
              <w:rPr>
                <w:sz w:val="20"/>
                <w:szCs w:val="20"/>
                <w:color w:val="auto"/>
              </w:rPr>
            </w:pPr>
            <w:r>
              <w:rPr>
                <w:rFonts w:ascii="Times New Roman" w:cs="Times New Roman" w:eastAsia="Times New Roman" w:hAnsi="Times New Roman"/>
                <w:sz w:val="14"/>
                <w:szCs w:val="14"/>
                <w:b w:val="1"/>
                <w:bCs w:val="1"/>
                <w:color w:val="auto"/>
              </w:rPr>
              <w:t>2013</w:t>
            </w: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vMerge w:val="restart"/>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2012</w:t>
            </w:r>
          </w:p>
        </w:tc>
        <w:tc>
          <w:tcPr>
            <w:tcW w:w="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680" w:type="dxa"/>
            <w:vAlign w:val="bottom"/>
          </w:tcPr>
          <w:p>
            <w:pPr>
              <w:spacing w:after="0"/>
              <w:rPr>
                <w:sz w:val="16"/>
                <w:szCs w:val="16"/>
                <w:color w:val="auto"/>
              </w:rPr>
            </w:pPr>
          </w:p>
        </w:tc>
        <w:tc>
          <w:tcPr>
            <w:tcW w:w="5060" w:type="dxa"/>
            <w:vAlign w:val="bottom"/>
            <w:tcBorders>
              <w:bottom w:val="single" w:sz="8" w:color="auto"/>
            </w:tcBorders>
            <w:gridSpan w:val="4"/>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gridSpan w:val="3"/>
          </w:tcPr>
          <w:p>
            <w:pPr>
              <w:jc w:val="center"/>
              <w:ind w:left="164"/>
              <w:spacing w:after="0"/>
              <w:rPr>
                <w:sz w:val="20"/>
                <w:szCs w:val="20"/>
                <w:color w:val="auto"/>
              </w:rPr>
            </w:pPr>
            <w:r>
              <w:rPr>
                <w:rFonts w:ascii="Times New Roman" w:cs="Times New Roman" w:eastAsia="Times New Roman" w:hAnsi="Times New Roman"/>
                <w:sz w:val="14"/>
                <w:szCs w:val="14"/>
                <w:b w:val="1"/>
                <w:bCs w:val="1"/>
                <w:color w:val="auto"/>
              </w:rPr>
              <w:t>Income on Derivative</w:t>
            </w: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680" w:type="dxa"/>
            <w:vAlign w:val="bottom"/>
          </w:tcPr>
          <w:p>
            <w:pPr>
              <w:spacing w:after="0"/>
              <w:rPr>
                <w:sz w:val="21"/>
                <w:szCs w:val="21"/>
                <w:color w:val="auto"/>
              </w:rPr>
            </w:pPr>
          </w:p>
        </w:tc>
        <w:tc>
          <w:tcPr>
            <w:tcW w:w="3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180" w:type="dxa"/>
            <w:vAlign w:val="bottom"/>
            <w:shd w:val="clear" w:color="auto" w:fill="CCEEFF"/>
          </w:tcPr>
          <w:p>
            <w:pPr>
              <w:spacing w:after="0"/>
              <w:rPr>
                <w:sz w:val="21"/>
                <w:szCs w:val="21"/>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8"/>
                <w:szCs w:val="18"/>
                <w:color w:val="auto"/>
              </w:rPr>
              <w:t>10,156</w:t>
            </w:r>
          </w:p>
        </w:tc>
        <w:tc>
          <w:tcPr>
            <w:tcW w:w="40" w:type="dxa"/>
            <w:vAlign w:val="bottom"/>
            <w:shd w:val="clear" w:color="auto" w:fill="CCEEFF"/>
          </w:tcPr>
          <w:p>
            <w:pPr>
              <w:spacing w:after="0"/>
              <w:rPr>
                <w:sz w:val="21"/>
                <w:szCs w:val="21"/>
                <w:color w:val="auto"/>
              </w:rPr>
            </w:pPr>
          </w:p>
        </w:tc>
        <w:tc>
          <w:tcPr>
            <w:tcW w:w="2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(8,859)</w:t>
            </w: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0" w:type="dxa"/>
            <w:vAlign w:val="bottom"/>
          </w:tcPr>
          <w:p>
            <w:pPr>
              <w:spacing w:after="0"/>
              <w:rPr>
                <w:sz w:val="2"/>
                <w:szCs w:val="2"/>
                <w:color w:val="auto"/>
              </w:rPr>
            </w:pPr>
          </w:p>
        </w:tc>
        <w:tc>
          <w:tcPr>
            <w:tcW w:w="2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Company utilizes foreign exchange derivatives to limit its exposure to changes in exchange rates on certain assets denominated in foreign currencies. The Company marks its foreign investments to market each quarter based on current exchange rates and records the gain or loss through “Other expense” on its Consolidated Statements of Operations for loan investments or “Accumulated comprehensive income,” on its Consolidated Balance Sheets for net investments in foreign subsidiaries. Gains or losses on the related foreign exchange derivatives are recorded in “Other Expense,” as noted in the table above, and offset the marks taken on the assets. During the three months ended March 31, 2013 and 2012, the Company recorded net losses related to foreign investments of $0.1 million and $0.1 million, respectively, in its Consolidated Statements of Operations.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18" w:right="2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iStar Financial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the Company's foreign currency derivatives outstanding as of March 31, 2013 ($ in thousands):</w:t>
      </w:r>
    </w:p>
    <w:p>
      <w:pPr>
        <w:spacing w:after="0" w:line="328"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5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 Type</w:t>
            </w:r>
          </w:p>
        </w:tc>
        <w:tc>
          <w:tcPr>
            <w:tcW w:w="100" w:type="dxa"/>
            <w:vAlign w:val="bottom"/>
            <w:vMerge w:val="restart"/>
          </w:tcPr>
          <w:p>
            <w:pPr>
              <w:spacing w:after="0"/>
              <w:rPr>
                <w:sz w:val="13"/>
                <w:szCs w:val="13"/>
                <w:color w:val="auto"/>
              </w:rPr>
            </w:pPr>
          </w:p>
        </w:tc>
        <w:tc>
          <w:tcPr>
            <w:tcW w:w="440" w:type="dxa"/>
            <w:vAlign w:val="bottom"/>
          </w:tcPr>
          <w:p>
            <w:pPr>
              <w:spacing w:after="0"/>
              <w:rPr>
                <w:sz w:val="13"/>
                <w:szCs w:val="13"/>
                <w:color w:val="auto"/>
              </w:rPr>
            </w:pPr>
          </w:p>
        </w:tc>
        <w:tc>
          <w:tcPr>
            <w:tcW w:w="14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220" w:type="dxa"/>
            <w:vAlign w:val="bottom"/>
          </w:tcPr>
          <w:p>
            <w:pPr>
              <w:spacing w:after="0"/>
              <w:rPr>
                <w:sz w:val="13"/>
                <w:szCs w:val="13"/>
                <w:color w:val="auto"/>
              </w:rPr>
            </w:pPr>
          </w:p>
        </w:tc>
        <w:tc>
          <w:tcPr>
            <w:tcW w:w="164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320" w:type="dxa"/>
            <w:vAlign w:val="bottom"/>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0" w:type="dxa"/>
            <w:vAlign w:val="bottom"/>
          </w:tcPr>
          <w:p>
            <w:pPr>
              <w:spacing w:after="0"/>
              <w:rPr>
                <w:sz w:val="1"/>
                <w:szCs w:val="1"/>
                <w:color w:val="auto"/>
              </w:rPr>
            </w:pPr>
          </w:p>
        </w:tc>
      </w:tr>
      <w:tr>
        <w:trPr>
          <w:trHeight w:val="195"/>
        </w:trPr>
        <w:tc>
          <w:tcPr>
            <w:tcW w:w="58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(USD Equivalent)</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5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Sells EUR/Buys USD Forward</w:t>
            </w:r>
          </w:p>
        </w:tc>
        <w:tc>
          <w:tcPr>
            <w:tcW w:w="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84,400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108,222</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April 2013</w:t>
            </w:r>
          </w:p>
        </w:tc>
        <w:tc>
          <w:tcPr>
            <w:tcW w:w="0" w:type="dxa"/>
            <w:vAlign w:val="bottom"/>
          </w:tcPr>
          <w:p>
            <w:pPr>
              <w:spacing w:after="0"/>
              <w:rPr>
                <w:sz w:val="1"/>
                <w:szCs w:val="1"/>
                <w:color w:val="auto"/>
              </w:rPr>
            </w:pPr>
          </w:p>
        </w:tc>
      </w:tr>
      <w:tr>
        <w:trPr>
          <w:trHeight w:val="243"/>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Sells GBP/Buys USD Forward</w:t>
            </w:r>
          </w:p>
        </w:tc>
        <w:tc>
          <w:tcPr>
            <w:tcW w:w="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27,900</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42,396</w:t>
            </w:r>
          </w:p>
        </w:tc>
        <w:tc>
          <w:tcPr>
            <w:tcW w:w="100" w:type="dxa"/>
            <w:vAlign w:val="bottom"/>
          </w:tcPr>
          <w:p>
            <w:pPr>
              <w:spacing w:after="0"/>
              <w:rPr>
                <w:sz w:val="21"/>
                <w:szCs w:val="21"/>
                <w:color w:val="auto"/>
              </w:rPr>
            </w:pPr>
          </w:p>
        </w:tc>
        <w:tc>
          <w:tcPr>
            <w:tcW w:w="13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April 2013</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Sells CAD/Buys USD Forward</w:t>
            </w:r>
          </w:p>
        </w:tc>
        <w:tc>
          <w:tcPr>
            <w:tcW w:w="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w:t>
            </w:r>
          </w:p>
        </w:tc>
        <w:tc>
          <w:tcPr>
            <w:tcW w:w="13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48,700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47,866</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April 2013</w:t>
            </w:r>
          </w:p>
        </w:tc>
        <w:tc>
          <w:tcPr>
            <w:tcW w:w="0" w:type="dxa"/>
            <w:vAlign w:val="bottom"/>
          </w:tcPr>
          <w:p>
            <w:pPr>
              <w:spacing w:after="0"/>
              <w:rPr>
                <w:sz w:val="1"/>
                <w:szCs w:val="1"/>
                <w:color w:val="auto"/>
              </w:rPr>
            </w:pPr>
          </w:p>
        </w:tc>
      </w:tr>
      <w:tr>
        <w:trPr>
          <w:trHeight w:val="27"/>
        </w:trPr>
        <w:tc>
          <w:tcPr>
            <w:tcW w:w="5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Qualifying Cash Flow Hedges</w:t>
      </w:r>
      <w:r>
        <w:rPr>
          <w:rFonts w:ascii="Times New Roman" w:cs="Times New Roman" w:eastAsia="Times New Roman" w:hAnsi="Times New Roman"/>
          <w:sz w:val="18"/>
          <w:szCs w:val="18"/>
          <w:color w:val="auto"/>
        </w:rPr>
        <w:t>—In October 2012, the Company entered into an interest rate swap to convert its variable rate debt to fixed rate on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new $28.0 million secured term loan maturing in 2019. The following table presents the Company's interest rate swap outstanding as of March 31, 2013 ($ in thousands).</w:t>
      </w:r>
    </w:p>
    <w:p>
      <w:pPr>
        <w:spacing w:after="0" w:line="278"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3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 Type</w:t>
            </w:r>
          </w:p>
        </w:tc>
        <w:tc>
          <w:tcPr>
            <w:tcW w:w="120" w:type="dxa"/>
            <w:vAlign w:val="bottom"/>
            <w:vMerge w:val="restart"/>
          </w:tcPr>
          <w:p>
            <w:pPr>
              <w:spacing w:after="0"/>
              <w:rPr>
                <w:sz w:val="13"/>
                <w:szCs w:val="13"/>
                <w:color w:val="auto"/>
              </w:rPr>
            </w:pPr>
          </w:p>
        </w:tc>
        <w:tc>
          <w:tcPr>
            <w:tcW w:w="104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Variable Rate</w:t>
            </w:r>
          </w:p>
        </w:tc>
        <w:tc>
          <w:tcPr>
            <w:tcW w:w="100" w:type="dxa"/>
            <w:vAlign w:val="bottom"/>
            <w:vMerge w:val="restart"/>
          </w:tcPr>
          <w:p>
            <w:pPr>
              <w:spacing w:after="0"/>
              <w:rPr>
                <w:sz w:val="13"/>
                <w:szCs w:val="13"/>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Fixed Rate</w:t>
            </w:r>
          </w:p>
        </w:tc>
        <w:tc>
          <w:tcPr>
            <w:tcW w:w="120" w:type="dxa"/>
            <w:vAlign w:val="bottom"/>
            <w:vMerge w:val="restart"/>
          </w:tcPr>
          <w:p>
            <w:pPr>
              <w:spacing w:after="0"/>
              <w:rPr>
                <w:sz w:val="13"/>
                <w:szCs w:val="13"/>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0" w:type="dxa"/>
            <w:vAlign w:val="bottom"/>
          </w:tcPr>
          <w:p>
            <w:pPr>
              <w:spacing w:after="0"/>
              <w:rPr>
                <w:sz w:val="1"/>
                <w:szCs w:val="1"/>
                <w:color w:val="auto"/>
              </w:rPr>
            </w:pPr>
          </w:p>
        </w:tc>
      </w:tr>
      <w:tr>
        <w:trPr>
          <w:trHeight w:val="195"/>
        </w:trPr>
        <w:tc>
          <w:tcPr>
            <w:tcW w:w="3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Swap</w:t>
            </w:r>
          </w:p>
        </w:tc>
        <w:tc>
          <w:tcPr>
            <w:tcW w:w="1040" w:type="dxa"/>
            <w:vAlign w:val="bottom"/>
            <w:shd w:val="clear" w:color="auto" w:fill="CCEEFF"/>
          </w:tcPr>
          <w:p>
            <w:pPr>
              <w:jc w:val="right"/>
              <w:ind w:right="88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28,000</w:t>
            </w:r>
          </w:p>
        </w:tc>
        <w:tc>
          <w:tcPr>
            <w:tcW w:w="100" w:type="dxa"/>
            <w:vAlign w:val="bottom"/>
            <w:shd w:val="clear" w:color="auto" w:fill="CCEEFF"/>
          </w:tcPr>
          <w:p>
            <w:pPr>
              <w:spacing w:after="0"/>
              <w:rPr>
                <w:sz w:val="22"/>
                <w:szCs w:val="22"/>
                <w:color w:val="auto"/>
              </w:rPr>
            </w:pPr>
          </w:p>
        </w:tc>
        <w:tc>
          <w:tcPr>
            <w:tcW w:w="16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LIBOR + 2.00%</w:t>
            </w:r>
          </w:p>
        </w:tc>
        <w:tc>
          <w:tcPr>
            <w:tcW w:w="1560" w:type="dxa"/>
            <w:vAlign w:val="bottom"/>
            <w:shd w:val="clear" w:color="auto" w:fill="CCEEFF"/>
          </w:tcPr>
          <w:p>
            <w:pPr>
              <w:jc w:val="right"/>
              <w:ind w:right="528"/>
              <w:spacing w:after="0"/>
              <w:rPr>
                <w:sz w:val="20"/>
                <w:szCs w:val="20"/>
                <w:color w:val="auto"/>
              </w:rPr>
            </w:pPr>
            <w:r>
              <w:rPr>
                <w:rFonts w:ascii="Times New Roman" w:cs="Times New Roman" w:eastAsia="Times New Roman" w:hAnsi="Times New Roman"/>
                <w:sz w:val="14"/>
                <w:szCs w:val="14"/>
                <w:color w:val="auto"/>
              </w:rPr>
              <w:t>3.75%</w:t>
            </w:r>
          </w:p>
        </w:tc>
        <w:tc>
          <w:tcPr>
            <w:tcW w:w="120" w:type="dxa"/>
            <w:vAlign w:val="bottom"/>
            <w:shd w:val="clear" w:color="auto" w:fill="CCEEFF"/>
          </w:tcPr>
          <w:p>
            <w:pPr>
              <w:spacing w:after="0"/>
              <w:rPr>
                <w:sz w:val="22"/>
                <w:szCs w:val="22"/>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November 2019</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Over the next 12 months, the Company expects that $0.9 million will be reclassified to interest expense from the existing swap and $0.6 million will be reclassified to income related to terminated cash flow hedges from "Accumulated other comprehensive income (loss)" into earnings.</w:t>
      </w:r>
    </w:p>
    <w:p>
      <w:pPr>
        <w:spacing w:after="0" w:line="117"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Credit risk-related contingent features</w:t>
      </w:r>
      <w:r>
        <w:rPr>
          <w:rFonts w:ascii="Times New Roman" w:cs="Times New Roman" w:eastAsia="Times New Roman" w:hAnsi="Times New Roman"/>
          <w:sz w:val="18"/>
          <w:szCs w:val="18"/>
          <w:color w:val="auto"/>
        </w:rPr>
        <w:t>—The Company has agreements with each of its derivative counterparties that contain a provision where if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either defaults or is capable of being declared in default on any of its indebtedness, then the Company could also be declared in default on its derivative obligations.</w:t>
      </w:r>
    </w:p>
    <w:p>
      <w:pPr>
        <w:spacing w:after="0" w:line="134"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In connection with its foreign currency derivatives, as of March 31, 2013 and December 31, 2012, the Company has posted collateral of $9.6 million, which is included in "Restricted cash" on the Company's Consolidated Balance Sheets.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11—Equity</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—The Company had the following series of Cumulative Redeemable Preferred Stock outstanding as of March 31, 2013:</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8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Cumulative Preferential Cash</w:t>
            </w:r>
          </w:p>
        </w:tc>
        <w:tc>
          <w:tcPr>
            <w:tcW w:w="2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3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Dividends(1)(2)</w:t>
            </w: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3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2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Shares Issued and</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vMerge w:val="restart"/>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Liquidation</w:t>
            </w:r>
          </w:p>
        </w:tc>
        <w:tc>
          <w:tcPr>
            <w:tcW w:w="1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tcPr>
          <w:p>
            <w:pPr>
              <w:jc w:val="center"/>
              <w:ind w:right="136"/>
              <w:spacing w:after="0" w:line="151" w:lineRule="exact"/>
              <w:rPr>
                <w:sz w:val="20"/>
                <w:szCs w:val="20"/>
                <w:color w:val="auto"/>
              </w:rPr>
            </w:pPr>
            <w:r>
              <w:rPr>
                <w:rFonts w:ascii="Times New Roman" w:cs="Times New Roman" w:eastAsia="Times New Roman" w:hAnsi="Times New Roman"/>
                <w:sz w:val="14"/>
                <w:szCs w:val="14"/>
                <w:b w:val="1"/>
                <w:bCs w:val="1"/>
                <w:color w:val="auto"/>
              </w:rPr>
              <w:t>Equivalent to</w:t>
            </w:r>
          </w:p>
        </w:tc>
        <w:tc>
          <w:tcPr>
            <w:tcW w:w="0" w:type="dxa"/>
            <w:vAlign w:val="bottom"/>
          </w:tcPr>
          <w:p>
            <w:pPr>
              <w:spacing w:after="0"/>
              <w:rPr>
                <w:sz w:val="1"/>
                <w:szCs w:val="1"/>
                <w:color w:val="auto"/>
              </w:rPr>
            </w:pPr>
          </w:p>
        </w:tc>
      </w:tr>
      <w:tr>
        <w:trPr>
          <w:trHeight w:val="149"/>
        </w:trPr>
        <w:tc>
          <w:tcPr>
            <w:tcW w:w="32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Series</w:t>
            </w:r>
          </w:p>
        </w:tc>
        <w:tc>
          <w:tcPr>
            <w:tcW w:w="100" w:type="dxa"/>
            <w:vAlign w:val="bottom"/>
            <w:vMerge w:val="restart"/>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120" w:type="dxa"/>
            <w:vAlign w:val="bottom"/>
            <w:vMerge w:val="restart"/>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Rate per Annum</w:t>
            </w:r>
          </w:p>
        </w:tc>
        <w:tc>
          <w:tcPr>
            <w:tcW w:w="10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tcPr>
          <w:p>
            <w:pPr>
              <w:jc w:val="center"/>
              <w:ind w:right="136"/>
              <w:spacing w:after="0" w:line="149" w:lineRule="exact"/>
              <w:rPr>
                <w:sz w:val="20"/>
                <w:szCs w:val="20"/>
                <w:color w:val="auto"/>
              </w:rPr>
            </w:pPr>
            <w:r>
              <w:rPr>
                <w:rFonts w:ascii="Times New Roman" w:cs="Times New Roman" w:eastAsia="Times New Roman" w:hAnsi="Times New Roman"/>
                <w:sz w:val="14"/>
                <w:szCs w:val="14"/>
                <w:b w:val="1"/>
                <w:bCs w:val="1"/>
                <w:color w:val="auto"/>
              </w:rPr>
              <w:t>Fixed Annual</w:t>
            </w:r>
          </w:p>
        </w:tc>
        <w:tc>
          <w:tcPr>
            <w:tcW w:w="0" w:type="dxa"/>
            <w:vAlign w:val="bottom"/>
          </w:tcPr>
          <w:p>
            <w:pPr>
              <w:spacing w:after="0"/>
              <w:rPr>
                <w:sz w:val="1"/>
                <w:szCs w:val="1"/>
                <w:color w:val="auto"/>
              </w:rPr>
            </w:pPr>
          </w:p>
        </w:tc>
      </w:tr>
      <w:tr>
        <w:trPr>
          <w:trHeight w:val="195"/>
        </w:trPr>
        <w:tc>
          <w:tcPr>
            <w:tcW w:w="3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Preference</w:t>
            </w:r>
          </w:p>
        </w:tc>
        <w:tc>
          <w:tcPr>
            <w:tcW w:w="12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Rate (per share)</w:t>
            </w:r>
          </w:p>
        </w:tc>
        <w:tc>
          <w:tcPr>
            <w:tcW w:w="0" w:type="dxa"/>
            <w:vAlign w:val="bottom"/>
          </w:tcPr>
          <w:p>
            <w:pPr>
              <w:spacing w:after="0"/>
              <w:rPr>
                <w:sz w:val="1"/>
                <w:szCs w:val="1"/>
                <w:color w:val="auto"/>
              </w:rPr>
            </w:pPr>
          </w:p>
        </w:tc>
      </w:tr>
      <w:tr>
        <w:trPr>
          <w:trHeight w:val="249"/>
        </w:trPr>
        <w:tc>
          <w:tcPr>
            <w:tcW w:w="33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w:t>
            </w:r>
          </w:p>
        </w:tc>
        <w:tc>
          <w:tcPr>
            <w:tcW w:w="18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4,000</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0.001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25.00</w:t>
            </w:r>
          </w:p>
        </w:tc>
        <w:tc>
          <w:tcPr>
            <w:tcW w:w="1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43"/>
        </w:trPr>
        <w:tc>
          <w:tcPr>
            <w:tcW w:w="3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w:t>
            </w:r>
          </w:p>
        </w:tc>
        <w:tc>
          <w:tcPr>
            <w:tcW w:w="18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5,600</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0.001</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25.00</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7.875%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w:t>
            </w:r>
          </w:p>
        </w:tc>
        <w:tc>
          <w:tcPr>
            <w:tcW w:w="18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4,000</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0.001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25.00</w:t>
            </w:r>
          </w:p>
        </w:tc>
        <w:tc>
          <w:tcPr>
            <w:tcW w:w="1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43"/>
        </w:trPr>
        <w:tc>
          <w:tcPr>
            <w:tcW w:w="3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w:t>
            </w:r>
          </w:p>
        </w:tc>
        <w:tc>
          <w:tcPr>
            <w:tcW w:w="18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3,200</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0.001</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25.00</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w:t>
            </w:r>
          </w:p>
        </w:tc>
        <w:tc>
          <w:tcPr>
            <w:tcW w:w="18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5,000</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0.001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25.00</w:t>
            </w:r>
          </w:p>
        </w:tc>
        <w:tc>
          <w:tcPr>
            <w:tcW w:w="1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43"/>
        </w:trPr>
        <w:tc>
          <w:tcPr>
            <w:tcW w:w="3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J</w:t>
            </w:r>
          </w:p>
        </w:tc>
        <w:tc>
          <w:tcPr>
            <w:tcW w:w="18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4,000</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0.001</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50.00</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25,800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Explanatory Notes: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120" w:lineRule="exact"/>
        <w:rPr>
          <w:sz w:val="20"/>
          <w:szCs w:val="20"/>
          <w:color w:val="auto"/>
        </w:rPr>
      </w:pPr>
    </w:p>
    <w:p>
      <w:pPr>
        <w:jc w:val="both"/>
        <w:ind w:left="660" w:hanging="652"/>
        <w:spacing w:after="0" w:line="249" w:lineRule="auto"/>
        <w:tabs>
          <w:tab w:leader="none" w:pos="6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Holders of shares of the Series D, E, F, G, I and J preferred stock are entitled to receive dividends, when and as declared by the Board of Directors, out of funds legally available for the payment of dividends. Dividends are cumulative from the date of original issue and are payable quarterly in arrears on or before the 15th day of each March, June, September and December or, if not a business day, the next succeeding business day. Any dividend payable on the preferred stock for any partial dividend period will be computed on the basis of a 360-day year consisting of twelve 30-day months. Dividends will be payable to holders of record as of the close of business on the first day of the calendar month in which the applicable dividend payment date falls or on another date designated by the Board of Directors of the Company for the payment of dividends that is not more than 30 nor less than 10 days prior to the dividend payment date.</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18" w:right="2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iStar Financial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left="660" w:hanging="652"/>
        <w:spacing w:after="0" w:line="261" w:lineRule="auto"/>
        <w:tabs>
          <w:tab w:leader="none" w:pos="6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declared and paid dividends of $2.0 million, $2.8 million, $2.0 million, $1.5 million and $2.3 million on its Series D, E, F, G and I preferred stock, respectively, during each of the three months ended March 31, 2013 and 2012, all of which qualified as return of capital for tax reporting purposes. There are no dividend arrearages on any of the preferred shares currently outstanding.</w:t>
      </w:r>
    </w:p>
    <w:p>
      <w:pPr>
        <w:spacing w:after="0" w:line="14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In March 2013, the Company completed a public offering of $200.0 million of its 4.5% Series J Cumulative Convertible Perpetual Preferred Stock, having a liquidation preference of $50.00 per share. Each share of the Series J Preferred Stock is convertible at the holder's option at any time, initially into 3.9087 shares of the Company's common stock (equal to an initial conversion price of approximately $12.79 per share), subject to specified adjustments. The Company may not redeem the Series J Preferred Stock prior to March 15, 2018. On or after March 15, 2018, the Company may, at its option, redeem the Series J Preferred Stock, in whole or in part, at any time and from time to time, for cash at a redemption price equal to 100% of the liquidation preference of $50.00 per share, plus accrued and unpaid dividends, if any, to the redemption date.</w:t>
      </w:r>
    </w:p>
    <w:p>
      <w:pPr>
        <w:spacing w:after="0" w:line="143"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b w:val="1"/>
          <w:bCs w:val="1"/>
          <w:color w:val="auto"/>
        </w:rPr>
        <w:t>Dividends</w:t>
      </w:r>
      <w:r>
        <w:rPr>
          <w:rFonts w:ascii="Times New Roman" w:cs="Times New Roman" w:eastAsia="Times New Roman" w:hAnsi="Times New Roman"/>
          <w:sz w:val="18"/>
          <w:szCs w:val="18"/>
          <w:color w:val="auto"/>
        </w:rPr>
        <w:t>—In order to maintain its election to qualify as a REIT, the Company must currently distribute, at a minimum, an amount equal to 90%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taxable income, excluding net capital gains, and must distribute 100% of its taxable income (including net capital gains) to avoid paying corporate federal income taxes. The Company has recorded net operating losses and may record net operating losses in the future, which may reduce its taxable income in future periods and lower or eliminate entirely the Company's obligation to pay dividends for such periods in order to maintain its REIT qualification. As of December 31, 2011, the Company had $423.9 million of net operating loss carryforwards at the corporate REIT level that can generally be used to offset both ordinary and capital taxable income in future years and will expire through 2031 if unused. The amount net of operating loss carryforwards as of March 31, 2013 will be subject to finalization of the 2012 and 2013 tax returns. Because taxable income differs from cash flow from operations due to non-cash revenues and expenses (such as depreciation and certain asset impairments), in certain circumstances, the Company may generate operating cash flow in excess of its dividends or, alternatively, may need to make dividend payments in excess of operating cash flows. The Company's 2013 and 2012 Secured Credit Facilities permit the Company to distribute 100% of its REIT taxable income on an annual basis, for so long as the Company maintains its qualification as a REIT. The 2013 and 2012 Secured Credit Facilities restrict the Company from paying any common dividends if it ceases to qualify as a REIT. The Company did not declare or pay any Common Stock dividends for the three months ended March 31, 2013 and 2012.</w:t>
      </w:r>
    </w:p>
    <w:p>
      <w:pPr>
        <w:spacing w:after="0" w:line="150" w:lineRule="exact"/>
        <w:rPr>
          <w:sz w:val="20"/>
          <w:szCs w:val="20"/>
          <w:color w:val="auto"/>
        </w:rPr>
      </w:pPr>
    </w:p>
    <w:p>
      <w:pPr>
        <w:jc w:val="both"/>
        <w:ind w:firstLine="405"/>
        <w:spacing w:after="0" w:line="262" w:lineRule="auto"/>
        <w:rPr>
          <w:sz w:val="20"/>
          <w:szCs w:val="20"/>
          <w:color w:val="auto"/>
        </w:rPr>
      </w:pPr>
      <w:r>
        <w:rPr>
          <w:rFonts w:ascii="Times New Roman" w:cs="Times New Roman" w:eastAsia="Times New Roman" w:hAnsi="Times New Roman"/>
          <w:sz w:val="18"/>
          <w:szCs w:val="18"/>
          <w:b w:val="1"/>
          <w:bCs w:val="1"/>
          <w:color w:val="auto"/>
        </w:rPr>
        <w:t>Stock Repurchase Programs</w:t>
      </w:r>
      <w:r>
        <w:rPr>
          <w:rFonts w:ascii="Times New Roman" w:cs="Times New Roman" w:eastAsia="Times New Roman" w:hAnsi="Times New Roman"/>
          <w:sz w:val="18"/>
          <w:szCs w:val="18"/>
          <w:color w:val="auto"/>
        </w:rPr>
        <w:t>—On May 15, 2012, the Company's Board of Directors approved a stock repurchase program that authorized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repurchase of up to $20.0 million of its Common Stock from time to time in open market and privately negotiated purchases, including pursuant to one or more trading plans. As of March 31, 2013, the Company had $16.0 million of Common Stock available to repurchase under its Board authorized stock repurchase programs.</w:t>
      </w:r>
    </w:p>
    <w:p>
      <w:pPr>
        <w:spacing w:after="0" w:line="136" w:lineRule="exact"/>
        <w:rPr>
          <w:sz w:val="20"/>
          <w:szCs w:val="20"/>
          <w:color w:val="auto"/>
        </w:rPr>
      </w:pPr>
    </w:p>
    <w:p>
      <w:pPr>
        <w:jc w:val="both"/>
        <w:ind w:right="20" w:firstLine="405"/>
        <w:spacing w:after="0" w:line="286" w:lineRule="auto"/>
        <w:rPr>
          <w:sz w:val="20"/>
          <w:szCs w:val="20"/>
          <w:color w:val="auto"/>
        </w:rPr>
      </w:pPr>
      <w:r>
        <w:rPr>
          <w:rFonts w:ascii="Times New Roman" w:cs="Times New Roman" w:eastAsia="Times New Roman" w:hAnsi="Times New Roman"/>
          <w:sz w:val="18"/>
          <w:szCs w:val="18"/>
          <w:b w:val="1"/>
          <w:bCs w:val="1"/>
          <w:color w:val="auto"/>
        </w:rPr>
        <w:t>Accumulated Other Comprehensive Income (Loss)</w:t>
      </w:r>
      <w:r>
        <w:rPr>
          <w:rFonts w:ascii="Times New Roman" w:cs="Times New Roman" w:eastAsia="Times New Roman" w:hAnsi="Times New Roman"/>
          <w:sz w:val="18"/>
          <w:szCs w:val="18"/>
          <w:color w:val="auto"/>
        </w:rPr>
        <w:t>—"Accumulated other comprehensive income (loss)" reflected in the Company's shareholders'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equity is comprised of the following ($ in thousands):</w:t>
      </w:r>
    </w:p>
    <w:p>
      <w:pPr>
        <w:spacing w:after="0" w:line="342"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78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500" w:type="dxa"/>
            <w:vAlign w:val="bottom"/>
            <w:tcBorders>
              <w:bottom w:val="single" w:sz="8" w:color="auto"/>
            </w:tcBorders>
          </w:tcPr>
          <w:p>
            <w:pPr>
              <w:spacing w:after="0"/>
              <w:rPr>
                <w:sz w:val="16"/>
                <w:szCs w:val="16"/>
                <w:color w:val="auto"/>
              </w:rPr>
            </w:pPr>
          </w:p>
        </w:tc>
      </w:tr>
      <w:tr>
        <w:trPr>
          <w:trHeight w:val="264"/>
        </w:trPr>
        <w:tc>
          <w:tcPr>
            <w:tcW w:w="78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2013</w:t>
            </w:r>
          </w:p>
        </w:tc>
        <w:tc>
          <w:tcPr>
            <w:tcW w:w="200" w:type="dxa"/>
            <w:vAlign w:val="bottom"/>
          </w:tcPr>
          <w:p>
            <w:pPr>
              <w:spacing w:after="0"/>
              <w:rPr>
                <w:sz w:val="22"/>
                <w:szCs w:val="22"/>
                <w:color w:val="auto"/>
              </w:rPr>
            </w:pPr>
          </w:p>
        </w:tc>
        <w:tc>
          <w:tcPr>
            <w:tcW w:w="150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December 31, 2012</w:t>
            </w:r>
          </w:p>
        </w:tc>
      </w:tr>
      <w:tr>
        <w:trPr>
          <w:trHeight w:val="249"/>
        </w:trPr>
        <w:tc>
          <w:tcPr>
            <w:tcW w:w="7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gains on available-for-sale securities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1,092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867</w:t>
            </w:r>
          </w:p>
        </w:tc>
      </w:tr>
      <w:tr>
        <w:trPr>
          <w:trHeight w:val="24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gains on cash flow hedges</w:t>
            </w:r>
          </w:p>
        </w:tc>
        <w:tc>
          <w:tcPr>
            <w:tcW w:w="260" w:type="dxa"/>
            <w:vAlign w:val="bottom"/>
          </w:tcPr>
          <w:p>
            <w:pPr>
              <w:spacing w:after="0"/>
              <w:rPr>
                <w:sz w:val="21"/>
                <w:szCs w:val="21"/>
                <w:color w:val="auto"/>
              </w:rPr>
            </w:pPr>
          </w:p>
        </w:tc>
        <w:tc>
          <w:tcPr>
            <w:tcW w:w="14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718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607</w:t>
            </w:r>
          </w:p>
        </w:tc>
      </w:tr>
      <w:tr>
        <w:trPr>
          <w:trHeight w:val="27"/>
        </w:trPr>
        <w:tc>
          <w:tcPr>
            <w:tcW w:w="7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losses on cumulative translation adjustment</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(2,659)</w:t>
            </w:r>
          </w:p>
        </w:tc>
      </w:tr>
      <w:tr>
        <w:trPr>
          <w:trHeight w:val="257"/>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(1,185)</w:t>
            </w:r>
          </w:p>
        </w:tc>
      </w:tr>
      <w:tr>
        <w:trPr>
          <w:trHeight w:val="20"/>
        </w:trPr>
        <w:tc>
          <w:tcPr>
            <w:tcW w:w="7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12—Stock-Based Compensation Plans and Employee Benefits</w:t>
      </w:r>
    </w:p>
    <w:p>
      <w:pPr>
        <w:spacing w:after="0" w:line="185" w:lineRule="exact"/>
        <w:rPr>
          <w:sz w:val="20"/>
          <w:szCs w:val="20"/>
          <w:color w:val="auto"/>
        </w:rPr>
      </w:pPr>
    </w:p>
    <w:p>
      <w:pPr>
        <w:jc w:val="both"/>
        <w:ind w:firstLine="405"/>
        <w:spacing w:after="0" w:line="262" w:lineRule="auto"/>
        <w:rPr>
          <w:sz w:val="20"/>
          <w:szCs w:val="20"/>
          <w:color w:val="auto"/>
        </w:rPr>
      </w:pPr>
      <w:r>
        <w:rPr>
          <w:rFonts w:ascii="Times New Roman" w:cs="Times New Roman" w:eastAsia="Times New Roman" w:hAnsi="Times New Roman"/>
          <w:sz w:val="18"/>
          <w:szCs w:val="18"/>
          <w:b w:val="1"/>
          <w:bCs w:val="1"/>
          <w:color w:val="auto"/>
        </w:rPr>
        <w:t>Stock-based Compensation</w:t>
      </w:r>
      <w:r>
        <w:rPr>
          <w:rFonts w:ascii="Times New Roman" w:cs="Times New Roman" w:eastAsia="Times New Roman" w:hAnsi="Times New Roman"/>
          <w:sz w:val="18"/>
          <w:szCs w:val="18"/>
          <w:color w:val="auto"/>
        </w:rPr>
        <w:t>—The Company recorded stock-based compensation expense of $5.2 million and $4.7 million for the three months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March 31, 2013 and 2012, respectively, in "General and administrative" on the Company's Consolidated Statements of Operations. As of March 31, 2013, there was $12.8 million of total unrecognized compensation cost related to all unvested restricted stock units that is expected to be recognized over a weighted average remaining vesting/service period of 0.92 years.</w:t>
      </w:r>
    </w:p>
    <w:p>
      <w:pPr>
        <w:spacing w:after="0" w:line="140"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As of March 31, 2013, an aggregate of 4.0 million shares remain available for issuance pursuant to future awards under the Company's 2006 and 2009 Long-Term Incentive Plans.</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18" w:right="2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iStar Financial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firstLine="405"/>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2013 Activity</w:t>
      </w:r>
      <w:r>
        <w:rPr>
          <w:rFonts w:ascii="Times New Roman" w:cs="Times New Roman" w:eastAsia="Times New Roman" w:hAnsi="Times New Roman"/>
          <w:sz w:val="18"/>
          <w:szCs w:val="18"/>
          <w:color w:val="auto"/>
        </w:rPr>
        <w:t>—During the three months ended March 31, 2013, 2,401,141 restricted stock units vested, 1,359,948 net of statutory minimum required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tax withholdings. These vested restricted stock units were primarily comprised of 1,719,304 Amended Units which vested on January 1, 2013 (see below), 185,720 service-based restricted stock units granted to employees in February 2011 that cliff vested on February 11, 2013, 164,685 of annual incentive restricted stock units granted and vested to employees in February 2013 (see below) and 313,334 service-based restricted stock units granted to employees in March 2011 that cliff vested on March 20, 2013.</w:t>
      </w:r>
    </w:p>
    <w:p>
      <w:pPr>
        <w:spacing w:after="0" w:line="143"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During the quarter ended March 31, 2013, the Company made stock-based compensation awards to certain employees in the form of annual incentive awards and long-term incentive awards.</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Effective February 1, 2013, the Company granted 164,685 shares of our Common Stock in connection with annual incentive awards. The shares are fully-vested and were issued to certain employees, net of statutory minimum required tax withholdings. The employees are restricted from selling these shares for up to two years from the date of grant.</w:t>
      </w:r>
    </w:p>
    <w:p>
      <w:pPr>
        <w:spacing w:after="0" w:line="13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Effective February 1, 2013, the Company also granted 198,364 service-based restricted stock units, or Units, representing the right to receive an equivalent number of shares of our Common Stock (after deducting shares for minimum required statutory withholdings) if and when the Units vest. The Units will cliff vest in one installment three years from the grant date, if the employee remains employed by the Company on the vesting date, subject to certain accelerated vesting rights. Dividends will accrue but will not be paid unless and until the Units vest and are settled.</w:t>
      </w:r>
    </w:p>
    <w:p>
      <w:pPr>
        <w:spacing w:after="0" w:line="140"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Effective February 1, 2013, the Company also granted 97,901 target amount of performance-based Units, with vesting date on December 31, 2013, and 195,806 target amount of performance-based Units, with vesting date on December 31, 2014, based on the Company's total shareholder return, or TSR, measured over the one-year and two-year performance periods ending on the vesting dates, respectively. Vesting will range from 0% to 200% of the target amount of the awards, depending on the Company's TSR performance relative to the NAREIT All REITs Index (one-half of the target amount of the award) and the Russell 2000 Index (one-half of the target amount of the award). The Company and any companies not included in the index at the beginning and end of the performance period are excluded from calculation of the performance of such index. To the extent Units vest based on the Company's TSR performance, holders will receive an equivalent number of shares of our Common Stock (after deducting shares for minimum required statutory withholdings), if the employee remains employed by the Company on the vesting date, subject to certain accelerated vesting rights. Dividends will accrue but will not be paid unless and until the Units vest and are settled. The fair values of the performance-based Units, were determined by utilizing a Monte Carlo model to simulate a range of possible future stock prices for the Company's Common Stock. The assumptions used to estimate the fair value of these performance-based awards were 0.26% for risk-free interest rate and 50.44% for expected stock price volatility.</w:t>
      </w:r>
    </w:p>
    <w:p>
      <w:pPr>
        <w:spacing w:after="0" w:line="1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March 31, 2013, the Company had the following restricted stock awards outstanding:</w:t>
      </w:r>
    </w:p>
    <w:p>
      <w:pPr>
        <w:spacing w:after="0" w:line="185" w:lineRule="exact"/>
        <w:rPr>
          <w:sz w:val="20"/>
          <w:szCs w:val="20"/>
          <w:color w:val="auto"/>
        </w:rPr>
      </w:pPr>
    </w:p>
    <w:p>
      <w:pPr>
        <w:jc w:val="both"/>
        <w:ind w:left="660" w:hanging="247"/>
        <w:spacing w:after="0" w:line="261"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1,200,000 service-based restricted stock units granted to the Company's Chairman and Chief Executive Officer that will vest in two equal installments on June 15 of 2013 and 2014. Upon vesting of these units, the holder will receive shares of the Company's Common Stock in the amount of the vested units, net of statutory minimum required tax withholdings. These awards carry dividend equivalent rights that entitle the holder to receive dividend payments prior to vesting, if and when dividends are paid on shares of the Company's Common Stock.</w:t>
      </w:r>
    </w:p>
    <w:p>
      <w:pPr>
        <w:spacing w:after="0" w:line="139" w:lineRule="exact"/>
        <w:rPr>
          <w:rFonts w:ascii="Times New Roman" w:cs="Times New Roman" w:eastAsia="Times New Roman" w:hAnsi="Times New Roman"/>
          <w:sz w:val="18"/>
          <w:szCs w:val="18"/>
          <w:color w:val="auto"/>
        </w:rPr>
      </w:pPr>
    </w:p>
    <w:p>
      <w:pPr>
        <w:jc w:val="both"/>
        <w:ind w:left="660" w:hanging="247"/>
        <w:spacing w:after="0" w:line="255"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1,714,303 restricted stock units originally granted to executives and other officers of the Company on December 19, 2008 (the "Original Units") and subsequently modified in July 2011 (the "Amended Units"). The number of Amended Units is equal to 75% of the Original Units granted to an employee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in the case of each executive level employee, the number of restricted stock units granted to the executive in March 2011. The remaining Amended Units will vest on January 1, 2014, so long as the employee remains employed by the Company on the vesting dates, subject to certain accelerated vesting rights in the event of termination of employment without cause. Upon vesting of these units, holders will receive shares of the Company's Common Stock in the amount of the vested units, net of statutory minimum required tax withholdings. These awards carry dividend equivalent rights that entitle the holders to receive dividend payments prior to vesting, if and when dividends are paid on shares of the Company's Common Stock.</w:t>
      </w:r>
    </w:p>
    <w:p>
      <w:pPr>
        <w:spacing w:after="0" w:line="144" w:lineRule="exact"/>
        <w:rPr>
          <w:rFonts w:ascii="Times New Roman" w:cs="Times New Roman" w:eastAsia="Times New Roman" w:hAnsi="Times New Roman"/>
          <w:sz w:val="18"/>
          <w:szCs w:val="18"/>
          <w:color w:val="auto"/>
        </w:rPr>
      </w:pPr>
    </w:p>
    <w:p>
      <w:pPr>
        <w:jc w:val="both"/>
        <w:ind w:left="660" w:hanging="247"/>
        <w:spacing w:after="0" w:line="261"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140,331 service-based restricted stock units granted to employees with original vesting terms ranging from two years to three years. Upon vesting of these units, holders will receive shares of the Company's Common Stock in the amount of the vested units, net of statutory minimum required tax withholdings. These awards carry dividend equivalent rights that entitle the holders to receive dividend payments prior to vesting, if and when dividends are paid on shares of the Company's Common Stock.</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18" w:right="2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iStar Financial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Directors' Awards</w:t>
      </w:r>
      <w:r>
        <w:rPr>
          <w:rFonts w:ascii="Times New Roman" w:cs="Times New Roman" w:eastAsia="Times New Roman" w:hAnsi="Times New Roman"/>
          <w:sz w:val="18"/>
          <w:szCs w:val="18"/>
          <w:color w:val="auto"/>
        </w:rPr>
        <w:t>—During the three months ended March 31, 2013, the Company issued 51,091 shares to a former director in settlement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previously vested CSE awards. As of March 31, 2013, there were 333,660 CSEs and restricted shares granted to members of the Company's Board of Directors that remained outstanding with an aggregate intrinsic value of $3.6 million.</w:t>
      </w:r>
    </w:p>
    <w:p>
      <w:pPr>
        <w:spacing w:after="0" w:line="130" w:lineRule="exact"/>
        <w:rPr>
          <w:sz w:val="20"/>
          <w:szCs w:val="20"/>
          <w:color w:val="auto"/>
        </w:rPr>
      </w:pPr>
    </w:p>
    <w:p>
      <w:pPr>
        <w:jc w:val="both"/>
        <w:ind w:right="20"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401(k) Plan</w:t>
      </w:r>
      <w:r>
        <w:rPr>
          <w:rFonts w:ascii="Times New Roman" w:cs="Times New Roman" w:eastAsia="Times New Roman" w:hAnsi="Times New Roman"/>
          <w:sz w:val="18"/>
          <w:szCs w:val="18"/>
          <w:color w:val="auto"/>
        </w:rPr>
        <w:t>—The Company made gross contributions of approximately $0.5 million and $0.6 million for the three months ended March 31, 2013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2012, respectively.</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13—Earnings Per Share</w:t>
      </w:r>
    </w:p>
    <w:p>
      <w:pPr>
        <w:spacing w:after="0" w:line="18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EPS is calculated using the two-class method, which allocates earnings among common stock and participating securities to calculate EPS when an entity's capital structure includes either two or more classes of common stock or common stock and participating securities. HPU holders are current and former Company employees who purchased high performance common stock units under the Company's High Performance Unit (HPU) Program. These HPU units are treated as a separate class of common stock.</w:t>
      </w:r>
    </w:p>
    <w:p>
      <w:pPr>
        <w:spacing w:after="0" w:line="140"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income (loss) from continuing operations used in the basic and diluted earnings per share calculations ($ in thousands, except for per share data):</w:t>
      </w:r>
    </w:p>
    <w:p>
      <w:pPr>
        <w:spacing w:after="0" w:line="345" w:lineRule="exact"/>
        <w:rPr>
          <w:sz w:val="20"/>
          <w:szCs w:val="20"/>
          <w:color w:val="auto"/>
        </w:rPr>
      </w:pPr>
    </w:p>
    <w:tbl>
      <w:tblPr>
        <w:tblLayout w:type="fixed"/>
        <w:tblInd w:w="86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2012</w:t>
            </w:r>
          </w:p>
        </w:tc>
        <w:tc>
          <w:tcPr>
            <w:tcW w:w="0" w:type="dxa"/>
            <w:vAlign w:val="bottom"/>
          </w:tcPr>
          <w:p>
            <w:pPr>
              <w:spacing w:after="0"/>
              <w:rPr>
                <w:sz w:val="1"/>
                <w:szCs w:val="1"/>
                <w:color w:val="auto"/>
              </w:rPr>
            </w:pPr>
          </w:p>
        </w:tc>
      </w:tr>
      <w:tr>
        <w:trPr>
          <w:trHeight w:val="249"/>
        </w:trPr>
        <w:tc>
          <w:tcPr>
            <w:tcW w:w="6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(61,955)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(41,826)</w:t>
            </w:r>
          </w:p>
        </w:tc>
        <w:tc>
          <w:tcPr>
            <w:tcW w:w="0" w:type="dxa"/>
            <w:vAlign w:val="bottom"/>
          </w:tcPr>
          <w:p>
            <w:pPr>
              <w:spacing w:after="0"/>
              <w:rPr>
                <w:sz w:val="1"/>
                <w:szCs w:val="1"/>
                <w:color w:val="auto"/>
              </w:rPr>
            </w:pPr>
          </w:p>
        </w:tc>
      </w:tr>
      <w:tr>
        <w:trPr>
          <w:trHeight w:val="243"/>
        </w:trPr>
        <w:tc>
          <w:tcPr>
            <w:tcW w:w="6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18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sales of residential property</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23,697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6,733</w:t>
            </w:r>
          </w:p>
        </w:tc>
        <w:tc>
          <w:tcPr>
            <w:tcW w:w="0" w:type="dxa"/>
            <w:vAlign w:val="bottom"/>
          </w:tcPr>
          <w:p>
            <w:pPr>
              <w:spacing w:after="0"/>
              <w:rPr>
                <w:sz w:val="1"/>
                <w:szCs w:val="1"/>
                <w:color w:val="auto"/>
              </w:rPr>
            </w:pPr>
          </w:p>
        </w:tc>
      </w:tr>
      <w:tr>
        <w:trPr>
          <w:trHeight w:val="243"/>
        </w:trPr>
        <w:tc>
          <w:tcPr>
            <w:tcW w:w="6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Preferred dividends</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(10,580)</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6840" w:type="dxa"/>
            <w:vAlign w:val="bottom"/>
            <w:gridSpan w:val="2"/>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Income (loss) from continuing operations attributable to iStar Financial Inc. and allocable to</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(48,649)</w:t>
            </w:r>
          </w:p>
        </w:tc>
        <w:tc>
          <w:tcPr>
            <w:tcW w:w="120" w:type="dxa"/>
            <w:vAlign w:val="bottom"/>
            <w:shd w:val="clear" w:color="auto" w:fill="CCEEFF"/>
          </w:tcPr>
          <w:p>
            <w:pPr>
              <w:spacing w:after="0"/>
              <w:rPr>
                <w:sz w:val="17"/>
                <w:szCs w:val="17"/>
                <w:color w:val="auto"/>
              </w:rPr>
            </w:pPr>
          </w:p>
        </w:tc>
        <w:tc>
          <w:tcPr>
            <w:tcW w:w="32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(45,698)</w:t>
            </w:r>
          </w:p>
        </w:tc>
        <w:tc>
          <w:tcPr>
            <w:tcW w:w="0" w:type="dxa"/>
            <w:vAlign w:val="bottom"/>
          </w:tcPr>
          <w:p>
            <w:pPr>
              <w:spacing w:after="0"/>
              <w:rPr>
                <w:sz w:val="1"/>
                <w:szCs w:val="1"/>
                <w:color w:val="auto"/>
              </w:rPr>
            </w:pPr>
          </w:p>
        </w:tc>
      </w:tr>
      <w:tr>
        <w:trPr>
          <w:trHeight w:val="241"/>
        </w:trPr>
        <w:tc>
          <w:tcPr>
            <w:tcW w:w="6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shareholders, HPU holders and Participating Security Holders</w:t>
            </w: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40" w:type="dxa"/>
            <w:vAlign w:val="bottom"/>
            <w:vMerge w:val="restart"/>
          </w:tcPr>
          <w:p>
            <w:pPr>
              <w:ind w:left="476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2"/>
        </w:trPr>
        <w:tc>
          <w:tcPr>
            <w:tcW w:w="67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8"/>
          <w:szCs w:val="18"/>
          <w:b w:val="1"/>
          <w:bCs w:val="1"/>
          <w:color w:val="auto"/>
        </w:rPr>
        <w:t>iStar Financial Inc.</w:t>
      </w:r>
    </w:p>
    <w:p>
      <w:pPr>
        <w:spacing w:after="0" w:line="39"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840" w:type="dxa"/>
        <w:tblCellMar>
          <w:top w:w="0" w:type="dxa"/>
          <w:left w:w="0" w:type="dxa"/>
          <w:bottom w:w="0" w:type="dxa"/>
          <w:right w:w="0" w:type="dxa"/>
        </w:tblCellMar>
      </w:tblPr>
      <w:tr>
        <w:trPr>
          <w:trHeight w:val="195"/>
        </w:trPr>
        <w:tc>
          <w:tcPr>
            <w:tcW w:w="69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264"/>
        </w:trPr>
        <w:tc>
          <w:tcPr>
            <w:tcW w:w="69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2012</w:t>
            </w:r>
          </w:p>
        </w:tc>
        <w:tc>
          <w:tcPr>
            <w:tcW w:w="0" w:type="dxa"/>
            <w:vAlign w:val="bottom"/>
          </w:tcPr>
          <w:p>
            <w:pPr>
              <w:spacing w:after="0"/>
              <w:rPr>
                <w:sz w:val="1"/>
                <w:szCs w:val="1"/>
                <w:color w:val="auto"/>
              </w:rPr>
            </w:pPr>
          </w:p>
        </w:tc>
      </w:tr>
      <w:tr>
        <w:trPr>
          <w:trHeight w:val="249"/>
        </w:trPr>
        <w:tc>
          <w:tcPr>
            <w:tcW w:w="6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allocable to common shares: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Numerator for basic earnings per share:</w:t>
            </w: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 attributable to iStar Financial Inc. and allocable to</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6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shareholders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(47,074)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(44,197)</w:t>
            </w:r>
          </w:p>
        </w:tc>
        <w:tc>
          <w:tcPr>
            <w:tcW w:w="0" w:type="dxa"/>
            <w:vAlign w:val="bottom"/>
          </w:tcPr>
          <w:p>
            <w:pPr>
              <w:spacing w:after="0"/>
              <w:rPr>
                <w:sz w:val="1"/>
                <w:szCs w:val="1"/>
                <w:color w:val="auto"/>
              </w:rPr>
            </w:pPr>
          </w:p>
        </w:tc>
      </w:tr>
      <w:tr>
        <w:trPr>
          <w:trHeight w:val="243"/>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discontinued operations</w:t>
            </w:r>
          </w:p>
        </w:tc>
        <w:tc>
          <w:tcPr>
            <w:tcW w:w="1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930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(12,922)</w:t>
            </w: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from discontinued operations</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4,881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2,327</w:t>
            </w:r>
          </w:p>
        </w:tc>
        <w:tc>
          <w:tcPr>
            <w:tcW w:w="0" w:type="dxa"/>
            <w:vAlign w:val="bottom"/>
          </w:tcPr>
          <w:p>
            <w:pPr>
              <w:spacing w:after="0"/>
              <w:rPr>
                <w:sz w:val="1"/>
                <w:szCs w:val="1"/>
                <w:color w:val="auto"/>
              </w:rPr>
            </w:pPr>
          </w:p>
        </w:tc>
      </w:tr>
      <w:tr>
        <w:trPr>
          <w:trHeight w:val="297"/>
        </w:trPr>
        <w:tc>
          <w:tcPr>
            <w:tcW w:w="6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iStar Financial Inc. and allocable to common shareholders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(41,263)</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(54,792)</w:t>
            </w:r>
          </w:p>
        </w:tc>
        <w:tc>
          <w:tcPr>
            <w:tcW w:w="0" w:type="dxa"/>
            <w:vAlign w:val="bottom"/>
          </w:tcPr>
          <w:p>
            <w:pPr>
              <w:spacing w:after="0"/>
              <w:rPr>
                <w:sz w:val="1"/>
                <w:szCs w:val="1"/>
                <w:color w:val="auto"/>
              </w:rPr>
            </w:pPr>
          </w:p>
        </w:tc>
      </w:tr>
      <w:tr>
        <w:trPr>
          <w:trHeight w:val="237"/>
        </w:trPr>
        <w:tc>
          <w:tcPr>
            <w:tcW w:w="6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Numerator for diluted earnings per share:</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 attributable to iStar Financial Inc. and allocable to</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shareholders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(47,074)</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(44,197)</w:t>
            </w: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discontinued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930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(12,922)</w:t>
            </w:r>
          </w:p>
        </w:tc>
        <w:tc>
          <w:tcPr>
            <w:tcW w:w="0" w:type="dxa"/>
            <w:vAlign w:val="bottom"/>
          </w:tcPr>
          <w:p>
            <w:pPr>
              <w:spacing w:after="0"/>
              <w:rPr>
                <w:sz w:val="1"/>
                <w:szCs w:val="1"/>
                <w:color w:val="auto"/>
              </w:rPr>
            </w:pPr>
          </w:p>
        </w:tc>
      </w:tr>
      <w:tr>
        <w:trPr>
          <w:trHeight w:val="243"/>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from discontinued operations</w:t>
            </w:r>
          </w:p>
        </w:tc>
        <w:tc>
          <w:tcPr>
            <w:tcW w:w="1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4,881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2,327</w:t>
            </w:r>
          </w:p>
        </w:tc>
        <w:tc>
          <w:tcPr>
            <w:tcW w:w="0" w:type="dxa"/>
            <w:vAlign w:val="bottom"/>
          </w:tcPr>
          <w:p>
            <w:pPr>
              <w:spacing w:after="0"/>
              <w:rPr>
                <w:sz w:val="1"/>
                <w:szCs w:val="1"/>
                <w:color w:val="auto"/>
              </w:rPr>
            </w:pPr>
          </w:p>
        </w:tc>
      </w:tr>
      <w:tr>
        <w:trPr>
          <w:trHeight w:val="27"/>
        </w:trPr>
        <w:tc>
          <w:tcPr>
            <w:tcW w:w="6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iStar Financial Inc. and allocable to common shareholders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(41,263)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(54,792)</w:t>
            </w:r>
          </w:p>
        </w:tc>
        <w:tc>
          <w:tcPr>
            <w:tcW w:w="0" w:type="dxa"/>
            <w:vAlign w:val="bottom"/>
          </w:tcPr>
          <w:p>
            <w:pPr>
              <w:spacing w:after="0"/>
              <w:rPr>
                <w:sz w:val="1"/>
                <w:szCs w:val="1"/>
                <w:color w:val="auto"/>
              </w:rPr>
            </w:pPr>
          </w:p>
        </w:tc>
      </w:tr>
      <w:tr>
        <w:trPr>
          <w:trHeight w:val="20"/>
        </w:trPr>
        <w:tc>
          <w:tcPr>
            <w:tcW w:w="6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Denominator for basic and diluted earnings per share:</w:t>
            </w: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9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690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Weighted average common shares outstanding for basic and diluted earnings per common</w:t>
            </w:r>
          </w:p>
        </w:tc>
        <w:tc>
          <w:tcPr>
            <w:tcW w:w="16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84,824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83,556</w:t>
            </w:r>
          </w:p>
        </w:tc>
        <w:tc>
          <w:tcPr>
            <w:tcW w:w="0" w:type="dxa"/>
            <w:vAlign w:val="bottom"/>
          </w:tcPr>
          <w:p>
            <w:pPr>
              <w:spacing w:after="0"/>
              <w:rPr>
                <w:sz w:val="1"/>
                <w:szCs w:val="1"/>
                <w:color w:val="auto"/>
              </w:rPr>
            </w:pPr>
          </w:p>
        </w:tc>
      </w:tr>
      <w:tr>
        <w:trPr>
          <w:trHeight w:val="241"/>
        </w:trPr>
        <w:tc>
          <w:tcPr>
            <w:tcW w:w="6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w:t>
            </w:r>
          </w:p>
        </w:tc>
        <w:tc>
          <w:tcPr>
            <w:tcW w:w="1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per common share:</w:t>
            </w: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9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 attributable to iStar Financial Inc. and allocable to</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6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shareholders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0" w:type="dxa"/>
            <w:vAlign w:val="bottom"/>
          </w:tcPr>
          <w:p>
            <w:pPr>
              <w:spacing w:after="0"/>
              <w:rPr>
                <w:sz w:val="1"/>
                <w:szCs w:val="1"/>
                <w:color w:val="auto"/>
              </w:rPr>
            </w:pPr>
          </w:p>
        </w:tc>
      </w:tr>
      <w:tr>
        <w:trPr>
          <w:trHeight w:val="243"/>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discontinued operations</w:t>
            </w:r>
          </w:p>
        </w:tc>
        <w:tc>
          <w:tcPr>
            <w:tcW w:w="1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from discontinued operations</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97"/>
        </w:trPr>
        <w:tc>
          <w:tcPr>
            <w:tcW w:w="6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iStar Financial Inc. and allocable to common shareholders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0" w:type="dxa"/>
            <w:vAlign w:val="bottom"/>
          </w:tcPr>
          <w:p>
            <w:pPr>
              <w:spacing w:after="0"/>
              <w:rPr>
                <w:sz w:val="1"/>
                <w:szCs w:val="1"/>
                <w:color w:val="auto"/>
              </w:rPr>
            </w:pPr>
          </w:p>
        </w:tc>
      </w:tr>
      <w:tr>
        <w:trPr>
          <w:trHeight w:val="237"/>
        </w:trPr>
        <w:tc>
          <w:tcPr>
            <w:tcW w:w="6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common share:</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 attributable to iStar Financial Inc. and allocable to</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shareholders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discontinued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0" w:type="dxa"/>
            <w:vAlign w:val="bottom"/>
          </w:tcPr>
          <w:p>
            <w:pPr>
              <w:spacing w:after="0"/>
              <w:rPr>
                <w:sz w:val="1"/>
                <w:szCs w:val="1"/>
                <w:color w:val="auto"/>
              </w:rPr>
            </w:pPr>
          </w:p>
        </w:tc>
      </w:tr>
      <w:tr>
        <w:trPr>
          <w:trHeight w:val="243"/>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from discontinued operations</w:t>
            </w:r>
          </w:p>
        </w:tc>
        <w:tc>
          <w:tcPr>
            <w:tcW w:w="1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7"/>
        </w:trPr>
        <w:tc>
          <w:tcPr>
            <w:tcW w:w="6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iStar Financial Inc. and allocable to common shareholders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0" w:type="dxa"/>
            <w:vAlign w:val="bottom"/>
          </w:tcPr>
          <w:p>
            <w:pPr>
              <w:spacing w:after="0"/>
              <w:rPr>
                <w:sz w:val="1"/>
                <w:szCs w:val="1"/>
                <w:color w:val="auto"/>
              </w:rPr>
            </w:pPr>
          </w:p>
        </w:tc>
      </w:tr>
      <w:tr>
        <w:trPr>
          <w:trHeight w:val="20"/>
        </w:trPr>
        <w:tc>
          <w:tcPr>
            <w:tcW w:w="6900" w:type="dxa"/>
            <w:vAlign w:val="bottom"/>
            <w:vMerge w:val="restart"/>
          </w:tcPr>
          <w:p>
            <w:pPr>
              <w:ind w:left="4780"/>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2"/>
        </w:trPr>
        <w:tc>
          <w:tcPr>
            <w:tcW w:w="69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00"/>
          </w:cols>
          <w:pgMar w:left="240" w:top="118" w:right="10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8"/>
          <w:szCs w:val="18"/>
          <w:b w:val="1"/>
          <w:bCs w:val="1"/>
          <w:color w:val="auto"/>
        </w:rPr>
        <w:t>iStar Financial Inc.</w:t>
      </w:r>
    </w:p>
    <w:p>
      <w:pPr>
        <w:spacing w:after="0" w:line="39"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840" w:type="dxa"/>
        <w:tblCellMar>
          <w:top w:w="0" w:type="dxa"/>
          <w:left w:w="0" w:type="dxa"/>
          <w:bottom w:w="0" w:type="dxa"/>
          <w:right w:w="0" w:type="dxa"/>
        </w:tblCellMar>
      </w:tblPr>
      <w:tr>
        <w:trPr>
          <w:trHeight w:val="195"/>
        </w:trPr>
        <w:tc>
          <w:tcPr>
            <w:tcW w:w="69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264"/>
        </w:trPr>
        <w:tc>
          <w:tcPr>
            <w:tcW w:w="69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2012</w:t>
            </w:r>
          </w:p>
        </w:tc>
        <w:tc>
          <w:tcPr>
            <w:tcW w:w="0" w:type="dxa"/>
            <w:vAlign w:val="bottom"/>
          </w:tcPr>
          <w:p>
            <w:pPr>
              <w:spacing w:after="0"/>
              <w:rPr>
                <w:sz w:val="1"/>
                <w:szCs w:val="1"/>
                <w:color w:val="auto"/>
              </w:rPr>
            </w:pPr>
          </w:p>
        </w:tc>
      </w:tr>
      <w:tr>
        <w:trPr>
          <w:trHeight w:val="249"/>
        </w:trPr>
        <w:tc>
          <w:tcPr>
            <w:tcW w:w="6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allocable to High Performance Units: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Numerator for basic earnings per HPU share:</w:t>
            </w: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 attributable to iStar Financial Inc. and allocable to</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6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HPU holders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0" w:type="dxa"/>
            <w:vAlign w:val="bottom"/>
          </w:tcPr>
          <w:p>
            <w:pPr>
              <w:spacing w:after="0"/>
              <w:rPr>
                <w:sz w:val="1"/>
                <w:szCs w:val="1"/>
                <w:color w:val="auto"/>
              </w:rPr>
            </w:pPr>
          </w:p>
        </w:tc>
      </w:tr>
      <w:tr>
        <w:trPr>
          <w:trHeight w:val="243"/>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discontinued operations</w:t>
            </w:r>
          </w:p>
        </w:tc>
        <w:tc>
          <w:tcPr>
            <w:tcW w:w="1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from discontinued operations</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97"/>
        </w:trPr>
        <w:tc>
          <w:tcPr>
            <w:tcW w:w="6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iStar Financial Inc. and allocable to HPU holders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(1,381)</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(1,861)</w:t>
            </w:r>
          </w:p>
        </w:tc>
        <w:tc>
          <w:tcPr>
            <w:tcW w:w="0" w:type="dxa"/>
            <w:vAlign w:val="bottom"/>
          </w:tcPr>
          <w:p>
            <w:pPr>
              <w:spacing w:after="0"/>
              <w:rPr>
                <w:sz w:val="1"/>
                <w:szCs w:val="1"/>
                <w:color w:val="auto"/>
              </w:rPr>
            </w:pPr>
          </w:p>
        </w:tc>
      </w:tr>
      <w:tr>
        <w:trPr>
          <w:trHeight w:val="237"/>
        </w:trPr>
        <w:tc>
          <w:tcPr>
            <w:tcW w:w="6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Numerator for diluted earnings per HPU share:</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 attributable to iStar Financial Inc. and allocable to</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HPU holders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discontinued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0" w:type="dxa"/>
            <w:vAlign w:val="bottom"/>
          </w:tcPr>
          <w:p>
            <w:pPr>
              <w:spacing w:after="0"/>
              <w:rPr>
                <w:sz w:val="1"/>
                <w:szCs w:val="1"/>
                <w:color w:val="auto"/>
              </w:rPr>
            </w:pPr>
          </w:p>
        </w:tc>
      </w:tr>
      <w:tr>
        <w:trPr>
          <w:trHeight w:val="243"/>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from discontinued operations</w:t>
            </w:r>
          </w:p>
        </w:tc>
        <w:tc>
          <w:tcPr>
            <w:tcW w:w="1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7"/>
        </w:trPr>
        <w:tc>
          <w:tcPr>
            <w:tcW w:w="6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iStar Financial Inc. and allocable to HPU holders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w:t>
            </w:r>
          </w:p>
        </w:tc>
        <w:tc>
          <w:tcPr>
            <w:tcW w:w="0" w:type="dxa"/>
            <w:vAlign w:val="bottom"/>
          </w:tcPr>
          <w:p>
            <w:pPr>
              <w:spacing w:after="0"/>
              <w:rPr>
                <w:sz w:val="1"/>
                <w:szCs w:val="1"/>
                <w:color w:val="auto"/>
              </w:rPr>
            </w:pPr>
          </w:p>
        </w:tc>
      </w:tr>
      <w:tr>
        <w:trPr>
          <w:trHeight w:val="20"/>
        </w:trPr>
        <w:tc>
          <w:tcPr>
            <w:tcW w:w="6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Denominator for basic and diluted earnings per HPU share:</w:t>
            </w: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9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High Performance Units outstanding for basic and diluted earnings per</w:t>
            </w:r>
          </w:p>
        </w:tc>
        <w:tc>
          <w:tcPr>
            <w:tcW w:w="160" w:type="dxa"/>
            <w:vAlign w:val="bottom"/>
            <w:shd w:val="clear" w:color="auto" w:fill="CCEEFF"/>
          </w:tcPr>
          <w:p>
            <w:pPr>
              <w:spacing w:after="0"/>
              <w:rPr>
                <w:sz w:val="19"/>
                <w:szCs w:val="19"/>
                <w:color w:val="auto"/>
              </w:rPr>
            </w:pPr>
          </w:p>
        </w:tc>
        <w:tc>
          <w:tcPr>
            <w:tcW w:w="122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41"/>
        </w:trPr>
        <w:tc>
          <w:tcPr>
            <w:tcW w:w="6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w:t>
            </w:r>
          </w:p>
        </w:tc>
        <w:tc>
          <w:tcPr>
            <w:tcW w:w="1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per HPU share:</w:t>
            </w: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9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 attributable to iStar Financial Inc. and allocable to</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6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HPU holders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(100.07)</w:t>
            </w:r>
          </w:p>
        </w:tc>
        <w:tc>
          <w:tcPr>
            <w:tcW w:w="0" w:type="dxa"/>
            <w:vAlign w:val="bottom"/>
          </w:tcPr>
          <w:p>
            <w:pPr>
              <w:spacing w:after="0"/>
              <w:rPr>
                <w:sz w:val="1"/>
                <w:szCs w:val="1"/>
                <w:color w:val="auto"/>
              </w:rPr>
            </w:pPr>
          </w:p>
        </w:tc>
      </w:tr>
      <w:tr>
        <w:trPr>
          <w:trHeight w:val="243"/>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discontinued operations</w:t>
            </w:r>
          </w:p>
        </w:tc>
        <w:tc>
          <w:tcPr>
            <w:tcW w:w="1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(29.27)</w:t>
            </w: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from discontinued operations</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10.87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5.27</w:t>
            </w:r>
          </w:p>
        </w:tc>
        <w:tc>
          <w:tcPr>
            <w:tcW w:w="0" w:type="dxa"/>
            <w:vAlign w:val="bottom"/>
          </w:tcPr>
          <w:p>
            <w:pPr>
              <w:spacing w:after="0"/>
              <w:rPr>
                <w:sz w:val="1"/>
                <w:szCs w:val="1"/>
                <w:color w:val="auto"/>
              </w:rPr>
            </w:pPr>
          </w:p>
        </w:tc>
      </w:tr>
      <w:tr>
        <w:trPr>
          <w:trHeight w:val="297"/>
        </w:trPr>
        <w:tc>
          <w:tcPr>
            <w:tcW w:w="6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iStar Financial Inc. and allocable to HPU holders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(92.07)</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(124.07)</w:t>
            </w:r>
          </w:p>
        </w:tc>
        <w:tc>
          <w:tcPr>
            <w:tcW w:w="0" w:type="dxa"/>
            <w:vAlign w:val="bottom"/>
          </w:tcPr>
          <w:p>
            <w:pPr>
              <w:spacing w:after="0"/>
              <w:rPr>
                <w:sz w:val="1"/>
                <w:szCs w:val="1"/>
                <w:color w:val="auto"/>
              </w:rPr>
            </w:pPr>
          </w:p>
        </w:tc>
      </w:tr>
      <w:tr>
        <w:trPr>
          <w:trHeight w:val="237"/>
        </w:trPr>
        <w:tc>
          <w:tcPr>
            <w:tcW w:w="6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HPU share:</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 attributable to iStar Financial Inc. and allocable to</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HPU holders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(105.01)</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(100.07)</w:t>
            </w: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discontinued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(29.27)</w:t>
            </w:r>
          </w:p>
        </w:tc>
        <w:tc>
          <w:tcPr>
            <w:tcW w:w="0" w:type="dxa"/>
            <w:vAlign w:val="bottom"/>
          </w:tcPr>
          <w:p>
            <w:pPr>
              <w:spacing w:after="0"/>
              <w:rPr>
                <w:sz w:val="1"/>
                <w:szCs w:val="1"/>
                <w:color w:val="auto"/>
              </w:rPr>
            </w:pPr>
          </w:p>
        </w:tc>
      </w:tr>
      <w:tr>
        <w:trPr>
          <w:trHeight w:val="243"/>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from discontinued operations</w:t>
            </w:r>
          </w:p>
        </w:tc>
        <w:tc>
          <w:tcPr>
            <w:tcW w:w="1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10.87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5.27</w:t>
            </w:r>
          </w:p>
        </w:tc>
        <w:tc>
          <w:tcPr>
            <w:tcW w:w="0" w:type="dxa"/>
            <w:vAlign w:val="bottom"/>
          </w:tcPr>
          <w:p>
            <w:pPr>
              <w:spacing w:after="0"/>
              <w:rPr>
                <w:sz w:val="1"/>
                <w:szCs w:val="1"/>
                <w:color w:val="auto"/>
              </w:rPr>
            </w:pPr>
          </w:p>
        </w:tc>
      </w:tr>
      <w:tr>
        <w:trPr>
          <w:trHeight w:val="27"/>
        </w:trPr>
        <w:tc>
          <w:tcPr>
            <w:tcW w:w="6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iStar Financial Inc. and allocable to HPU holders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(124.07)</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the three months ended March 31, 2013 and 2012, the following shares were anti-dilutive ($ in thousands):</w:t>
      </w:r>
    </w:p>
    <w:p>
      <w:pPr>
        <w:spacing w:after="0" w:line="200" w:lineRule="exact"/>
        <w:rPr>
          <w:sz w:val="20"/>
          <w:szCs w:val="20"/>
          <w:color w:val="auto"/>
        </w:rPr>
      </w:pPr>
    </w:p>
    <w:p>
      <w:pPr>
        <w:spacing w:after="0" w:line="208" w:lineRule="exact"/>
        <w:rPr>
          <w:sz w:val="20"/>
          <w:szCs w:val="20"/>
          <w:color w:val="auto"/>
        </w:rPr>
      </w:pPr>
    </w:p>
    <w:tbl>
      <w:tblPr>
        <w:tblLayout w:type="fixed"/>
        <w:tblInd w:w="840" w:type="dxa"/>
        <w:tblCellMar>
          <w:top w:w="0" w:type="dxa"/>
          <w:left w:w="0" w:type="dxa"/>
          <w:bottom w:w="0" w:type="dxa"/>
          <w:right w:w="0" w:type="dxa"/>
        </w:tblCellMar>
      </w:tblPr>
      <w:tr>
        <w:trPr>
          <w:trHeight w:val="195"/>
        </w:trPr>
        <w:tc>
          <w:tcPr>
            <w:tcW w:w="40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2820" w:type="dxa"/>
            <w:vAlign w:val="bottom"/>
            <w:tcBorders>
              <w:bottom w:val="single" w:sz="8" w:color="auto"/>
            </w:tcBorders>
            <w:gridSpan w:val="3"/>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264"/>
        </w:trPr>
        <w:tc>
          <w:tcPr>
            <w:tcW w:w="4020" w:type="dxa"/>
            <w:vAlign w:val="bottom"/>
            <w:tcBorders>
              <w:bottom w:val="single" w:sz="8" w:color="CCEEFF"/>
            </w:tcBorders>
          </w:tcPr>
          <w:p>
            <w:pPr>
              <w:spacing w:after="0"/>
              <w:rPr>
                <w:sz w:val="22"/>
                <w:szCs w:val="22"/>
                <w:color w:val="auto"/>
              </w:rPr>
            </w:pPr>
          </w:p>
        </w:tc>
        <w:tc>
          <w:tcPr>
            <w:tcW w:w="29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249"/>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Joint venture shares</w:t>
            </w:r>
          </w:p>
        </w:tc>
        <w:tc>
          <w:tcPr>
            <w:tcW w:w="4280" w:type="dxa"/>
            <w:vAlign w:val="bottom"/>
            <w:tcBorders>
              <w:bottom w:val="single" w:sz="8" w:color="CCEEFF"/>
            </w:tcBorders>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298</w:t>
            </w:r>
          </w:p>
        </w:tc>
      </w:tr>
      <w:tr>
        <w:trPr>
          <w:trHeight w:val="243"/>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292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44</w:t>
            </w:r>
          </w:p>
        </w:tc>
      </w:tr>
      <w:tr>
        <w:trPr>
          <w:trHeight w:val="27"/>
        </w:trPr>
        <w:tc>
          <w:tcPr>
            <w:tcW w:w="40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 Senior convertible unsecured notes</w:t>
            </w:r>
          </w:p>
        </w:tc>
        <w:tc>
          <w:tcPr>
            <w:tcW w:w="4280" w:type="dxa"/>
            <w:vAlign w:val="bottom"/>
            <w:tcBorders>
              <w:bottom w:val="single" w:sz="8" w:color="CCEEFF"/>
            </w:tcBorders>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16,992</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J convertible perpetual preferred stock</w:t>
            </w:r>
          </w:p>
        </w:tc>
        <w:tc>
          <w:tcPr>
            <w:tcW w:w="428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15,635</w:t>
            </w:r>
          </w:p>
        </w:tc>
        <w:tc>
          <w:tcPr>
            <w:tcW w:w="10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662"/>
        </w:trPr>
        <w:tc>
          <w:tcPr>
            <w:tcW w:w="4020" w:type="dxa"/>
            <w:vAlign w:val="bottom"/>
          </w:tcPr>
          <w:p>
            <w:pPr>
              <w:spacing w:after="0"/>
              <w:rPr>
                <w:sz w:val="24"/>
                <w:szCs w:val="24"/>
                <w:color w:val="auto"/>
              </w:rPr>
            </w:pPr>
          </w:p>
        </w:tc>
        <w:tc>
          <w:tcPr>
            <w:tcW w:w="2920" w:type="dxa"/>
            <w:vAlign w:val="bottom"/>
          </w:tcPr>
          <w:p>
            <w:pPr>
              <w:jc w:val="right"/>
              <w:ind w:right="1890"/>
              <w:spacing w:after="0"/>
              <w:rPr>
                <w:sz w:val="20"/>
                <w:szCs w:val="20"/>
                <w:color w:val="auto"/>
              </w:rPr>
            </w:pPr>
            <w:r>
              <w:rPr>
                <w:rFonts w:ascii="Times New Roman" w:cs="Times New Roman" w:eastAsia="Times New Roman" w:hAnsi="Times New Roman"/>
                <w:sz w:val="18"/>
                <w:szCs w:val="18"/>
                <w:color w:val="auto"/>
              </w:rPr>
              <w:t>29</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0600"/>
          </w:cols>
          <w:pgMar w:left="240" w:top="118" w:right="10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iStar Financial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14—Fair Values</w:t>
      </w:r>
    </w:p>
    <w:p>
      <w:pPr>
        <w:spacing w:after="0" w:line="18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Fair value represents the price that would be received to sell an asset or paid to transfer a liability in an orderly transaction between market participants at the measurement date. The following fair value hierarchy prioritizes the inputs to be used in valuation techniques to measure fair value:</w:t>
      </w:r>
    </w:p>
    <w:p>
      <w:pPr>
        <w:spacing w:after="0" w:line="121" w:lineRule="exact"/>
        <w:rPr>
          <w:sz w:val="20"/>
          <w:szCs w:val="20"/>
          <w:color w:val="auto"/>
        </w:rPr>
      </w:pPr>
    </w:p>
    <w:p>
      <w:pPr>
        <w:ind w:left="660"/>
        <w:spacing w:after="0"/>
        <w:tabs>
          <w:tab w:leader="none" w:pos="142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7"/>
          <w:szCs w:val="17"/>
          <w:color w:val="auto"/>
        </w:rPr>
        <w:t>Unadjusted quoted prices in active markets that are accessible at the measurement date for identical, unrestricted assets or liabilities;</w:t>
      </w:r>
    </w:p>
    <w:p>
      <w:pPr>
        <w:spacing w:after="0" w:line="18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Level 2: Quoted prices in markets that are not active, or inputs which are observable, either directly or indirectly, for substantially the full term of the asset or liability; and</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Level 3: Prices or valuation techniques that require inputs that are both significant to the fair value measurement and unobservable (i.e., supported by little or no market activity).</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Certain of the Company's assets and liabilities are recorded at fair value either on a recurring or non-recurring basis. Assets required to be marked-to-market and reported at fair value every reporting period are classified as being valued on a recurring basis. Assets not required to be recorded at fair value every period may be recorded at fair value if a specific provision or other impairment is recorded within the period to mark the carrying value of the asset to market as of the reporting date. Such assets are classified as being valued on a non-recurring basis.</w:t>
      </w:r>
    </w:p>
    <w:p>
      <w:pPr>
        <w:spacing w:after="0" w:line="140"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fair value hierarchy table summarizes the Company's assets and liabilities recorded at fair value on a recurring and non-recurring basis by the above categories ($ in thousands):</w:t>
      </w:r>
    </w:p>
    <w:p>
      <w:pPr>
        <w:spacing w:after="0" w:line="345"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5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Fair Value Using</w:t>
            </w: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Quoted market</w:t>
            </w:r>
          </w:p>
        </w:tc>
        <w:tc>
          <w:tcPr>
            <w:tcW w:w="16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Significant other</w:t>
            </w:r>
          </w:p>
        </w:tc>
        <w:tc>
          <w:tcPr>
            <w:tcW w:w="220" w:type="dxa"/>
            <w:vAlign w:val="bottom"/>
          </w:tcPr>
          <w:p>
            <w:pPr>
              <w:spacing w:after="0"/>
              <w:rPr>
                <w:sz w:val="12"/>
                <w:szCs w:val="12"/>
                <w:color w:val="auto"/>
              </w:rPr>
            </w:pPr>
          </w:p>
        </w:tc>
        <w:tc>
          <w:tcPr>
            <w:tcW w:w="1240" w:type="dxa"/>
            <w:vAlign w:val="bottom"/>
          </w:tcPr>
          <w:p>
            <w:pPr>
              <w:jc w:val="center"/>
              <w:ind w:right="137"/>
              <w:spacing w:after="0" w:line="149"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16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20" w:type="dxa"/>
            <w:vAlign w:val="bottom"/>
          </w:tcPr>
          <w:p>
            <w:pPr>
              <w:spacing w:after="0"/>
              <w:rPr>
                <w:sz w:val="12"/>
                <w:szCs w:val="12"/>
                <w:color w:val="auto"/>
              </w:rPr>
            </w:pPr>
          </w:p>
        </w:tc>
        <w:tc>
          <w:tcPr>
            <w:tcW w:w="1240" w:type="dxa"/>
            <w:vAlign w:val="bottom"/>
          </w:tcPr>
          <w:p>
            <w:pPr>
              <w:jc w:val="center"/>
              <w:ind w:right="137"/>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2"/>
                <w:szCs w:val="12"/>
                <w:color w:val="auto"/>
              </w:rPr>
            </w:pPr>
          </w:p>
        </w:tc>
        <w:tc>
          <w:tcPr>
            <w:tcW w:w="14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16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20" w:type="dxa"/>
            <w:vAlign w:val="bottom"/>
          </w:tcPr>
          <w:p>
            <w:pPr>
              <w:spacing w:after="0"/>
              <w:rPr>
                <w:sz w:val="12"/>
                <w:szCs w:val="12"/>
                <w:color w:val="auto"/>
              </w:rPr>
            </w:pPr>
          </w:p>
        </w:tc>
        <w:tc>
          <w:tcPr>
            <w:tcW w:w="1240" w:type="dxa"/>
            <w:vAlign w:val="bottom"/>
          </w:tcPr>
          <w:p>
            <w:pPr>
              <w:jc w:val="center"/>
              <w:ind w:right="137"/>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95"/>
        </w:trPr>
        <w:tc>
          <w:tcPr>
            <w:tcW w:w="5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6"/>
                <w:szCs w:val="16"/>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6"/>
                <w:szCs w:val="16"/>
                <w:color w:val="auto"/>
              </w:rPr>
            </w:pPr>
          </w:p>
        </w:tc>
        <w:tc>
          <w:tcPr>
            <w:tcW w:w="124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49"/>
        </w:trPr>
        <w:tc>
          <w:tcPr>
            <w:tcW w:w="5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 of March 31, 2013</w:t>
            </w: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Recurring basis: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Derivative assets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10,522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10,522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Derivative liabilities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455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455</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Non-recurring basis: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Impaired loans(1)</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84,800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84,800</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 2012</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Recurring basis: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Derivative liabilities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3,435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3,435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Non-recurring basis: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Impaired loans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57,201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57,201</w:t>
            </w:r>
          </w:p>
        </w:tc>
        <w:tc>
          <w:tcPr>
            <w:tcW w:w="0" w:type="dxa"/>
            <w:vAlign w:val="bottom"/>
          </w:tcPr>
          <w:p>
            <w:pPr>
              <w:spacing w:after="0"/>
              <w:rPr>
                <w:sz w:val="1"/>
                <w:szCs w:val="1"/>
                <w:color w:val="auto"/>
              </w:rPr>
            </w:pPr>
          </w:p>
        </w:tc>
      </w:tr>
      <w:tr>
        <w:trPr>
          <w:trHeight w:val="243"/>
        </w:trPr>
        <w:tc>
          <w:tcPr>
            <w:tcW w:w="5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Impaired real estate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31,597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7,649</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23,948</w:t>
            </w:r>
          </w:p>
        </w:tc>
        <w:tc>
          <w:tcPr>
            <w:tcW w:w="0" w:type="dxa"/>
            <w:vAlign w:val="bottom"/>
          </w:tcPr>
          <w:p>
            <w:pPr>
              <w:spacing w:after="0"/>
              <w:rPr>
                <w:sz w:val="1"/>
                <w:szCs w:val="1"/>
                <w:color w:val="auto"/>
              </w:rPr>
            </w:pPr>
          </w:p>
        </w:tc>
      </w:tr>
    </w:tbl>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Explanatory Note: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120" w:lineRule="exact"/>
        <w:rPr>
          <w:sz w:val="20"/>
          <w:szCs w:val="20"/>
          <w:color w:val="auto"/>
        </w:rPr>
      </w:pPr>
    </w:p>
    <w:p>
      <w:pPr>
        <w:ind w:left="660" w:hanging="652"/>
        <w:spacing w:after="0" w:line="282" w:lineRule="auto"/>
        <w:tabs>
          <w:tab w:leader="none" w:pos="6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One loan with a value of $53.0 million was valued based on a letter of intent provided by the borrower, another loan with a value of $30.8 million was valued based on a trade offer in the market and the remaining loan with a value of $1.0 million was valued based on expected net auction proceeds, all of which the Company believes approximates fair value.</w:t>
      </w:r>
    </w:p>
    <w:p>
      <w:pPr>
        <w:spacing w:after="0" w:line="122" w:lineRule="exact"/>
        <w:rPr>
          <w:sz w:val="20"/>
          <w:szCs w:val="20"/>
          <w:color w:val="auto"/>
        </w:rPr>
      </w:pPr>
    </w:p>
    <w:p>
      <w:pPr>
        <w:jc w:val="both"/>
        <w:ind w:firstLine="405"/>
        <w:spacing w:after="0" w:line="259" w:lineRule="auto"/>
        <w:rPr>
          <w:sz w:val="20"/>
          <w:szCs w:val="20"/>
          <w:color w:val="auto"/>
        </w:rPr>
      </w:pPr>
      <w:r>
        <w:rPr>
          <w:rFonts w:ascii="Times New Roman" w:cs="Times New Roman" w:eastAsia="Times New Roman" w:hAnsi="Times New Roman"/>
          <w:sz w:val="18"/>
          <w:szCs w:val="18"/>
          <w:b w:val="1"/>
          <w:bCs w:val="1"/>
          <w:color w:val="auto"/>
        </w:rPr>
        <w:t>Fair values of financial instruments—</w:t>
      </w:r>
      <w:r>
        <w:rPr>
          <w:rFonts w:ascii="Times New Roman" w:cs="Times New Roman" w:eastAsia="Times New Roman" w:hAnsi="Times New Roman"/>
          <w:sz w:val="18"/>
          <w:szCs w:val="18"/>
          <w:color w:val="auto"/>
        </w:rPr>
        <w:t>The Company's estimated fair values of its loans receivable and debt obligations were $1.7 billion and $4.8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billion, respectively, as of March 31, 2013 and $1.9 billion and $4.9 billion, respectively, as of December 31, 2012. The carrying value of other financial instruments including cash and cash equivalents, restricted cash, accrued interest receivable and accounts payable, approximate the fair values of the instruments. Cash and cash equivalents and restricted cash values are considered Level 1 on the fair value hierarchy. The fair value of other financial instruments, including derivative assets and liabilities, are included in the previous fair value hierarchy table.</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118" w:right="2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iStar Financial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Given the nature of certain assets and liabilities, clearly determinable market based valuation inputs are often not available, therefore, these assets and liabilities are valued using internal valuation techniques. Subjectivity exists with respect to these internal valuation techniques, therefore, the fair values disclosed may not ultimately be realized by the Company if the assets were sold or the liabilities were settled with third parties. The methods the Company used to estimate the fair values presented in the three tables above are described more fully below for each type of asset and liability.</w:t>
      </w:r>
    </w:p>
    <w:p>
      <w:pPr>
        <w:spacing w:after="0" w:line="136"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b w:val="1"/>
          <w:bCs w:val="1"/>
          <w:color w:val="auto"/>
        </w:rPr>
        <w:t>Derivatives</w:t>
      </w:r>
      <w:r>
        <w:rPr>
          <w:rFonts w:ascii="Times New Roman" w:cs="Times New Roman" w:eastAsia="Times New Roman" w:hAnsi="Times New Roman"/>
          <w:sz w:val="18"/>
          <w:szCs w:val="18"/>
          <w:color w:val="auto"/>
        </w:rPr>
        <w:t>—The Company uses interest rate swaps and foreign currency derivatives to manage its interest rate and foreign currency risk.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valuation of these instruments is determined using discounted cash flow analysis on the expected cash flows of each derivative. This analysis reflects the contractual terms of the derivatives, including the period to maturity, and uses observable market-based inputs, including interest rate curves, foreign exchange rates, and implied volatilities. The Company incorporates credit valuation adjustments to appropriately reflect both its own non-performance risk and the respective counterparty's non-performance risk in the fair value measurements. In adjusting the fair value of its derivative contracts for the effect of non-performance risk, the Company has considered the impact of netting and any applicable credit enhancements, such as collateral postings, thresholds, mutual puts and guarantees. In addition, the Company measures derivative financial instruments subject to master netting agreements on a net basis. The Company has determined that the significant inputs used to value its derivatives fall within Level 2 of the fair value hierarchy.</w:t>
      </w:r>
    </w:p>
    <w:p>
      <w:pPr>
        <w:spacing w:after="0" w:line="14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b w:val="1"/>
          <w:bCs w:val="1"/>
          <w:color w:val="auto"/>
        </w:rPr>
        <w:t>Impaired loans</w:t>
      </w:r>
      <w:r>
        <w:rPr>
          <w:rFonts w:ascii="Times New Roman" w:cs="Times New Roman" w:eastAsia="Times New Roman" w:hAnsi="Times New Roman"/>
          <w:sz w:val="18"/>
          <w:szCs w:val="18"/>
          <w:color w:val="auto"/>
        </w:rPr>
        <w:t>—The Company's loans identified as being impaired are nearly all collateral dependent loans and are evaluated for impairment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comparing the estimated fair value of the underlying collateral, less costs to sell, to the carrying value of each loan. Due to the nature of the individual properties collateralizing the Company's loans, the Company generally uses a discounted cash flow methodology through internally developed valuation models to estimate the fair value of the collateral. This approach requires the Company to make judgments in respect to significant unobservable inputs, which may include discount rates, capitalization rates and the timing and amounts of estimated future cash flows. For income producing properties, cash flows generally include property revenues, operating costs and capital expenditures that are based on current observable market rates and estimates for market rate growth and occupancy levels. For other real estate, cash flows may include lot and unit sales that are based on current observable market rates and estimates for annual revenue growth, operating costs and costs of completion and the remaining inventory sell out periods. The Company will also consider market comparables if available. In more limited cases, the Company obtains external "as is" appraisals for loan collateral, generally when third party participations exist, and appraised values may be discounted when real estate markets rapidly deteriorate. The Company has determined that significant inputs used in its internal valuation models and appraisals fall within Level 3 of the fair value hierarchy.</w:t>
      </w:r>
    </w:p>
    <w:p>
      <w:pPr>
        <w:spacing w:after="0" w:line="143"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b w:val="1"/>
          <w:bCs w:val="1"/>
          <w:color w:val="auto"/>
        </w:rPr>
        <w:t>Impaired real estate</w:t>
      </w:r>
      <w:r>
        <w:rPr>
          <w:rFonts w:ascii="Times New Roman" w:cs="Times New Roman" w:eastAsia="Times New Roman" w:hAnsi="Times New Roman"/>
          <w:sz w:val="18"/>
          <w:szCs w:val="18"/>
          <w:color w:val="auto"/>
        </w:rPr>
        <w:t>—If the Company determines a real estate asset available and held for sale is impaired, it records an impairment charge to adjust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asset to its estimated fair market value less costs to sell. Due to the nature of individual real estate properties, the Company generally uses a discounted cash flow methodology through internally developed valuation models to estimate the fair value of the assets. This approach requires the Company to make judgments with respect to significant unobservable inputs, which may include discount rates, capitalization rates and the timing and amounts of estimated future cash flows. For income producing properties, cash flows generally include property revenues, operating costs and capital expenditures that are based on current observable market rates and estimates for market rate growth and occupancy levels. For other real estate, cash flows may include lot and unit sales that are based on current observable market rates and estimates for annual market rate growth, operating costs and costs of completion and the remaining inventory sell out periods. The Company will also consider market comparables if available. In more limited cases, the Company obtains external "as is" appraisals for real estate assets and appraised values may be discounted when real estate markets rapidly deteriorate. The Company has determined that significant inputs used in its internal valuation models and appraisals fall within Level 3 of the fair value hierarchy. Additionally, in certain cases, if the Company is under contract to sell an asset, it will mark the asset to the contracted sales price less costs to sell. The Company considers this to be a Level 2 input under the fair value hierarchy.</w:t>
      </w:r>
    </w:p>
    <w:p>
      <w:pPr>
        <w:spacing w:after="0" w:line="150" w:lineRule="exact"/>
        <w:rPr>
          <w:sz w:val="20"/>
          <w:szCs w:val="20"/>
          <w:color w:val="auto"/>
        </w:rPr>
      </w:pPr>
    </w:p>
    <w:p>
      <w:pPr>
        <w:jc w:val="both"/>
        <w:ind w:firstLine="405"/>
        <w:spacing w:after="0" w:line="262" w:lineRule="auto"/>
        <w:rPr>
          <w:sz w:val="20"/>
          <w:szCs w:val="20"/>
          <w:color w:val="auto"/>
        </w:rPr>
      </w:pPr>
      <w:r>
        <w:rPr>
          <w:rFonts w:ascii="Times New Roman" w:cs="Times New Roman" w:eastAsia="Times New Roman" w:hAnsi="Times New Roman"/>
          <w:sz w:val="18"/>
          <w:szCs w:val="18"/>
          <w:b w:val="1"/>
          <w:bCs w:val="1"/>
          <w:color w:val="auto"/>
        </w:rPr>
        <w:t>Loans receivable</w:t>
      </w:r>
      <w:r>
        <w:rPr>
          <w:rFonts w:ascii="Times New Roman" w:cs="Times New Roman" w:eastAsia="Times New Roman" w:hAnsi="Times New Roman"/>
          <w:sz w:val="18"/>
          <w:szCs w:val="18"/>
          <w:color w:val="auto"/>
        </w:rPr>
        <w:t>—The Company estimates the fair value of its performing loans using a discounted cash flow methodology. This method discounts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estimated future cash flows using rates management determines best reflect current market interest rates that would be offered for loans with similar characteristics and credit quality. The Company determined that the significant inputs used to value its loans and other lending investments fall within Level 3 of the fair value hierarchy.</w:t>
      </w:r>
    </w:p>
    <w:p>
      <w:pPr>
        <w:spacing w:after="0" w:line="136" w:lineRule="exact"/>
        <w:rPr>
          <w:sz w:val="20"/>
          <w:szCs w:val="20"/>
          <w:color w:val="auto"/>
        </w:rPr>
      </w:pPr>
    </w:p>
    <w:p>
      <w:pPr>
        <w:jc w:val="both"/>
        <w:ind w:firstLine="405"/>
        <w:spacing w:after="0" w:line="262" w:lineRule="auto"/>
        <w:rPr>
          <w:sz w:val="20"/>
          <w:szCs w:val="20"/>
          <w:color w:val="auto"/>
        </w:rPr>
      </w:pPr>
      <w:r>
        <w:rPr>
          <w:rFonts w:ascii="Times New Roman" w:cs="Times New Roman" w:eastAsia="Times New Roman" w:hAnsi="Times New Roman"/>
          <w:sz w:val="18"/>
          <w:szCs w:val="18"/>
          <w:b w:val="1"/>
          <w:bCs w:val="1"/>
          <w:color w:val="auto"/>
        </w:rPr>
        <w:t>Debt obligations, net</w:t>
      </w:r>
      <w:r>
        <w:rPr>
          <w:rFonts w:ascii="Times New Roman" w:cs="Times New Roman" w:eastAsia="Times New Roman" w:hAnsi="Times New Roman"/>
          <w:sz w:val="18"/>
          <w:szCs w:val="18"/>
          <w:color w:val="auto"/>
        </w:rPr>
        <w:t>—For debt obligations traded in secondary markets, the Company uses market quotes, to the extent they are available,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 fair value. For debt obligations not traded in secondary markets, the Company determines fair value using a discounted cash flow methodology, whereby contractual cash flows are discounted at rates that management determines best reflect current market interest rates that would be charged for debt with similar characteristics and credit quality.</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118" w:right="2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iStar Financial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determined that the inputs used to value its debt obligations under the discounted cash flow methodology fall within Level 3 of the fair value hierarchy.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15—Segment Reporting</w:t>
      </w:r>
    </w:p>
    <w:p>
      <w:pPr>
        <w:spacing w:after="0" w:line="18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Company has determined that it has four reportable segments based on how management reviews and manages its business. These reportable segments include: Real Estate Finance, Net Leasing, Operating Properties and Land. The Real Estate Finance segment includes all of the Company's activities related to senior and mezzanine real estate loans. The Net Leasing segment includes all of the Company's activities related to the ownership and leasing of corporate facilities. The Operating Properties segment includes all of the Company's activities and operations related to its commercial and residential properties. The Land segment includes the Company's activities related to its developable land portfolio.</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118" w:right="2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iStar Financial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80" w:firstLine="405"/>
        <w:spacing w:after="0" w:line="282" w:lineRule="auto"/>
        <w:rPr>
          <w:sz w:val="20"/>
          <w:szCs w:val="20"/>
          <w:color w:val="auto"/>
        </w:rPr>
      </w:pPr>
      <w:r>
        <w:rPr>
          <w:rFonts w:ascii="Times New Roman" w:cs="Times New Roman" w:eastAsia="Times New Roman" w:hAnsi="Times New Roman"/>
          <w:sz w:val="18"/>
          <w:szCs w:val="18"/>
          <w:color w:val="auto"/>
        </w:rPr>
        <w:t>The Company evaluates performance based on the following financial measures for each segment, and has conformed the prior periods presentation for the change in composition of its business segments, ($ in thousands):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220" w:type="dxa"/>
            <w:vAlign w:val="bottom"/>
          </w:tcPr>
          <w:p>
            <w:pPr>
              <w:spacing w:after="0"/>
              <w:rPr>
                <w:sz w:val="13"/>
                <w:szCs w:val="13"/>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Net</w:t>
            </w:r>
          </w:p>
        </w:tc>
        <w:tc>
          <w:tcPr>
            <w:tcW w:w="180" w:type="dxa"/>
            <w:vAlign w:val="bottom"/>
          </w:tcPr>
          <w:p>
            <w:pPr>
              <w:spacing w:after="0"/>
              <w:rPr>
                <w:sz w:val="13"/>
                <w:szCs w:val="13"/>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300" w:type="dxa"/>
            <w:vAlign w:val="bottom"/>
          </w:tcPr>
          <w:p>
            <w:pPr>
              <w:spacing w:after="0"/>
              <w:rPr>
                <w:sz w:val="13"/>
                <w:szCs w:val="13"/>
                <w:color w:val="auto"/>
              </w:rPr>
            </w:pPr>
          </w:p>
        </w:tc>
        <w:tc>
          <w:tcPr>
            <w:tcW w:w="10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Land</w:t>
            </w:r>
          </w:p>
        </w:tc>
        <w:tc>
          <w:tcPr>
            <w:tcW w:w="180" w:type="dxa"/>
            <w:vAlign w:val="bottom"/>
          </w:tcPr>
          <w:p>
            <w:pPr>
              <w:spacing w:after="0"/>
              <w:rPr>
                <w:sz w:val="13"/>
                <w:szCs w:val="13"/>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00" w:type="dxa"/>
            <w:vAlign w:val="bottom"/>
          </w:tcPr>
          <w:p>
            <w:pPr>
              <w:spacing w:after="0"/>
              <w:rPr>
                <w:sz w:val="13"/>
                <w:szCs w:val="13"/>
                <w:color w:val="auto"/>
              </w:rPr>
            </w:pPr>
          </w:p>
        </w:tc>
        <w:tc>
          <w:tcPr>
            <w:tcW w:w="104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0" w:type="dxa"/>
            <w:vAlign w:val="bottom"/>
          </w:tcPr>
          <w:p>
            <w:pPr>
              <w:spacing w:after="0"/>
              <w:rPr>
                <w:sz w:val="1"/>
                <w:szCs w:val="1"/>
                <w:color w:val="auto"/>
              </w:rPr>
            </w:pPr>
          </w:p>
        </w:tc>
      </w:tr>
      <w:tr>
        <w:trPr>
          <w:trHeight w:val="195"/>
        </w:trPr>
        <w:tc>
          <w:tcPr>
            <w:tcW w:w="3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220" w:type="dxa"/>
            <w:vAlign w:val="bottom"/>
          </w:tcPr>
          <w:p>
            <w:pPr>
              <w:spacing w:after="0"/>
              <w:rPr>
                <w:sz w:val="16"/>
                <w:szCs w:val="16"/>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Leasing</w:t>
            </w: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3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Other(1)</w:t>
            </w:r>
          </w:p>
        </w:tc>
        <w:tc>
          <w:tcPr>
            <w:tcW w:w="200" w:type="dxa"/>
            <w:vAlign w:val="bottom"/>
          </w:tcPr>
          <w:p>
            <w:pPr>
              <w:spacing w:after="0"/>
              <w:rPr>
                <w:sz w:val="16"/>
                <w:szCs w:val="16"/>
                <w:color w:val="auto"/>
              </w:rPr>
            </w:pPr>
          </w:p>
        </w:tc>
        <w:tc>
          <w:tcPr>
            <w:tcW w:w="104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49"/>
        </w:trPr>
        <w:tc>
          <w:tcPr>
            <w:tcW w:w="3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2013</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lease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37,109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21,364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58,473</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24,667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24,667</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income</w:t>
            </w:r>
          </w:p>
        </w:tc>
        <w:tc>
          <w:tcPr>
            <w:tcW w:w="18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2,208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8,112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573</w:t>
            </w:r>
          </w:p>
        </w:tc>
        <w:tc>
          <w:tcPr>
            <w:tcW w:w="14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11,393</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26,875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37,109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29,476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573</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94,533</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Earnings (loss) from equity method investments</w:t>
            </w:r>
          </w:p>
        </w:tc>
        <w:tc>
          <w:tcPr>
            <w:tcW w:w="1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2,657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19,914</w:t>
            </w:r>
          </w:p>
        </w:tc>
        <w:tc>
          <w:tcPr>
            <w:tcW w:w="14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21,678</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from sales of residential property</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23,697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23,697</w:t>
            </w:r>
          </w:p>
        </w:tc>
        <w:tc>
          <w:tcPr>
            <w:tcW w:w="0" w:type="dxa"/>
            <w:vAlign w:val="bottom"/>
          </w:tcPr>
          <w:p>
            <w:pPr>
              <w:spacing w:after="0"/>
              <w:rPr>
                <w:sz w:val="1"/>
                <w:szCs w:val="1"/>
                <w:color w:val="auto"/>
              </w:rPr>
            </w:pPr>
          </w:p>
        </w:tc>
      </w:tr>
      <w:tr>
        <w:trPr>
          <w:trHeight w:val="225"/>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operating income from discontinued</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operations(2)</w:t>
            </w: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734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0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994</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Gain from discontinued operations</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5,015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5,044</w:t>
            </w:r>
          </w:p>
        </w:tc>
        <w:tc>
          <w:tcPr>
            <w:tcW w:w="0" w:type="dxa"/>
            <w:vAlign w:val="bottom"/>
          </w:tcPr>
          <w:p>
            <w:pPr>
              <w:spacing w:after="0"/>
              <w:rPr>
                <w:sz w:val="1"/>
                <w:szCs w:val="1"/>
                <w:color w:val="auto"/>
              </w:rPr>
            </w:pPr>
          </w:p>
        </w:tc>
      </w:tr>
      <w:tr>
        <w:trPr>
          <w:trHeight w:val="237"/>
        </w:trPr>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Revenue and other earnings</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26,875</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38,084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61,579</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20,487</w:t>
            </w:r>
          </w:p>
        </w:tc>
        <w:tc>
          <w:tcPr>
            <w:tcW w:w="140" w:type="dxa"/>
            <w:vAlign w:val="bottom"/>
            <w:tcBorders>
              <w:right w:val="single" w:sz="8" w:color="auto"/>
            </w:tcBorders>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145,946</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Real estate expense</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(37,916)</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expense</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(4,181)</w:t>
            </w:r>
          </w:p>
        </w:tc>
        <w:tc>
          <w:tcPr>
            <w:tcW w:w="14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(5,625)</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 expenses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(25,736)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(4,181)</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(43,541)</w:t>
            </w:r>
          </w:p>
        </w:tc>
        <w:tc>
          <w:tcPr>
            <w:tcW w:w="0" w:type="dxa"/>
            <w:vAlign w:val="bottom"/>
          </w:tcPr>
          <w:p>
            <w:pPr>
              <w:spacing w:after="0"/>
              <w:rPr>
                <w:sz w:val="1"/>
                <w:szCs w:val="1"/>
                <w:color w:val="auto"/>
              </w:rPr>
            </w:pPr>
          </w:p>
        </w:tc>
      </w:tr>
      <w:tr>
        <w:trPr>
          <w:trHeight w:val="237"/>
        </w:trPr>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 segment profit (loss)</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25,431</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32,407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35,843</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16,306</w:t>
            </w:r>
          </w:p>
        </w:tc>
        <w:tc>
          <w:tcPr>
            <w:tcW w:w="140" w:type="dxa"/>
            <w:vAlign w:val="bottom"/>
            <w:tcBorders>
              <w:right w:val="single" w:sz="8" w:color="auto"/>
            </w:tcBorders>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102,405</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Allocated interest expense(3)</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(6,959)</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(71,566)</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Allocated general and administrative(4)</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(6,440)</w:t>
            </w:r>
          </w:p>
        </w:tc>
        <w:tc>
          <w:tcPr>
            <w:tcW w:w="14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(16,646)</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Segment profit (loss)(5)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2,405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8,610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18,990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2,907</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14,193</w:t>
            </w:r>
          </w:p>
        </w:tc>
        <w:tc>
          <w:tcPr>
            <w:tcW w:w="0" w:type="dxa"/>
            <w:vAlign w:val="bottom"/>
          </w:tcPr>
          <w:p>
            <w:pPr>
              <w:spacing w:after="0"/>
              <w:rPr>
                <w:sz w:val="1"/>
                <w:szCs w:val="1"/>
                <w:color w:val="auto"/>
              </w:rPr>
            </w:pPr>
          </w:p>
        </w:tc>
      </w:tr>
      <w:tr>
        <w:trPr>
          <w:trHeight w:val="20"/>
        </w:trPr>
        <w:tc>
          <w:tcPr>
            <w:tcW w:w="37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Other significant non-cash items:</w:t>
            </w: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78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Provision for loan losses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10,206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10,206</w:t>
            </w:r>
          </w:p>
        </w:tc>
        <w:tc>
          <w:tcPr>
            <w:tcW w:w="0" w:type="dxa"/>
            <w:vAlign w:val="bottom"/>
          </w:tcPr>
          <w:p>
            <w:pPr>
              <w:spacing w:after="0"/>
              <w:rPr>
                <w:sz w:val="1"/>
                <w:szCs w:val="1"/>
                <w:color w:val="auto"/>
              </w:rPr>
            </w:pPr>
          </w:p>
        </w:tc>
      </w:tr>
      <w:tr>
        <w:trPr>
          <w:trHeight w:val="243"/>
        </w:trPr>
        <w:tc>
          <w:tcPr>
            <w:tcW w:w="3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Impairment of assets(3)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9,642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7,206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342</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17,454</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Capitalized expenditures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3,766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4,921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7,627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16,314</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 of March 31, 2013</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Real estate</w:t>
            </w: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Real estate, at cost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1,627,279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769,708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793,356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3,190,343</w:t>
            </w:r>
          </w:p>
        </w:tc>
        <w:tc>
          <w:tcPr>
            <w:tcW w:w="0" w:type="dxa"/>
            <w:vAlign w:val="bottom"/>
          </w:tcPr>
          <w:p>
            <w:pPr>
              <w:spacing w:after="0"/>
              <w:rPr>
                <w:sz w:val="1"/>
                <w:szCs w:val="1"/>
                <w:color w:val="auto"/>
              </w:rPr>
            </w:pPr>
          </w:p>
        </w:tc>
      </w:tr>
      <w:tr>
        <w:trPr>
          <w:trHeight w:val="243"/>
        </w:trPr>
        <w:tc>
          <w:tcPr>
            <w:tcW w:w="3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(318,479)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(84,504)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(405,539)</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Real estate, net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1,308,800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685,204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790,800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2,784,804</w:t>
            </w:r>
          </w:p>
        </w:tc>
        <w:tc>
          <w:tcPr>
            <w:tcW w:w="0" w:type="dxa"/>
            <w:vAlign w:val="bottom"/>
          </w:tcPr>
          <w:p>
            <w:pPr>
              <w:spacing w:after="0"/>
              <w:rPr>
                <w:sz w:val="1"/>
                <w:szCs w:val="1"/>
                <w:color w:val="auto"/>
              </w:rPr>
            </w:pPr>
          </w:p>
        </w:tc>
      </w:tr>
      <w:tr>
        <w:trPr>
          <w:trHeight w:val="243"/>
        </w:trPr>
        <w:tc>
          <w:tcPr>
            <w:tcW w:w="3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Real estate available and held for sale</w:t>
            </w:r>
          </w:p>
        </w:tc>
        <w:tc>
          <w:tcPr>
            <w:tcW w:w="1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9,766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409,579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179,716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599,061</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real estate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1,318,566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1,094,783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970,516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3,383,865</w:t>
            </w: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Loans receivable, net</w:t>
            </w:r>
          </w:p>
        </w:tc>
        <w:tc>
          <w:tcPr>
            <w:tcW w:w="18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1,582,656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0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1,582,656</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investments</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16,397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20,308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3,854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363,200</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403,759</w:t>
            </w:r>
          </w:p>
        </w:tc>
        <w:tc>
          <w:tcPr>
            <w:tcW w:w="0" w:type="dxa"/>
            <w:vAlign w:val="bottom"/>
          </w:tcPr>
          <w:p>
            <w:pPr>
              <w:spacing w:after="0"/>
              <w:rPr>
                <w:sz w:val="1"/>
                <w:szCs w:val="1"/>
                <w:color w:val="auto"/>
              </w:rPr>
            </w:pPr>
          </w:p>
        </w:tc>
      </w:tr>
      <w:tr>
        <w:trPr>
          <w:trHeight w:val="297"/>
        </w:trPr>
        <w:tc>
          <w:tcPr>
            <w:tcW w:w="37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Total portfolio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1,582,656</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1,334,963</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1,115,091</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974,370</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363,200</w:t>
            </w:r>
          </w:p>
        </w:tc>
        <w:tc>
          <w:tcPr>
            <w:tcW w:w="140" w:type="dxa"/>
            <w:vAlign w:val="bottom"/>
            <w:tcBorders>
              <w:bottom w:val="single" w:sz="8" w:color="CCEEFF"/>
              <w:right w:val="single" w:sz="8" w:color="auto"/>
            </w:tcBorders>
          </w:tcPr>
          <w:p>
            <w:pPr>
              <w:spacing w:after="0"/>
              <w:rPr>
                <w:sz w:val="24"/>
                <w:szCs w:val="24"/>
                <w:color w:val="auto"/>
              </w:rPr>
            </w:pPr>
          </w:p>
        </w:tc>
        <w:tc>
          <w:tcPr>
            <w:tcW w:w="200" w:type="dxa"/>
            <w:vAlign w:val="bottom"/>
            <w:tcBorders>
              <w:top w:val="single" w:sz="8" w:color="auto"/>
              <w:bottom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CCEEFF"/>
            </w:tcBorders>
          </w:tcPr>
          <w:p>
            <w:pPr>
              <w:jc w:val="right"/>
              <w:ind w:right="11"/>
              <w:spacing w:after="0"/>
              <w:rPr>
                <w:sz w:val="20"/>
                <w:szCs w:val="20"/>
                <w:color w:val="auto"/>
              </w:rPr>
            </w:pPr>
            <w:r>
              <w:rPr>
                <w:rFonts w:ascii="Times New Roman" w:cs="Times New Roman" w:eastAsia="Times New Roman" w:hAnsi="Times New Roman"/>
                <w:sz w:val="18"/>
                <w:szCs w:val="18"/>
                <w:color w:val="auto"/>
              </w:rPr>
              <w:t>5,370,280</w:t>
            </w:r>
          </w:p>
        </w:tc>
        <w:tc>
          <w:tcPr>
            <w:tcW w:w="0" w:type="dxa"/>
            <w:vAlign w:val="bottom"/>
          </w:tcPr>
          <w:p>
            <w:pPr>
              <w:spacing w:after="0"/>
              <w:rPr>
                <w:sz w:val="1"/>
                <w:szCs w:val="1"/>
                <w:color w:val="auto"/>
              </w:rPr>
            </w:pPr>
          </w:p>
        </w:tc>
      </w:tr>
      <w:tr>
        <w:trPr>
          <w:trHeight w:val="257"/>
        </w:trPr>
        <w:tc>
          <w:tcPr>
            <w:tcW w:w="3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other assets</w:t>
            </w:r>
          </w:p>
        </w:tc>
        <w:tc>
          <w:tcPr>
            <w:tcW w:w="1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706,838</w:t>
            </w:r>
          </w:p>
        </w:tc>
        <w:tc>
          <w:tcPr>
            <w:tcW w:w="0" w:type="dxa"/>
            <w:vAlign w:val="bottom"/>
          </w:tcPr>
          <w:p>
            <w:pPr>
              <w:spacing w:after="0"/>
              <w:rPr>
                <w:sz w:val="1"/>
                <w:szCs w:val="1"/>
                <w:color w:val="auto"/>
              </w:rPr>
            </w:pPr>
          </w:p>
        </w:tc>
      </w:tr>
      <w:tr>
        <w:trPr>
          <w:trHeight w:val="257"/>
        </w:trPr>
        <w:tc>
          <w:tcPr>
            <w:tcW w:w="3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6,077,118</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vMerge w:val="restart"/>
          </w:tcPr>
          <w:p>
            <w:pPr>
              <w:jc w:val="right"/>
              <w:ind w:right="311"/>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2"/>
        </w:trPr>
        <w:tc>
          <w:tcPr>
            <w:tcW w:w="3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iStar Financial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22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Net</w:t>
            </w:r>
          </w:p>
        </w:tc>
        <w:tc>
          <w:tcPr>
            <w:tcW w:w="1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300" w:type="dxa"/>
            <w:vAlign w:val="bottom"/>
            <w:shd w:val="clear" w:color="auto" w:fill="CCEEFF"/>
          </w:tcPr>
          <w:p>
            <w:pPr>
              <w:spacing w:after="0"/>
              <w:rPr>
                <w:sz w:val="13"/>
                <w:szCs w:val="13"/>
                <w:color w:val="auto"/>
              </w:rPr>
            </w:pPr>
          </w:p>
        </w:tc>
        <w:tc>
          <w:tcPr>
            <w:tcW w:w="106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Land</w:t>
            </w:r>
          </w:p>
        </w:tc>
        <w:tc>
          <w:tcPr>
            <w:tcW w:w="240" w:type="dxa"/>
            <w:vAlign w:val="bottom"/>
            <w:shd w:val="clear" w:color="auto" w:fill="CCEEFF"/>
          </w:tcPr>
          <w:p>
            <w:pPr>
              <w:spacing w:after="0"/>
              <w:rPr>
                <w:sz w:val="13"/>
                <w:szCs w:val="13"/>
                <w:color w:val="auto"/>
              </w:rPr>
            </w:pPr>
          </w:p>
        </w:tc>
        <w:tc>
          <w:tcPr>
            <w:tcW w:w="1040" w:type="dxa"/>
            <w:vAlign w:val="bottom"/>
            <w:tcBorders>
              <w:right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0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0" w:type="dxa"/>
            <w:vAlign w:val="bottom"/>
          </w:tcPr>
          <w:p>
            <w:pPr>
              <w:spacing w:after="0"/>
              <w:rPr>
                <w:sz w:val="1"/>
                <w:szCs w:val="1"/>
                <w:color w:val="auto"/>
              </w:rPr>
            </w:pPr>
          </w:p>
        </w:tc>
      </w:tr>
      <w:tr>
        <w:trPr>
          <w:trHeight w:val="200"/>
        </w:trPr>
        <w:tc>
          <w:tcPr>
            <w:tcW w:w="3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Leasing</w:t>
            </w: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300" w:type="dxa"/>
            <w:vAlign w:val="bottom"/>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Other(1)</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2012</w:t>
            </w: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37,237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15,886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53,123</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Pr>
          <w:p>
            <w:pPr>
              <w:spacing w:after="0"/>
              <w:rPr>
                <w:sz w:val="21"/>
                <w:szCs w:val="21"/>
                <w:color w:val="auto"/>
              </w:rPr>
            </w:pPr>
          </w:p>
        </w:tc>
        <w:tc>
          <w:tcPr>
            <w:tcW w:w="9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37,203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4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37,203</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8,883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1,806</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10,756</w:t>
            </w:r>
          </w:p>
        </w:tc>
        <w:tc>
          <w:tcPr>
            <w:tcW w:w="0" w:type="dxa"/>
            <w:vAlign w:val="bottom"/>
          </w:tcPr>
          <w:p>
            <w:pPr>
              <w:spacing w:after="0"/>
              <w:rPr>
                <w:sz w:val="1"/>
                <w:szCs w:val="1"/>
                <w:color w:val="auto"/>
              </w:rPr>
            </w:pPr>
          </w:p>
        </w:tc>
      </w:tr>
      <w:tr>
        <w:trPr>
          <w:trHeight w:val="237"/>
        </w:trPr>
        <w:tc>
          <w:tcPr>
            <w:tcW w:w="3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37,270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37,237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24,769</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1,806</w:t>
            </w:r>
          </w:p>
        </w:tc>
        <w:tc>
          <w:tcPr>
            <w:tcW w:w="140" w:type="dxa"/>
            <w:vAlign w:val="bottom"/>
            <w:tcBorders>
              <w:right w:val="single" w:sz="8" w:color="auto"/>
            </w:tcBorders>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101,082</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Earnings (loss) from equity method investments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7,676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28,016</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34,786</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from sales of residential property</w:t>
            </w:r>
          </w:p>
        </w:tc>
        <w:tc>
          <w:tcPr>
            <w:tcW w:w="22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6,733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4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6,733</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operating income from discontinued</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operations(2)</w:t>
            </w: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3,348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3,784</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Gain from discontinued operations</w:t>
            </w:r>
          </w:p>
        </w:tc>
        <w:tc>
          <w:tcPr>
            <w:tcW w:w="22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4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2,406</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 and other earnings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37,270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43,637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39,614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29,822</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148,791</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Real estate expense</w:t>
            </w:r>
          </w:p>
        </w:tc>
        <w:tc>
          <w:tcPr>
            <w:tcW w:w="22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(35,068)</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expense</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462</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0" w:type="dxa"/>
            <w:vAlign w:val="bottom"/>
          </w:tcPr>
          <w:p>
            <w:pPr>
              <w:spacing w:after="0"/>
              <w:rPr>
                <w:sz w:val="1"/>
                <w:szCs w:val="1"/>
                <w:color w:val="auto"/>
              </w:rPr>
            </w:pPr>
          </w:p>
        </w:tc>
      </w:tr>
      <w:tr>
        <w:trPr>
          <w:trHeight w:val="237"/>
        </w:trPr>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 expenses</w:t>
            </w: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(25,730)</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(4,194)</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462</w:t>
            </w:r>
          </w:p>
        </w:tc>
        <w:tc>
          <w:tcPr>
            <w:tcW w:w="140" w:type="dxa"/>
            <w:vAlign w:val="bottom"/>
            <w:tcBorders>
              <w:right w:val="single" w:sz="8" w:color="auto"/>
            </w:tcBorders>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(35,521)</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 segment profit (loss)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36,355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38,493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13,884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30,284</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113,270</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Allocated interest expense(3)</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(7,741)</w:t>
            </w:r>
          </w:p>
        </w:tc>
        <w:tc>
          <w:tcPr>
            <w:tcW w:w="14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(86,143)</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Allocated general and administrative(4)</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(6,836)</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(18,179)</w:t>
            </w:r>
          </w:p>
        </w:tc>
        <w:tc>
          <w:tcPr>
            <w:tcW w:w="0" w:type="dxa"/>
            <w:vAlign w:val="bottom"/>
          </w:tcPr>
          <w:p>
            <w:pPr>
              <w:spacing w:after="0"/>
              <w:rPr>
                <w:sz w:val="1"/>
                <w:szCs w:val="1"/>
                <w:color w:val="auto"/>
              </w:rPr>
            </w:pPr>
          </w:p>
        </w:tc>
      </w:tr>
      <w:tr>
        <w:trPr>
          <w:trHeight w:val="297"/>
        </w:trPr>
        <w:tc>
          <w:tcPr>
            <w:tcW w:w="37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Segment profit (loss)(5)</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(2,776)</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17,114</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(3,141)</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(17,956)</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15,707</w:t>
            </w:r>
          </w:p>
        </w:tc>
        <w:tc>
          <w:tcPr>
            <w:tcW w:w="140" w:type="dxa"/>
            <w:vAlign w:val="bottom"/>
            <w:tcBorders>
              <w:bottom w:val="single" w:sz="8" w:color="CCEEFF"/>
              <w:right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8,948</w:t>
            </w:r>
          </w:p>
        </w:tc>
        <w:tc>
          <w:tcPr>
            <w:tcW w:w="0" w:type="dxa"/>
            <w:vAlign w:val="bottom"/>
          </w:tcPr>
          <w:p>
            <w:pPr>
              <w:spacing w:after="0"/>
              <w:rPr>
                <w:sz w:val="1"/>
                <w:szCs w:val="1"/>
                <w:color w:val="auto"/>
              </w:rPr>
            </w:pPr>
          </w:p>
        </w:tc>
      </w:tr>
      <w:tr>
        <w:trPr>
          <w:trHeight w:val="237"/>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significant non-cash items:</w:t>
            </w: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Provision for loan losses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17,500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17,500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Impairment of assets(3)</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16,055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16,024</w:t>
            </w:r>
          </w:p>
        </w:tc>
        <w:tc>
          <w:tcPr>
            <w:tcW w:w="0" w:type="dxa"/>
            <w:vAlign w:val="bottom"/>
          </w:tcPr>
          <w:p>
            <w:pPr>
              <w:spacing w:after="0"/>
              <w:rPr>
                <w:sz w:val="1"/>
                <w:szCs w:val="1"/>
                <w:color w:val="auto"/>
              </w:rPr>
            </w:pPr>
          </w:p>
        </w:tc>
      </w:tr>
      <w:tr>
        <w:trPr>
          <w:trHeight w:val="243"/>
        </w:trPr>
        <w:tc>
          <w:tcPr>
            <w:tcW w:w="3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amortization(3)</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10,205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6,023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666</w:t>
            </w:r>
          </w:p>
        </w:tc>
        <w:tc>
          <w:tcPr>
            <w:tcW w:w="140" w:type="dxa"/>
            <w:vAlign w:val="bottom"/>
            <w:tcBorders>
              <w:right w:val="single" w:sz="8" w:color="auto"/>
            </w:tcBorders>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17,239</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Capitalized expenditures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8,466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11,080</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As of December 31, 2012</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Real estate</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Real estate, at cost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1,639,320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801,214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786,114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3,226,648</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(315,699)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(109,634)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(427,625)</w:t>
            </w:r>
          </w:p>
        </w:tc>
        <w:tc>
          <w:tcPr>
            <w:tcW w:w="0" w:type="dxa"/>
            <w:vAlign w:val="bottom"/>
          </w:tcPr>
          <w:p>
            <w:pPr>
              <w:spacing w:after="0"/>
              <w:rPr>
                <w:sz w:val="1"/>
                <w:szCs w:val="1"/>
                <w:color w:val="auto"/>
              </w:rPr>
            </w:pPr>
          </w:p>
        </w:tc>
      </w:tr>
      <w:tr>
        <w:trPr>
          <w:trHeight w:val="237"/>
        </w:trPr>
        <w:tc>
          <w:tcPr>
            <w:tcW w:w="3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Real estate, net</w:t>
            </w: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1,323,621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691,580</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783,822</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2,799,023</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Real estate available and held for sale</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454,587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181,278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635,865</w:t>
            </w:r>
          </w:p>
        </w:tc>
        <w:tc>
          <w:tcPr>
            <w:tcW w:w="0" w:type="dxa"/>
            <w:vAlign w:val="bottom"/>
          </w:tcPr>
          <w:p>
            <w:pPr>
              <w:spacing w:after="0"/>
              <w:rPr>
                <w:sz w:val="1"/>
                <w:szCs w:val="1"/>
                <w:color w:val="auto"/>
              </w:rPr>
            </w:pPr>
          </w:p>
        </w:tc>
      </w:tr>
      <w:tr>
        <w:trPr>
          <w:trHeight w:val="237"/>
        </w:trPr>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real estate</w:t>
            </w: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1,323,621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1,146,167</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965,100</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3,434,888</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Loans receivable, net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1,829,985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1,829,985</w:t>
            </w: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investments</w:t>
            </w:r>
          </w:p>
        </w:tc>
        <w:tc>
          <w:tcPr>
            <w:tcW w:w="22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16,380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25,745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5,493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351,225</w:t>
            </w:r>
          </w:p>
        </w:tc>
        <w:tc>
          <w:tcPr>
            <w:tcW w:w="14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398,843</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portfolio assets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1,829,985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1,340,001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1,171,912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970,593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351,225</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5,663,716</w:t>
            </w:r>
          </w:p>
        </w:tc>
        <w:tc>
          <w:tcPr>
            <w:tcW w:w="0" w:type="dxa"/>
            <w:vAlign w:val="bottom"/>
          </w:tcPr>
          <w:p>
            <w:pPr>
              <w:spacing w:after="0"/>
              <w:rPr>
                <w:sz w:val="1"/>
                <w:szCs w:val="1"/>
                <w:color w:val="auto"/>
              </w:rPr>
            </w:pPr>
          </w:p>
        </w:tc>
      </w:tr>
      <w:tr>
        <w:trPr>
          <w:trHeight w:val="20"/>
        </w:trPr>
        <w:tc>
          <w:tcPr>
            <w:tcW w:w="37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Cash and other assets</w:t>
            </w: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487,073</w:t>
            </w:r>
          </w:p>
        </w:tc>
        <w:tc>
          <w:tcPr>
            <w:tcW w:w="0" w:type="dxa"/>
            <w:vAlign w:val="bottom"/>
          </w:tcPr>
          <w:p>
            <w:pPr>
              <w:spacing w:after="0" w:line="20" w:lineRule="exact"/>
              <w:rPr>
                <w:sz w:val="1"/>
                <w:szCs w:val="1"/>
                <w:color w:val="auto"/>
              </w:rPr>
            </w:pPr>
          </w:p>
        </w:tc>
      </w:tr>
      <w:tr>
        <w:trPr>
          <w:trHeight w:val="230"/>
        </w:trPr>
        <w:tc>
          <w:tcPr>
            <w:tcW w:w="37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6,150,789</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Explanatory Notes: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120" w:lineRule="exact"/>
        <w:rPr>
          <w:sz w:val="20"/>
          <w:szCs w:val="20"/>
          <w:color w:val="auto"/>
        </w:rPr>
      </w:pPr>
    </w:p>
    <w:p>
      <w:pPr>
        <w:jc w:val="both"/>
        <w:ind w:left="660" w:hanging="652"/>
        <w:spacing w:after="0" w:line="255" w:lineRule="auto"/>
        <w:tabs>
          <w:tab w:leader="none" w:pos="6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Corporate/Other represents all corporate level and unallocated items including any intercompany eliminations necessary to reconcile to consolidated Company totals. This caption also includes the Company's joint venture investments and strategic investments that are not related to the other reportable segments above, including the Company's equity investment in LNR of $221.9 million and $205.8 million, as of March 31, 2013 and December 31, 2012, respectively, and the Company's share of equity in earnings from LNR of $14.7 million and $12.1 million for the three months ended March 31,</w:t>
      </w:r>
    </w:p>
    <w:p>
      <w:pPr>
        <w:sectPr>
          <w:pgSz w:w="11900" w:h="16838" w:orient="portrait"/>
          <w:cols w:equalWidth="0" w:num="1">
            <w:col w:w="11420"/>
          </w:cols>
          <w:pgMar w:left="240" w:top="118" w:right="239" w:bottom="1440" w:gutter="0" w:footer="0" w:header="0"/>
        </w:sect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118" w:right="2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iStar Financial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2013 and 2012, respectively. See Note 6 for further details on the Company's accounting policy for its investment in LNR and summarized financial information of LNR.</w:t>
      </w:r>
    </w:p>
    <w:p>
      <w:pPr>
        <w:spacing w:after="0" w:line="42" w:lineRule="exact"/>
        <w:rPr>
          <w:sz w:val="20"/>
          <w:szCs w:val="20"/>
          <w:color w:val="auto"/>
        </w:rPr>
      </w:pPr>
    </w:p>
    <w:p>
      <w:pPr>
        <w:ind w:left="660" w:hanging="652"/>
        <w:spacing w:after="0"/>
        <w:tabs>
          <w:tab w:leader="none" w:pos="6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revenue and real estate expense reclassified to discontinued operations on the Company's Consolidated Statements of Operations.</w:t>
      </w:r>
    </w:p>
    <w:p>
      <w:pPr>
        <w:spacing w:after="0" w:line="17" w:lineRule="exact"/>
        <w:rPr>
          <w:rFonts w:ascii="Times New Roman" w:cs="Times New Roman" w:eastAsia="Times New Roman" w:hAnsi="Times New Roman"/>
          <w:sz w:val="14"/>
          <w:szCs w:val="14"/>
          <w:color w:val="auto"/>
        </w:rPr>
      </w:pPr>
    </w:p>
    <w:p>
      <w:pPr>
        <w:ind w:left="660" w:hanging="652"/>
        <w:spacing w:after="0"/>
        <w:tabs>
          <w:tab w:leader="none" w:pos="6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related amounts reclassified to discontinued operations on the Company's Consolidated Statements of Operations.</w:t>
      </w:r>
    </w:p>
    <w:p>
      <w:pPr>
        <w:spacing w:after="0" w:line="1" w:lineRule="exact"/>
        <w:rPr>
          <w:rFonts w:ascii="Times New Roman" w:cs="Times New Roman" w:eastAsia="Times New Roman" w:hAnsi="Times New Roman"/>
          <w:sz w:val="14"/>
          <w:szCs w:val="14"/>
          <w:color w:val="auto"/>
        </w:rPr>
      </w:pPr>
    </w:p>
    <w:p>
      <w:pPr>
        <w:ind w:left="660" w:hanging="652"/>
        <w:spacing w:after="0"/>
        <w:tabs>
          <w:tab w:leader="none" w:pos="6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and administrative excludes stock-based compensation expense of $5.2 million and $4.7 million for the three months ended March 31, 2013 and 2012, respectively.</w:t>
      </w:r>
    </w:p>
    <w:p>
      <w:pPr>
        <w:spacing w:after="0" w:line="1" w:lineRule="exact"/>
        <w:rPr>
          <w:rFonts w:ascii="Times New Roman" w:cs="Times New Roman" w:eastAsia="Times New Roman" w:hAnsi="Times New Roman"/>
          <w:sz w:val="14"/>
          <w:szCs w:val="14"/>
          <w:color w:val="auto"/>
        </w:rPr>
      </w:pPr>
    </w:p>
    <w:p>
      <w:pPr>
        <w:ind w:left="660" w:hanging="652"/>
        <w:spacing w:after="0"/>
        <w:tabs>
          <w:tab w:leader="none" w:pos="6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is a reconciliation of segment profit (loss) to net income (loss) ($ in thousands):</w:t>
      </w:r>
    </w:p>
    <w:p>
      <w:pPr>
        <w:spacing w:after="0" w:line="280" w:lineRule="exact"/>
        <w:rPr>
          <w:sz w:val="20"/>
          <w:szCs w:val="20"/>
          <w:color w:val="auto"/>
        </w:rPr>
      </w:pPr>
    </w:p>
    <w:tbl>
      <w:tblPr>
        <w:tblLayout w:type="fixed"/>
        <w:tblInd w:w="860" w:type="dxa"/>
        <w:tblCellMar>
          <w:top w:w="0" w:type="dxa"/>
          <w:left w:w="0" w:type="dxa"/>
          <w:bottom w:w="0" w:type="dxa"/>
          <w:right w:w="0" w:type="dxa"/>
        </w:tblCellMar>
      </w:tblPr>
      <w:tr>
        <w:trPr>
          <w:trHeight w:val="195"/>
        </w:trPr>
        <w:tc>
          <w:tcPr>
            <w:tcW w:w="6880" w:type="dxa"/>
            <w:vAlign w:val="bottom"/>
          </w:tcPr>
          <w:p>
            <w:pPr>
              <w:spacing w:after="0"/>
              <w:rPr>
                <w:sz w:val="16"/>
                <w:szCs w:val="16"/>
                <w:color w:val="auto"/>
              </w:rPr>
            </w:pPr>
          </w:p>
        </w:tc>
        <w:tc>
          <w:tcPr>
            <w:tcW w:w="2820" w:type="dxa"/>
            <w:vAlign w:val="bottom"/>
            <w:tcBorders>
              <w:bottom w:val="single" w:sz="8" w:color="auto"/>
            </w:tcBorders>
            <w:gridSpan w:val="5"/>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264"/>
        </w:trPr>
        <w:tc>
          <w:tcPr>
            <w:tcW w:w="688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2013</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255"/>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Segment profit (loss)</w:t>
            </w:r>
          </w:p>
        </w:tc>
        <w:tc>
          <w:tcPr>
            <w:tcW w:w="820" w:type="dxa"/>
            <w:vAlign w:val="bottom"/>
            <w:shd w:val="clear" w:color="auto" w:fill="CCEEFF"/>
          </w:tcPr>
          <w:p>
            <w:pPr>
              <w:jc w:val="right"/>
              <w:ind w:right="64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14,193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8,948</w:t>
            </w:r>
          </w:p>
        </w:tc>
      </w:tr>
      <w:tr>
        <w:trPr>
          <w:trHeight w:val="265"/>
        </w:trPr>
        <w:tc>
          <w:tcPr>
            <w:tcW w:w="6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Provision for loan losses</w:t>
            </w:r>
          </w:p>
        </w:tc>
        <w:tc>
          <w:tcPr>
            <w:tcW w:w="8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(10,206)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(17,500)</w:t>
            </w:r>
          </w:p>
        </w:tc>
      </w:tr>
      <w:tr>
        <w:trPr>
          <w:trHeight w:val="275"/>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Impairment of assets</w:t>
            </w:r>
          </w:p>
        </w:tc>
        <w:tc>
          <w:tcPr>
            <w:tcW w:w="82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(16,024)</w:t>
            </w:r>
          </w:p>
        </w:tc>
      </w:tr>
      <w:tr>
        <w:trPr>
          <w:trHeight w:val="265"/>
        </w:trPr>
        <w:tc>
          <w:tcPr>
            <w:tcW w:w="6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Stock-based compensation expense</w:t>
            </w:r>
          </w:p>
        </w:tc>
        <w:tc>
          <w:tcPr>
            <w:tcW w:w="8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(4,666)</w:t>
            </w:r>
          </w:p>
        </w:tc>
      </w:tr>
      <w:tr>
        <w:trPr>
          <w:trHeight w:val="275"/>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Depreciation and amortization</w:t>
            </w:r>
          </w:p>
        </w:tc>
        <w:tc>
          <w:tcPr>
            <w:tcW w:w="82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(17,454)</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(17,239)</w:t>
            </w:r>
          </w:p>
        </w:tc>
      </w:tr>
      <w:tr>
        <w:trPr>
          <w:trHeight w:val="265"/>
        </w:trPr>
        <w:tc>
          <w:tcPr>
            <w:tcW w:w="6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Income tax (expense) benefit</w:t>
            </w:r>
          </w:p>
        </w:tc>
        <w:tc>
          <w:tcPr>
            <w:tcW w:w="8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(1,271)</w:t>
            </w:r>
          </w:p>
        </w:tc>
      </w:tr>
      <w:tr>
        <w:trPr>
          <w:trHeight w:val="270"/>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 Gain (loss) on early extinguishment of debt, net</w:t>
            </w:r>
          </w:p>
        </w:tc>
        <w:tc>
          <w:tcPr>
            <w:tcW w:w="82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(9,541)</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1,704</w:t>
            </w:r>
          </w:p>
        </w:tc>
      </w:tr>
      <w:tr>
        <w:trPr>
          <w:trHeight w:val="242"/>
        </w:trPr>
        <w:tc>
          <w:tcPr>
            <w:tcW w:w="6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820" w:type="dxa"/>
            <w:vAlign w:val="bottom"/>
            <w:tcBorders>
              <w:bottom w:val="single" w:sz="8" w:color="auto"/>
            </w:tcBorders>
          </w:tcPr>
          <w:p>
            <w:pPr>
              <w:jc w:val="right"/>
              <w:ind w:right="64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(32,253)</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(46,048)</w:t>
            </w:r>
          </w:p>
        </w:tc>
      </w:tr>
      <w:tr>
        <w:trPr>
          <w:trHeight w:val="20"/>
        </w:trPr>
        <w:tc>
          <w:tcPr>
            <w:tcW w:w="68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16—Subsequent Events</w:t>
      </w:r>
    </w:p>
    <w:p>
      <w:pPr>
        <w:spacing w:after="0" w:line="189"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On April 19, 2013, the Company completed the previously announced sale of its 24% equity interest in LNR Property LLC, and received $220.3 million net proceeds at closing.</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118" w:right="2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iStar Financial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tab/>
        <w:t>Management's Discussion and Analysis of Financial Condition and Results of Operations</w:t>
      </w:r>
    </w:p>
    <w:p>
      <w:pPr>
        <w:spacing w:after="0" w:line="189"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8"/>
          <w:szCs w:val="18"/>
          <w:color w:val="auto"/>
        </w:rPr>
        <w:t>Certain statements in this report, other than purely historical information, including estimates, projections, statements relating to our business plans, objectives and expected operating results, and the assumptions upon which those statements are based, are "forward-looking statements" within the meaning of the Private Securities Litigation Reform Act of 1995, Section 27A of the Securities Act of 1933, as amended (the "Securities Act"), and Section 21E of the Securities Exchange Act of 1934, as amended (the "Exchange Act"). Forward-looking statements are included with respect to, among other things, iStar Financial Inc.'s (the "Company's") current business plan, business strategy, portfolio management, prospects and liquidity. These forward-looking statements generally are identified by the words "believe," "project," "expect," "anticipate," "estimate," "intend," "strategy," "plan," "may," "should," "will," "would," "will be," "will continue," "will likely result," and similar expressions. Forward-looking statements are based on current expectations and assumptions that are subject to risks and uncertainties which may cause actual results or outcomes to differ materially from those contained in the forward-looking statements. We undertake no obligation to update or revise publicly any forward-looking statements, whether as a result of new information, future events or otherwise. In assessing all forward-looking statements, readers are urged to read carefully all cautionary statements contained in this Form 10-Q and the uncertainties and risks described in Item 1A—"Risk Factors" in our 2012 Annual Report (as defined below), all of which could affect our future results of operations, financial condition and liquidity. For purposes of Management's Discussion and Analysis of Financial Condition and Results of Operations, the terms "we," "our" and "us" refer to iStar Financial Inc. and its consolidated subsidiaries, unless the context indicates otherwise.</w:t>
      </w:r>
    </w:p>
    <w:p>
      <w:pPr>
        <w:spacing w:after="0" w:line="148"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discussion below should be read in conjunction with our consolidated financial statements and related notes in this quarterly report on Form 10-Q and our annual report on Form 10-K for the year ended December 31, 2012 (the "2012 Annual Report"). These historical financial statements may not be indicative of our future performance. We have reclassified certain items in our consolidated financial statements of prior periods to conform to our current financial statements presentation.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Introduction</w:t>
      </w:r>
    </w:p>
    <w:p>
      <w:pPr>
        <w:spacing w:after="0" w:line="18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iStar Financial Inc. is a fully-integrated finance and investment company focused on the commercial real estate industry. We provide custom-tailored investment capital to high-end private and corporate owners of real estate and invest directly across a range of real estate sectors. We are taxed as a real estate investment trust, or "REIT," and have invested more than $35 billion over the past two decades. Our primary business segments are real estate finance, net leasing, operating properties and land.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Overview</w:t>
      </w:r>
    </w:p>
    <w:p>
      <w:pPr>
        <w:spacing w:after="0" w:line="18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We have recently made significant progress in strengthening our balance sheet and positioning us for the future. We executed several capital markets transactions that extended our debt maturities, including three senior notes issuances which marked our return to the unsecured debt markets for the first time since 2008. The rates associated with the financings that we completed in the latter half of 2012, following an upgrade of our corporate credit ratings, were materially lower than our earlier financings. In addition, during the first quarter of 2013, we refinanced our largest senior secured credit facility reducing the interest rate and issued Preferred Stock to fund new investment activities and general corporate purposes. Within our real estate and loan portfolios, our performing loans, net lease assets and residential condominium projects performed well, and we continued to make progress reducing the balance of our non-performing loans and enhancing the value of our commercial operating properties and land assets through the investment of capital and intensive asset management. We intend to continue these efforts, with the objective of eventually having these assets contribute positively to earnings.</w:t>
      </w:r>
    </w:p>
    <w:p>
      <w:pPr>
        <w:spacing w:after="0" w:line="14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During the quarter ended March 31, 2013, we saw a meaningful contribution to earnings from our performing loans, net lease assets and sales of our residential operating properties. However, the performance of our commercial operating properties and nonperforming loans resulted in losses and our land assets incurred sizable carrying costs, which factors continue to negatively impact our earnings. For the quarter ended March 31, 2013, we recorded a net loss allocable to common shareholders of $(41.3) million, compared to a loss of $(54.8) million in the prior year.</w:t>
      </w:r>
    </w:p>
    <w:p>
      <w:pPr>
        <w:spacing w:after="0" w:line="140"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With respect to liquidity, during the first quarter of 2013, we received $355.3 million of proceeds from our portfolio and we raised $194.0 million in net proceeds through a preferred stock offering. As of March 31, 2013, we had $545.3 million of debt maturities due before December 31, 2013, with a majority of that amount due in October 2013. As of March 31, 2013, we had $468.4 million of cash on hand and in April 2013, we sold our interest in LNR for net proceeds of $220.3 million. Additionally, as of March 31, 2013, we had unencumbered assets with a carrying value of $3.10 billion. Our capital resources to meet debt maturities in the coming year include debt refinancings, proceeds from asset sales, loan repayments from borrowers and may include equity capital raising transactions.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118" w:right="2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Three Months Ended March 31, 2013 compared to the Three Months Ended March 31, 2012</w:t>
      </w:r>
    </w:p>
    <w:p>
      <w:pPr>
        <w:spacing w:after="0" w:line="200" w:lineRule="exact"/>
        <w:rPr>
          <w:sz w:val="20"/>
          <w:szCs w:val="20"/>
          <w:color w:val="auto"/>
        </w:rPr>
      </w:pPr>
    </w:p>
    <w:p>
      <w:pPr>
        <w:spacing w:after="0" w:line="212" w:lineRule="exact"/>
        <w:rPr>
          <w:sz w:val="20"/>
          <w:szCs w:val="20"/>
          <w:color w:val="auto"/>
        </w:rPr>
      </w:pPr>
    </w:p>
    <w:tbl>
      <w:tblPr>
        <w:tblLayout w:type="fixed"/>
        <w:tblInd w:w="140" w:type="dxa"/>
        <w:tblCellMar>
          <w:top w:w="0" w:type="dxa"/>
          <w:left w:w="0" w:type="dxa"/>
          <w:bottom w:w="0" w:type="dxa"/>
          <w:right w:w="0" w:type="dxa"/>
        </w:tblCellMar>
      </w:tblPr>
      <w:tr>
        <w:trPr>
          <w:trHeight w:val="195"/>
        </w:trPr>
        <w:tc>
          <w:tcPr>
            <w:tcW w:w="5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6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64"/>
        </w:trPr>
        <w:tc>
          <w:tcPr>
            <w:tcW w:w="536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22"/>
                <w:szCs w:val="22"/>
                <w:color w:val="auto"/>
              </w:rPr>
            </w:pPr>
          </w:p>
        </w:tc>
        <w:tc>
          <w:tcPr>
            <w:tcW w:w="146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64"/>
        </w:trPr>
        <w:tc>
          <w:tcPr>
            <w:tcW w:w="5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55"/>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58,473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53,123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5,350</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43"/>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24,667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37,203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(12,536)</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7"/>
        </w:trPr>
        <w:tc>
          <w:tcPr>
            <w:tcW w:w="5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11,393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10,756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637</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37"/>
        </w:trPr>
        <w:tc>
          <w:tcPr>
            <w:tcW w:w="5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revenue</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94,533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101,082</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(6,549)</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5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71,566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85,344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(13,778)</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43"/>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 expenses</w:t>
            </w:r>
          </w:p>
        </w:tc>
        <w:tc>
          <w:tcPr>
            <w:tcW w:w="14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37,916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35,068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2,848</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7"/>
        </w:trPr>
        <w:tc>
          <w:tcPr>
            <w:tcW w:w="5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17,389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16,168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1,221</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43"/>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21,848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22,845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5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loan losses</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10,206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17,500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(7,294)</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43"/>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of assets</w:t>
            </w:r>
          </w:p>
        </w:tc>
        <w:tc>
          <w:tcPr>
            <w:tcW w:w="14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749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7"/>
        </w:trPr>
        <w:tc>
          <w:tcPr>
            <w:tcW w:w="5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5,625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453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5,172</w:t>
            </w:r>
          </w:p>
        </w:tc>
        <w:tc>
          <w:tcPr>
            <w:tcW w:w="1560" w:type="dxa"/>
            <w:vAlign w:val="bottom"/>
            <w:tcBorders>
              <w:bottom w:val="single" w:sz="8" w:color="CCEEFF"/>
            </w:tcBorders>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&gt;100%</w:t>
            </w:r>
          </w:p>
        </w:tc>
      </w:tr>
      <w:tr>
        <w:trPr>
          <w:trHeight w:val="237"/>
        </w:trPr>
        <w:tc>
          <w:tcPr>
            <w:tcW w:w="5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164,550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178,127</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(13,577)</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7"/>
        </w:trPr>
        <w:tc>
          <w:tcPr>
            <w:tcW w:w="5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on early extinguishment of debt, net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1,704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(11,245)</w:t>
            </w:r>
          </w:p>
        </w:tc>
        <w:tc>
          <w:tcPr>
            <w:tcW w:w="1560" w:type="dxa"/>
            <w:vAlign w:val="bottom"/>
            <w:tcBorders>
              <w:bottom w:val="single" w:sz="8" w:color="CCEEFF"/>
            </w:tcBorders>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&gt;100%</w:t>
            </w:r>
          </w:p>
        </w:tc>
      </w:tr>
      <w:tr>
        <w:trPr>
          <w:trHeight w:val="243"/>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from equity method investments</w:t>
            </w:r>
          </w:p>
        </w:tc>
        <w:tc>
          <w:tcPr>
            <w:tcW w:w="14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21,678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34,786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(13,108)</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7"/>
        </w:trPr>
        <w:tc>
          <w:tcPr>
            <w:tcW w:w="5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(2,804)</w:t>
            </w:r>
          </w:p>
        </w:tc>
        <w:tc>
          <w:tcPr>
            <w:tcW w:w="1560" w:type="dxa"/>
            <w:vAlign w:val="bottom"/>
            <w:tcBorders>
              <w:bottom w:val="single" w:sz="8" w:color="CCEEFF"/>
            </w:tcBorders>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&gt;100%</w:t>
            </w:r>
          </w:p>
        </w:tc>
      </w:tr>
      <w:tr>
        <w:trPr>
          <w:trHeight w:val="243"/>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discontinued operations</w:t>
            </w:r>
          </w:p>
        </w:tc>
        <w:tc>
          <w:tcPr>
            <w:tcW w:w="14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14,322</w:t>
            </w:r>
          </w:p>
        </w:tc>
        <w:tc>
          <w:tcPr>
            <w:tcW w:w="156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&gt;100%</w:t>
            </w:r>
          </w:p>
        </w:tc>
      </w:tr>
      <w:tr>
        <w:trPr>
          <w:trHeight w:val="27"/>
        </w:trPr>
        <w:tc>
          <w:tcPr>
            <w:tcW w:w="5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from discontinued operations</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5,044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2,406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2,638</w:t>
            </w:r>
          </w:p>
        </w:tc>
        <w:tc>
          <w:tcPr>
            <w:tcW w:w="1560" w:type="dxa"/>
            <w:vAlign w:val="bottom"/>
            <w:tcBorders>
              <w:bottom w:val="single" w:sz="8" w:color="CCEEFF"/>
            </w:tcBorders>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&gt;100%</w:t>
            </w:r>
          </w:p>
        </w:tc>
      </w:tr>
      <w:tr>
        <w:trPr>
          <w:trHeight w:val="243"/>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sales of residential property</w:t>
            </w:r>
          </w:p>
        </w:tc>
        <w:tc>
          <w:tcPr>
            <w:tcW w:w="14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23,697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6,733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16,964</w:t>
            </w:r>
          </w:p>
        </w:tc>
        <w:tc>
          <w:tcPr>
            <w:tcW w:w="156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&gt;100%</w:t>
            </w:r>
          </w:p>
        </w:tc>
      </w:tr>
      <w:tr>
        <w:trPr>
          <w:trHeight w:val="27"/>
        </w:trPr>
        <w:tc>
          <w:tcPr>
            <w:tcW w:w="5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r>
      <w:tr>
        <w:trPr>
          <w:trHeight w:val="257"/>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(32,253)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(46,048)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13,795</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5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153"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Revenue</w:t>
      </w:r>
      <w:r>
        <w:rPr>
          <w:rFonts w:ascii="Times New Roman" w:cs="Times New Roman" w:eastAsia="Times New Roman" w:hAnsi="Times New Roman"/>
          <w:sz w:val="18"/>
          <w:szCs w:val="18"/>
          <w:color w:val="auto"/>
        </w:rPr>
        <w:t>—Operating lease income increased to $58.5 million during the three months ended March 31, 2013 and includes income from net lease assets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commercial operating properties. Operating lease income from commercial operating properties increased to $21.4 million during the three months ended March 31, 2013 from $15.9 million for the same period in 2012. We acquired title to additional commercial operating properties at the end of 2012, which contributed $4.0 million in operating lease income for the three months ended March 31, 2013. The impact of new leases within the portfolio also contributed to this increase by $1.4 million period over period. As of March 31, 2013, commercial operating properties, excluding hotels and multifamily properties, were 60.7% leased compared to 44.2% leased as of March 31, 2012.</w:t>
      </w:r>
    </w:p>
    <w:p>
      <w:pPr>
        <w:spacing w:after="0" w:line="14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Operating lease income from net lease assets remained consistent at approximately $37 million in the 2013 and 2012 periods. As of March 31, 2013, net lease assets were 95.0% leased compared to 94.4% leased as of March 31, 2012. For the three months ended March 31, 2013, the net lease portfolio generated a weighted average effective yield of 9.1% compared to 9.9% during the same period in 2012.</w:t>
      </w:r>
    </w:p>
    <w:p>
      <w:pPr>
        <w:spacing w:after="0" w:line="13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Interest income for the three months ended March 31, 2013 declined primarily due to a decrease in the average balance of performing loans to $1.37 billion from $2.09 billion for the same period in 2012. The decrease in performing loans was primarily due to loan repayments as well as performing loans moving to non-performing status (see Risk Management below). For the three months ended March 31, 2013, performing loans generated a weighted average effective yield of 7.2% as compared to 7.0% in 2012.</w:t>
      </w:r>
    </w:p>
    <w:p>
      <w:pPr>
        <w:spacing w:after="0" w:line="140"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Other income primarily includes revenue related to hotel properties included in the operating property portfolio, which was $8.1 million for the three months ended March 31, 2013 compared to $8.8 million for the same period in 2012. For the three months ended March 31, 2013, other income also includes $2.2 million related to the prepayment and sales of loans.</w:t>
      </w:r>
    </w:p>
    <w:p>
      <w:pPr>
        <w:spacing w:after="0" w:line="132" w:lineRule="exact"/>
        <w:rPr>
          <w:sz w:val="20"/>
          <w:szCs w:val="20"/>
          <w:color w:val="auto"/>
        </w:rPr>
      </w:pPr>
    </w:p>
    <w:p>
      <w:pPr>
        <w:jc w:val="both"/>
        <w:ind w:firstLine="405"/>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Costs and expenses</w:t>
      </w:r>
      <w:r>
        <w:rPr>
          <w:rFonts w:ascii="Times New Roman" w:cs="Times New Roman" w:eastAsia="Times New Roman" w:hAnsi="Times New Roman"/>
          <w:sz w:val="18"/>
          <w:szCs w:val="18"/>
          <w:color w:val="auto"/>
        </w:rPr>
        <w:t>—Interest expense decreased for the three months ended March 31, 2013, primarily due to a lower average outstanding balance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partially offset by a higher weighted average cost of debt. The average outstanding balance of our debt declined to $4.60 billion for the three months ended March 31, 2013 from $5.80 billion for the three months ended March 31, 2012. Our weighted average effective cost of debt increased to 6.22% for the three months ended March 31, 2013 as compared to 5.88% during the three months ended March 31, 2012, primarily due to the maturity of lower cost debt being refinanced with debt at higher rates in the first half of 2012.</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114" w:right="2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52"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increase in real estate expense was primarily driven by additional properties to which we took title and due to an increase in costs on certain land assets. Expenses for operating properties were $25.7 million for the three months ended March 31, 2013 as compared to $25.8 million for the same period in 2012. Operating expenses for net lease assets increased slightly to $5.7 million for the three months ended March 31, 2013 from $5.1 million for the same period in 2012. Carrying costs and other expenses on our land assets increased to $6.5 million for the three months ended March 31, 2013 from $4.2 million for the same period in 2012, primarily related to increased pre-development activities. Depreciation and amortization increased for the three months ended March 31, 2013 primarily due to the acquisition of additional operating properties.</w:t>
      </w:r>
    </w:p>
    <w:p>
      <w:pPr>
        <w:spacing w:after="0" w:line="14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decreased primarily due to lower payroll and employee related costs and decreased legal expenses. Payroll and employee related costs declined due to staffing reductions, while legal expenses declined due to the settlement of litigation in June 2012 (see Part II. Item 1. Legal Proceedings).</w:t>
      </w:r>
    </w:p>
    <w:p>
      <w:pPr>
        <w:spacing w:after="0" w:line="13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Provisions for loan losses totaled $10.2 million during the three months ended March 31, 2013 and included specific reserves on non-performing loans, offset by a reduction in the general reserve primarily due to a reduction in the balance of performing loans outstanding during the current year (see Risk Management below).</w:t>
      </w:r>
    </w:p>
    <w:p>
      <w:pPr>
        <w:spacing w:after="0" w:line="13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There were no asset impairments for the three months ended March 31, 2013. For the three months ended March 31, 2012, we recorded impairments of $16.1 million related to operating properties which resulted from changing market conditions and changes in business strategy for certain assets. Of this amount, $15.3 million relates to real estate assets held for sale or sold and were therefore included in discontinued operations for the three months ended March 31, 2012.</w:t>
      </w:r>
    </w:p>
    <w:p>
      <w:pPr>
        <w:spacing w:after="0" w:line="140"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Other expense for the three months ended March 31, 2013 increased primarily due to $3.6 million of third party expenses incurred in connection with the refinancing of our October 2012 Secured Credit Facility with our February 2013 Secured Credit Facility (see Liquidity and Capital Resources below).</w:t>
      </w:r>
    </w:p>
    <w:p>
      <w:pPr>
        <w:spacing w:after="0" w:line="117" w:lineRule="exact"/>
        <w:rPr>
          <w:sz w:val="20"/>
          <w:szCs w:val="20"/>
          <w:color w:val="auto"/>
        </w:rPr>
      </w:pPr>
    </w:p>
    <w:p>
      <w:pPr>
        <w:jc w:val="both"/>
        <w:ind w:firstLine="405"/>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Gain (loss) on early extinguishment of debt, net</w:t>
      </w:r>
      <w:r>
        <w:rPr>
          <w:rFonts w:ascii="Times New Roman" w:cs="Times New Roman" w:eastAsia="Times New Roman" w:hAnsi="Times New Roman"/>
          <w:sz w:val="18"/>
          <w:szCs w:val="18"/>
          <w:color w:val="auto"/>
        </w:rPr>
        <w:t>—During the three months ended March 31, 2013, $4.9 million of net losses on the early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extinguishment of debt was primarily related to accelerated amortization of discounts and fees in connection with the refinancing of our October 2012 Secured Credit Facility with our February 2013 Secured Credit Facility. We also recorded $4.6 million of losses related to the accumulated amortization of discounts and fees in connection with amortization payments that we made on our 2012 and 2013 Secured Credit Facilities (see Liquidity and Capital Resources below).</w:t>
      </w:r>
    </w:p>
    <w:p>
      <w:pPr>
        <w:spacing w:after="0" w:line="14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During the same period in 2012, we repurchased $124.1 million aggregate principal amount of our convertible notes due October 2012, fully repaid the $244.0 million remaining balance on our unsecured credit facility due in June 2012, repaid $89.8 million on our 2011 Tranche A-1 Facility and repurchased $96.3 million par value of senior unsecured notes. In connection with these repayments and repurchases prior to maturity, we recorded a net gain on early extinguishment of debt of $1.7 million.</w:t>
      </w:r>
    </w:p>
    <w:p>
      <w:pPr>
        <w:spacing w:after="0" w:line="136" w:lineRule="exact"/>
        <w:rPr>
          <w:sz w:val="20"/>
          <w:szCs w:val="20"/>
          <w:color w:val="auto"/>
        </w:rPr>
      </w:pPr>
    </w:p>
    <w:p>
      <w:pPr>
        <w:jc w:val="both"/>
        <w:ind w:firstLine="40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Earnings from equity method investments</w:t>
      </w:r>
      <w:r>
        <w:rPr>
          <w:rFonts w:ascii="Times New Roman" w:cs="Times New Roman" w:eastAsia="Times New Roman" w:hAnsi="Times New Roman"/>
          <w:sz w:val="18"/>
          <w:szCs w:val="18"/>
          <w:color w:val="auto"/>
        </w:rPr>
        <w:t>—Earnings from equity method investments decreased during the three months ended March 31, 2013,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primarily due to the Madison Funds recording a significant unrealized gain related to the pending sale of an investment during March 2012 and due to lower income from sales of residential property units recorded by one of our real estate equity investments.</w:t>
      </w:r>
    </w:p>
    <w:p>
      <w:pPr>
        <w:spacing w:after="0" w:line="13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During the same period in 2012, we recorded our share of the Madison Funds significant unrealized gain related to the pending sale of an investment which was approximately $13.7 million.</w:t>
      </w:r>
    </w:p>
    <w:p>
      <w:pPr>
        <w:spacing w:after="0" w:line="117" w:lineRule="exact"/>
        <w:rPr>
          <w:sz w:val="20"/>
          <w:szCs w:val="20"/>
          <w:color w:val="auto"/>
        </w:rPr>
      </w:pPr>
    </w:p>
    <w:p>
      <w:pPr>
        <w:jc w:val="both"/>
        <w:ind w:firstLine="40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Income tax expense</w:t>
      </w:r>
      <w:r>
        <w:rPr>
          <w:rFonts w:ascii="Times New Roman" w:cs="Times New Roman" w:eastAsia="Times New Roman" w:hAnsi="Times New Roman"/>
          <w:sz w:val="18"/>
          <w:szCs w:val="18"/>
          <w:color w:val="auto"/>
        </w:rPr>
        <w:t>—Income tax expense increased for the three months ended March 31, 2013 compared to the same period in 2012 due to increased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gains from unit sales, increased income from our investment in LNR, as well as the full utilization of net operating losses by March 31, 2013.</w:t>
      </w:r>
    </w:p>
    <w:p>
      <w:pPr>
        <w:spacing w:after="0" w:line="114" w:lineRule="exact"/>
        <w:rPr>
          <w:sz w:val="20"/>
          <w:szCs w:val="20"/>
          <w:color w:val="auto"/>
        </w:rPr>
      </w:pPr>
    </w:p>
    <w:p>
      <w:pPr>
        <w:jc w:val="both"/>
        <w:ind w:right="20" w:firstLine="40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Discontinued operations</w:t>
      </w:r>
      <w:r>
        <w:rPr>
          <w:rFonts w:ascii="Times New Roman" w:cs="Times New Roman" w:eastAsia="Times New Roman" w:hAnsi="Times New Roman"/>
          <w:sz w:val="18"/>
          <w:szCs w:val="18"/>
          <w:color w:val="auto"/>
        </w:rPr>
        <w:t>—During the three months ended March 31, 2013, we sold a commercial operating property with a carrying value of $24.1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which resulted in a net gain of $5.0 million and a net lease asset with a carrying value of $0.9 million for proceeds that approximated carrying value. During the three months ended March 31, 2012, we sold a net lease asset with a carrying value of $4.1 million for a net gain of $2.4 million.</w:t>
      </w:r>
    </w:p>
    <w:p>
      <w:pPr>
        <w:spacing w:after="0" w:line="13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Income (loss) from discontinued operations includes operating results from net lease assets and commercial operating properties held for sale or sold as of March 31, 2013. For the three months ended March 31, 2012, income (loss) from discontinued operations includes impairment of assets of $15.3 million.</w:t>
      </w:r>
    </w:p>
    <w:p>
      <w:pPr>
        <w:spacing w:after="0" w:line="117" w:lineRule="exact"/>
        <w:rPr>
          <w:sz w:val="20"/>
          <w:szCs w:val="20"/>
          <w:color w:val="auto"/>
        </w:rPr>
      </w:pPr>
    </w:p>
    <w:p>
      <w:pPr>
        <w:jc w:val="both"/>
        <w:ind w:right="20" w:firstLine="40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Income from sales of residential property</w:t>
      </w:r>
      <w:r>
        <w:rPr>
          <w:rFonts w:ascii="Times New Roman" w:cs="Times New Roman" w:eastAsia="Times New Roman" w:hAnsi="Times New Roman"/>
          <w:sz w:val="18"/>
          <w:szCs w:val="18"/>
          <w:color w:val="auto"/>
        </w:rPr>
        <w:t>—During the three months ended March 31, 2013 and 2012, we sold condominium units for total net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proceeds of $75.2 million and $49.5 million, respectively, that resulted in income from sales of residential properties totaling $23.7 million and $6.7 million,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114" w:right="2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income and Adjusted EBITDA</w:t>
      </w:r>
    </w:p>
    <w:p>
      <w:pPr>
        <w:spacing w:after="0" w:line="189"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In addition to net income (loss), we use Adjusted income and Adjusted EBITDA to measure our operating performance. Adjusted income represents net income (loss) allocable to common shareholders, prior to the effect of depreciation and amortization, provision for loan losses, impairment of assets, stock-based compensation expense, and gain (loss) on early extinguishment of debt. Adjusted EBITDA represents net income (loss) plus the sum of interest expense, income taxes, depreciation and amortization, provision for loan losses, impairment of assets and stock-based compensation expense, less gain (loss) on early extinguishment of debt.</w:t>
      </w:r>
    </w:p>
    <w:p>
      <w:pPr>
        <w:spacing w:after="0" w:line="143"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We believe Adjusted income and Adjusted EBITDA are useful measures to consider, in addition to net income (loss), as they may help investors evaluate our core operating performance. Adjusted income and Adjusted EBITDA should be examined in conjunction with net income (loss) as shown in our Consolidated Statements of Operations. Adjusted income and Adjusted EBITDA should not be considered as an alternative to net income (loss) (determined in accordance with GAAP), as an indicator of our performance, or to cash flows from operating activities (determined in accordance with GAAP) as a measure of our liquidity, nor are Adjusted income and Adjusted EBITDA indicative of funds available to fund our cash needs or available for distribution to shareholders. Rather, Adjusted income and Adjusted EBITDA are additional measures for us to use to analyze how our business is performing. It should be noted that our manner of calculating Adjusted income and Adjusted EBITDA may differ from the calculations of similarly-titled measures by other companies.</w:t>
      </w:r>
    </w:p>
    <w:p>
      <w:pPr>
        <w:spacing w:after="0" w:line="288" w:lineRule="exact"/>
        <w:rPr>
          <w:sz w:val="20"/>
          <w:szCs w:val="20"/>
          <w:color w:val="auto"/>
        </w:rPr>
      </w:pPr>
    </w:p>
    <w:tbl>
      <w:tblPr>
        <w:tblLayout w:type="fixed"/>
        <w:tblInd w:w="2640" w:type="dxa"/>
        <w:tblCellMar>
          <w:top w:w="0" w:type="dxa"/>
          <w:left w:w="0" w:type="dxa"/>
          <w:bottom w:w="0" w:type="dxa"/>
          <w:right w:w="0" w:type="dxa"/>
        </w:tblCellMar>
      </w:tblPr>
      <w:tr>
        <w:trPr>
          <w:trHeight w:val="161"/>
        </w:trPr>
        <w:tc>
          <w:tcPr>
            <w:tcW w:w="3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20" w:type="dxa"/>
            <w:vAlign w:val="bottom"/>
            <w:gridSpan w:val="4"/>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0" w:type="dxa"/>
            <w:vAlign w:val="bottom"/>
          </w:tcPr>
          <w:p>
            <w:pPr>
              <w:spacing w:after="0"/>
              <w:rPr>
                <w:sz w:val="1"/>
                <w:szCs w:val="1"/>
                <w:color w:val="auto"/>
              </w:rPr>
            </w:pPr>
          </w:p>
        </w:tc>
      </w:tr>
      <w:tr>
        <w:trPr>
          <w:trHeight w:val="195"/>
        </w:trPr>
        <w:tc>
          <w:tcPr>
            <w:tcW w:w="39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center"/>
              <w:ind w:left="49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9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2012</w:t>
            </w:r>
          </w:p>
        </w:tc>
        <w:tc>
          <w:tcPr>
            <w:tcW w:w="0" w:type="dxa"/>
            <w:vAlign w:val="bottom"/>
          </w:tcPr>
          <w:p>
            <w:pPr>
              <w:spacing w:after="0"/>
              <w:rPr>
                <w:sz w:val="1"/>
                <w:szCs w:val="1"/>
                <w:color w:val="auto"/>
              </w:rPr>
            </w:pPr>
          </w:p>
        </w:tc>
      </w:tr>
      <w:tr>
        <w:trPr>
          <w:trHeight w:val="250"/>
        </w:trPr>
        <w:tc>
          <w:tcPr>
            <w:tcW w:w="3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20" w:type="dxa"/>
            <w:vAlign w:val="bottom"/>
            <w:gridSpan w:val="4"/>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55"/>
        </w:trPr>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income</w:t>
            </w: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3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income (loss) allocable to common</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shareholders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(41,263)</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(54,792)</w:t>
            </w: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Add: Depreciation and amortization(1)</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17,454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17,239</w:t>
            </w:r>
          </w:p>
        </w:tc>
        <w:tc>
          <w:tcPr>
            <w:tcW w:w="0" w:type="dxa"/>
            <w:vAlign w:val="bottom"/>
          </w:tcPr>
          <w:p>
            <w:pPr>
              <w:spacing w:after="0"/>
              <w:rPr>
                <w:sz w:val="1"/>
                <w:szCs w:val="1"/>
                <w:color w:val="auto"/>
              </w:rPr>
            </w:pPr>
          </w:p>
        </w:tc>
      </w:tr>
      <w:tr>
        <w:trPr>
          <w:trHeight w:val="243"/>
        </w:trPr>
        <w:tc>
          <w:tcPr>
            <w:tcW w:w="3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Add: Provision for loan losses</w:t>
            </w:r>
          </w:p>
        </w:tc>
        <w:tc>
          <w:tcPr>
            <w:tcW w:w="160" w:type="dxa"/>
            <w:vAlign w:val="bottom"/>
          </w:tcPr>
          <w:p>
            <w:pPr>
              <w:spacing w:after="0"/>
              <w:rPr>
                <w:sz w:val="21"/>
                <w:szCs w:val="21"/>
                <w:color w:val="auto"/>
              </w:rPr>
            </w:pPr>
          </w:p>
        </w:tc>
        <w:tc>
          <w:tcPr>
            <w:tcW w:w="8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10,206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17,500</w:t>
            </w: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Add: Impairment of assets(2)</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16,024</w:t>
            </w:r>
          </w:p>
        </w:tc>
        <w:tc>
          <w:tcPr>
            <w:tcW w:w="0" w:type="dxa"/>
            <w:vAlign w:val="bottom"/>
          </w:tcPr>
          <w:p>
            <w:pPr>
              <w:spacing w:after="0"/>
              <w:rPr>
                <w:sz w:val="1"/>
                <w:szCs w:val="1"/>
                <w:color w:val="auto"/>
              </w:rPr>
            </w:pPr>
          </w:p>
        </w:tc>
      </w:tr>
      <w:tr>
        <w:trPr>
          <w:trHeight w:val="243"/>
        </w:trPr>
        <w:tc>
          <w:tcPr>
            <w:tcW w:w="3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Add: Stock-based compensation expense</w:t>
            </w:r>
          </w:p>
        </w:tc>
        <w:tc>
          <w:tcPr>
            <w:tcW w:w="160" w:type="dxa"/>
            <w:vAlign w:val="bottom"/>
          </w:tcPr>
          <w:p>
            <w:pPr>
              <w:spacing w:after="0"/>
              <w:rPr>
                <w:sz w:val="21"/>
                <w:szCs w:val="21"/>
                <w:color w:val="auto"/>
              </w:rPr>
            </w:pPr>
          </w:p>
        </w:tc>
        <w:tc>
          <w:tcPr>
            <w:tcW w:w="8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5,202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4,666</w:t>
            </w: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9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Less: (Gain) loss on early extinguishment of debt,</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9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w:t>
            </w: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9,541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w:t>
            </w:r>
          </w:p>
        </w:tc>
        <w:tc>
          <w:tcPr>
            <w:tcW w:w="0" w:type="dxa"/>
            <w:vAlign w:val="bottom"/>
          </w:tcPr>
          <w:p>
            <w:pPr>
              <w:spacing w:after="0"/>
              <w:rPr>
                <w:sz w:val="1"/>
                <w:szCs w:val="1"/>
                <w:color w:val="auto"/>
              </w:rPr>
            </w:pPr>
          </w:p>
        </w:tc>
      </w:tr>
      <w:tr>
        <w:trPr>
          <w:trHeight w:val="243"/>
        </w:trPr>
        <w:tc>
          <w:tcPr>
            <w:tcW w:w="3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Less: HPU/Participating Security allocation</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0" w:type="dxa"/>
            <w:vAlign w:val="bottom"/>
          </w:tcPr>
          <w:p>
            <w:pPr>
              <w:spacing w:after="0"/>
              <w:rPr>
                <w:sz w:val="1"/>
                <w:szCs w:val="1"/>
                <w:color w:val="auto"/>
              </w:rPr>
            </w:pPr>
          </w:p>
        </w:tc>
      </w:tr>
      <w:tr>
        <w:trPr>
          <w:trHeight w:val="27"/>
        </w:trPr>
        <w:tc>
          <w:tcPr>
            <w:tcW w:w="3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98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Adjusted income (loss) allocable to common</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20" w:type="dxa"/>
            <w:vAlign w:val="bottom"/>
            <w:shd w:val="clear" w:color="auto" w:fill="CCEEFF"/>
          </w:tcPr>
          <w:p>
            <w:pPr>
              <w:spacing w:after="0"/>
              <w:rPr>
                <w:sz w:val="17"/>
                <w:szCs w:val="17"/>
                <w:color w:val="auto"/>
              </w:rPr>
            </w:pPr>
          </w:p>
        </w:tc>
        <w:tc>
          <w:tcPr>
            <w:tcW w:w="32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(2,832)</w:t>
            </w:r>
          </w:p>
        </w:tc>
        <w:tc>
          <w:tcPr>
            <w:tcW w:w="0" w:type="dxa"/>
            <w:vAlign w:val="bottom"/>
          </w:tcPr>
          <w:p>
            <w:pPr>
              <w:spacing w:after="0"/>
              <w:rPr>
                <w:sz w:val="1"/>
                <w:szCs w:val="1"/>
                <w:color w:val="auto"/>
              </w:rPr>
            </w:pPr>
          </w:p>
        </w:tc>
      </w:tr>
      <w:tr>
        <w:trPr>
          <w:trHeight w:val="241"/>
        </w:trPr>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shareholders</w:t>
            </w: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Explanatory Notes: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120" w:lineRule="exact"/>
        <w:rPr>
          <w:sz w:val="20"/>
          <w:szCs w:val="20"/>
          <w:color w:val="auto"/>
        </w:rPr>
      </w:pPr>
    </w:p>
    <w:p>
      <w:pPr>
        <w:ind w:left="660" w:hanging="652"/>
        <w:spacing w:after="0" w:line="253" w:lineRule="auto"/>
        <w:tabs>
          <w:tab w:leader="none" w:pos="6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three months ended March 31, 2013 and 2012, depreciation and amortization includes $65 and $1,071, respectively, of depreciation and amortization reclassified to discontinued operations.</w:t>
      </w:r>
    </w:p>
    <w:p>
      <w:pPr>
        <w:ind w:left="660" w:hanging="652"/>
        <w:spacing w:after="0"/>
        <w:tabs>
          <w:tab w:leader="none" w:pos="6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three months ended March 31, 2013 and 2012, impairment of assets includes ($32) and $15,275 of impairment of assets reclassified to discontinued operations.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114" w:right="2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61"/>
        </w:trPr>
        <w:tc>
          <w:tcPr>
            <w:tcW w:w="6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0000FF"/>
              </w:rPr>
              <w:t>Table of Contents</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650"/>
        </w:trPr>
        <w:tc>
          <w:tcPr>
            <w:tcW w:w="1100" w:type="dxa"/>
            <w:vAlign w:val="bottom"/>
            <w:tcBorders>
              <w:top w:val="single" w:sz="8" w:color="0000FF"/>
            </w:tcBorders>
          </w:tcPr>
          <w:p>
            <w:pPr>
              <w:spacing w:after="0"/>
              <w:rPr>
                <w:sz w:val="24"/>
                <w:szCs w:val="24"/>
                <w:color w:val="auto"/>
              </w:rPr>
            </w:pPr>
          </w:p>
        </w:tc>
        <w:tc>
          <w:tcPr>
            <w:tcW w:w="80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26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264"/>
        </w:trPr>
        <w:tc>
          <w:tcPr>
            <w:tcW w:w="1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0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250"/>
        </w:trPr>
        <w:tc>
          <w:tcPr>
            <w:tcW w:w="1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20" w:type="dxa"/>
            <w:vAlign w:val="bottom"/>
          </w:tcPr>
          <w:p>
            <w:pPr>
              <w:spacing w:after="0"/>
              <w:rPr>
                <w:sz w:val="21"/>
                <w:szCs w:val="21"/>
                <w:color w:val="auto"/>
              </w:rPr>
            </w:pPr>
          </w:p>
        </w:tc>
      </w:tr>
      <w:tr>
        <w:trPr>
          <w:trHeight w:val="255"/>
        </w:trPr>
        <w:tc>
          <w:tcPr>
            <w:tcW w:w="1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r>
      <w:tr>
        <w:trPr>
          <w:trHeight w:val="243"/>
        </w:trPr>
        <w:tc>
          <w:tcPr>
            <w:tcW w:w="1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(32,253)</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(46,048)</w:t>
            </w:r>
          </w:p>
        </w:tc>
      </w:tr>
      <w:tr>
        <w:trPr>
          <w:trHeight w:val="27"/>
        </w:trPr>
        <w:tc>
          <w:tcPr>
            <w:tcW w:w="1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1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Add: Interest expense(1)</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71,566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86,142</w:t>
            </w:r>
          </w:p>
        </w:tc>
      </w:tr>
      <w:tr>
        <w:trPr>
          <w:trHeight w:val="243"/>
        </w:trPr>
        <w:tc>
          <w:tcPr>
            <w:tcW w:w="1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Add: Income tax expense</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4,075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1,271</w:t>
            </w:r>
          </w:p>
        </w:tc>
      </w:tr>
      <w:tr>
        <w:trPr>
          <w:trHeight w:val="27"/>
        </w:trPr>
        <w:tc>
          <w:tcPr>
            <w:tcW w:w="1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1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50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Add: Depreciation and amortization(2)</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17,454</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17,239</w:t>
            </w:r>
          </w:p>
        </w:tc>
      </w:tr>
      <w:tr>
        <w:trPr>
          <w:trHeight w:val="237"/>
        </w:trPr>
        <w:tc>
          <w:tcPr>
            <w:tcW w:w="1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EBITDA</w:t>
            </w:r>
          </w:p>
        </w:tc>
        <w:tc>
          <w:tcPr>
            <w:tcW w:w="300" w:type="dxa"/>
            <w:vAlign w:val="bottom"/>
            <w:tcBorders>
              <w:top w:val="single" w:sz="8" w:color="auto"/>
            </w:tcBorders>
          </w:tcPr>
          <w:p>
            <w:pPr>
              <w:jc w:val="right"/>
              <w:ind w:right="114"/>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60,842</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58,604</w:t>
            </w:r>
          </w:p>
        </w:tc>
      </w:tr>
      <w:tr>
        <w:trPr>
          <w:trHeight w:val="27"/>
        </w:trPr>
        <w:tc>
          <w:tcPr>
            <w:tcW w:w="1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1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Add: Provision for loan losses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10,206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17,500</w:t>
            </w:r>
          </w:p>
        </w:tc>
      </w:tr>
      <w:tr>
        <w:trPr>
          <w:trHeight w:val="243"/>
        </w:trPr>
        <w:tc>
          <w:tcPr>
            <w:tcW w:w="1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Add: Impairment of assets(3)</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16,024</w:t>
            </w:r>
          </w:p>
        </w:tc>
      </w:tr>
      <w:tr>
        <w:trPr>
          <w:trHeight w:val="27"/>
        </w:trPr>
        <w:tc>
          <w:tcPr>
            <w:tcW w:w="1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1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Add: Stock-based compensation expense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5,202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4,666</w:t>
            </w:r>
          </w:p>
        </w:tc>
      </w:tr>
      <w:tr>
        <w:trPr>
          <w:trHeight w:val="243"/>
        </w:trPr>
        <w:tc>
          <w:tcPr>
            <w:tcW w:w="1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Less: (Gain) loss on early extinguishment of debt, net</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9,541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w:t>
            </w:r>
          </w:p>
        </w:tc>
      </w:tr>
      <w:tr>
        <w:trPr>
          <w:trHeight w:val="27"/>
        </w:trPr>
        <w:tc>
          <w:tcPr>
            <w:tcW w:w="1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1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85,759</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95,090</w:t>
            </w:r>
          </w:p>
        </w:tc>
      </w:tr>
      <w:tr>
        <w:trPr>
          <w:trHeight w:val="20"/>
        </w:trPr>
        <w:tc>
          <w:tcPr>
            <w:tcW w:w="1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Explanatory Notes: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120" w:lineRule="exact"/>
        <w:rPr>
          <w:sz w:val="20"/>
          <w:szCs w:val="20"/>
          <w:color w:val="auto"/>
        </w:rPr>
      </w:pPr>
    </w:p>
    <w:p>
      <w:pPr>
        <w:ind w:left="660" w:hanging="652"/>
        <w:spacing w:after="0"/>
        <w:tabs>
          <w:tab w:leader="none" w:pos="6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three months ended March 31, 2012, interest expense includes $(798) of interest expense reclassified to discontinued operations.</w:t>
      </w:r>
    </w:p>
    <w:p>
      <w:pPr>
        <w:spacing w:after="0" w:line="17" w:lineRule="exact"/>
        <w:rPr>
          <w:rFonts w:ascii="Times New Roman" w:cs="Times New Roman" w:eastAsia="Times New Roman" w:hAnsi="Times New Roman"/>
          <w:sz w:val="14"/>
          <w:szCs w:val="14"/>
          <w:color w:val="auto"/>
        </w:rPr>
      </w:pPr>
    </w:p>
    <w:p>
      <w:pPr>
        <w:ind w:left="660" w:right="120" w:hanging="652"/>
        <w:spacing w:after="0" w:line="241" w:lineRule="auto"/>
        <w:tabs>
          <w:tab w:leader="none" w:pos="6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three months ended March 31, 2013 and 2012, depreciation and amortization includes $65 and $1,071, respectively, of depreciation and amortization reclassified to discontinued operations.</w:t>
      </w:r>
    </w:p>
    <w:p>
      <w:pPr>
        <w:ind w:left="660" w:hanging="652"/>
        <w:spacing w:after="0"/>
        <w:tabs>
          <w:tab w:leader="none" w:pos="6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three months ended March 31, 2013 and 2012, impairment of assets includes ($32) and $15,275 of impairment of assets reclassified to discontinued operations.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w:t>
      </w:r>
    </w:p>
    <w:p>
      <w:pPr>
        <w:spacing w:after="0" w:line="185"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Loan Credit Statistics</w:t>
      </w:r>
      <w:r>
        <w:rPr>
          <w:rFonts w:ascii="Times New Roman" w:cs="Times New Roman" w:eastAsia="Times New Roman" w:hAnsi="Times New Roman"/>
          <w:sz w:val="18"/>
          <w:szCs w:val="18"/>
          <w:color w:val="auto"/>
        </w:rPr>
        <w:t>—The table below summarizes our non-performing loans, watch list loans and the reserves for loan losses associated with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loans ($ in thousands):</w:t>
      </w:r>
    </w:p>
    <w:p>
      <w:pPr>
        <w:spacing w:after="0" w:line="342"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77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560" w:type="dxa"/>
            <w:vAlign w:val="bottom"/>
            <w:tcBorders>
              <w:bottom w:val="single" w:sz="8" w:color="auto"/>
            </w:tcBorders>
          </w:tcPr>
          <w:p>
            <w:pPr>
              <w:spacing w:after="0"/>
              <w:rPr>
                <w:sz w:val="16"/>
                <w:szCs w:val="16"/>
                <w:color w:val="auto"/>
              </w:rPr>
            </w:pPr>
          </w:p>
        </w:tc>
      </w:tr>
      <w:tr>
        <w:trPr>
          <w:trHeight w:val="264"/>
        </w:trPr>
        <w:tc>
          <w:tcPr>
            <w:tcW w:w="77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2013</w:t>
            </w:r>
          </w:p>
        </w:tc>
        <w:tc>
          <w:tcPr>
            <w:tcW w:w="200" w:type="dxa"/>
            <w:vAlign w:val="bottom"/>
          </w:tcPr>
          <w:p>
            <w:pPr>
              <w:spacing w:after="0"/>
              <w:rPr>
                <w:sz w:val="22"/>
                <w:szCs w:val="22"/>
                <w:color w:val="auto"/>
              </w:rPr>
            </w:pPr>
          </w:p>
        </w:tc>
        <w:tc>
          <w:tcPr>
            <w:tcW w:w="156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December 31, 2012</w:t>
            </w:r>
          </w:p>
        </w:tc>
      </w:tr>
      <w:tr>
        <w:trPr>
          <w:trHeight w:val="249"/>
        </w:trPr>
        <w:tc>
          <w:tcPr>
            <w:tcW w:w="7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Non-performing loans</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Carrying value(1)</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358,805</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503,112</w:t>
            </w:r>
          </w:p>
        </w:tc>
      </w:tr>
      <w:tr>
        <w:trPr>
          <w:trHeight w:val="27"/>
        </w:trPr>
        <w:tc>
          <w:tcPr>
            <w:tcW w:w="7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a percentage of total carrying value of loans</w:t>
            </w: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r>
      <w:tr>
        <w:trPr>
          <w:trHeight w:val="24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Watch list loans</w:t>
            </w:r>
          </w:p>
        </w:tc>
        <w:tc>
          <w:tcPr>
            <w:tcW w:w="2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7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Carrying value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41,742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44,350</w:t>
            </w:r>
          </w:p>
        </w:tc>
      </w:tr>
      <w:tr>
        <w:trPr>
          <w:trHeight w:val="24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a percentage of total carrying value of loans</w:t>
            </w:r>
          </w:p>
        </w:tc>
        <w:tc>
          <w:tcPr>
            <w:tcW w:w="2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7"/>
        </w:trPr>
        <w:tc>
          <w:tcPr>
            <w:tcW w:w="7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Reserve for loan losses</w:t>
            </w: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reserve for loan losses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521,795</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524,499</w:t>
            </w:r>
          </w:p>
        </w:tc>
      </w:tr>
      <w:tr>
        <w:trPr>
          <w:trHeight w:val="27"/>
        </w:trPr>
        <w:tc>
          <w:tcPr>
            <w:tcW w:w="7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As a percentage of total loans before loan loss reserves</w:t>
            </w: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r>
      <w:tr>
        <w:trPr>
          <w:trHeight w:val="24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Non-performing loan asset-specific reserves for loan losses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465,837</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476,140</w:t>
            </w:r>
          </w:p>
        </w:tc>
      </w:tr>
      <w:tr>
        <w:trPr>
          <w:trHeight w:val="27"/>
        </w:trPr>
        <w:tc>
          <w:tcPr>
            <w:tcW w:w="7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7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As a percentage of gross carrying value of non-performing loans</w:t>
            </w:r>
          </w:p>
        </w:tc>
        <w:tc>
          <w:tcPr>
            <w:tcW w:w="26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r>
      <w:tr>
        <w:trPr>
          <w:trHeight w:val="27"/>
        </w:trPr>
        <w:tc>
          <w:tcPr>
            <w:tcW w:w="77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153"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Non-Performing Loans</w:t>
      </w:r>
      <w:r>
        <w:rPr>
          <w:rFonts w:ascii="Times New Roman" w:cs="Times New Roman" w:eastAsia="Times New Roman" w:hAnsi="Times New Roman"/>
          <w:sz w:val="18"/>
          <w:szCs w:val="18"/>
          <w:color w:val="auto"/>
        </w:rPr>
        <w:t>—We designate loans as non-performing at such time as: (1) the loan becomes 90 days delinquent; (2) the loan has a maturity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default; or (3) management determines it is probable that it will be unable to collect all amounts due according to the contractual terms of the loan. All non-performing loans are placed on non-accrual status and income is only recognized in certain cases upon actual cash receipt. As of March 31, 2013, we had non-performing loans with an aggregate carrying value of $358.8 million. Our non-performing loans decreased during the three months ended March 31, 2013, primarily due to the reclassification of certain non-performing loans to performing status as well as paydowns received on non-performing loans during the quarter.</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114" w:right="2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48" w:lineRule="exact"/>
        <w:rPr>
          <w:sz w:val="20"/>
          <w:szCs w:val="20"/>
          <w:color w:val="auto"/>
        </w:rPr>
      </w:pPr>
    </w:p>
    <w:p>
      <w:pPr>
        <w:jc w:val="both"/>
        <w:ind w:firstLine="40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Watch List Loans</w:t>
      </w:r>
      <w:r>
        <w:rPr>
          <w:rFonts w:ascii="Times New Roman" w:cs="Times New Roman" w:eastAsia="Times New Roman" w:hAnsi="Times New Roman"/>
          <w:sz w:val="18"/>
          <w:szCs w:val="18"/>
          <w:color w:val="auto"/>
        </w:rPr>
        <w:t>—During our quarterly loan portfolio assessments, loans are put on the watch list if deteriorating performance indicates they warrant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higher degree of monitoring and senior management attention. As of March 31, 2013, we had loans on the watch list with a combined carrying value of $41.7 million.</w:t>
      </w:r>
    </w:p>
    <w:p>
      <w:pPr>
        <w:spacing w:after="0" w:line="130"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Reserve for Loan Losses</w:t>
      </w:r>
      <w:r>
        <w:rPr>
          <w:rFonts w:ascii="Times New Roman" w:cs="Times New Roman" w:eastAsia="Times New Roman" w:hAnsi="Times New Roman"/>
          <w:sz w:val="18"/>
          <w:szCs w:val="18"/>
          <w:color w:val="auto"/>
        </w:rPr>
        <w:t>—The reserve for loan losses was $521.8 million as of March 31, 2013, or 24.8% of the gross carrying value of total loans,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compared to $524.5 million or 22.3% at December 31, 2012. The change in the balance of the reserve was the result of $10.2 million of provisioning for loan losses, reduced by $12.9 million of charge-offs during the three months ended March 31, 2013. Due to the continued volatility of the commercial real estate market, the process of estimating collateral values and reserves require us to use significant judgment. In addition, the process of estimating values and reserves for our European loan assets, is subject to additional risks related to the continued economic uncertainty in the Eurozone. We currently believe there are adequate collateral and reserves to support the carrying values of the loans.</w:t>
      </w:r>
    </w:p>
    <w:p>
      <w:pPr>
        <w:spacing w:after="0" w:line="14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reserve for loan losses includes an asset-specific component and a formula-based component. An asset-specific reserve is established for an impaired loan when the estimated fair value of the loan's collateral less costs to sell is lower than the carrying value of the loan. As of March 31, 2013, asset-specific reserves decreased slightly to $490.9 million compared to $491.4 million at December 31, 2012, primarily due to charge-offs on loans offset by additional reserves established on existing non-performing loans.</w:t>
      </w:r>
    </w:p>
    <w:p>
      <w:pPr>
        <w:spacing w:after="0" w:line="140"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formula-based general reserve is derived from estimated principal default probabilities and loss severities applied to groups of performing loans based upon risk ratings assigned to loans with similar risk characteristics during our quarterly loan portfolio assessment. During this assessment, we perform a comprehensive analysis of our loan portfolio and assign risk ratings to loans that incorporate management's current judgments about their credit quality based on all known and relevant factors that may affect collectability. We consider, among other things, payment status, lien position, borrower financial resources and investment in collateral, collateral type, project economics and geographical location as well as national and regional economic factors. This methodology results in loans being segmented by risk classification into risk rating categories that are associated with estimated probabilities of default and principal loss. We estimate loss rates based on historical realized losses experienced within our portfolio and take into account current economic conditions affecting the commercial real estate market when establishing appropriate time frames to evaluate loss experience.</w:t>
      </w:r>
    </w:p>
    <w:p>
      <w:pPr>
        <w:spacing w:after="0" w:line="14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general reserve decreased to $30.9 million or 2.4% of the gross carrying value of performing loans as of March 31, 2013, compared to $33.1 million or 2.4% of the gross carrying value of performing loans at December 31, 2012. This reduction is primarily attributable to the reduction in the balance of performing loans combined with a slight improvement in the weighted average risk ratings of performing loans to 3.00 as of March 31, 2013 compared to 3.01 as of December 31, 2012.</w:t>
      </w:r>
    </w:p>
    <w:p>
      <w:pPr>
        <w:spacing w:after="0" w:line="13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Risk concentrations</w:t>
      </w:r>
      <w:r>
        <w:rPr>
          <w:rFonts w:ascii="Times New Roman" w:cs="Times New Roman" w:eastAsia="Times New Roman" w:hAnsi="Times New Roman"/>
          <w:sz w:val="18"/>
          <w:szCs w:val="18"/>
          <w:color w:val="auto"/>
        </w:rPr>
        <w:t>—As of March 31, 2013, our total investment portfolio was comprised of the following property/collateral types ($ in thousands)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w:t>
      </w:r>
    </w:p>
    <w:p>
      <w:pPr>
        <w:spacing w:after="0" w:line="310"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3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Property/Collateral Types</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220" w:type="dxa"/>
            <w:vAlign w:val="bottom"/>
          </w:tcPr>
          <w:p>
            <w:pPr>
              <w:spacing w:after="0"/>
              <w:rPr>
                <w:sz w:val="13"/>
                <w:szCs w:val="13"/>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Net Lease</w:t>
            </w:r>
          </w:p>
        </w:tc>
        <w:tc>
          <w:tcPr>
            <w:tcW w:w="200" w:type="dxa"/>
            <w:vAlign w:val="bottom"/>
          </w:tcPr>
          <w:p>
            <w:pPr>
              <w:spacing w:after="0"/>
              <w:rPr>
                <w:sz w:val="13"/>
                <w:szCs w:val="13"/>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280" w:type="dxa"/>
            <w:vAlign w:val="bottom"/>
          </w:tcPr>
          <w:p>
            <w:pPr>
              <w:spacing w:after="0"/>
              <w:rPr>
                <w:sz w:val="13"/>
                <w:szCs w:val="13"/>
                <w:color w:val="auto"/>
              </w:rPr>
            </w:pPr>
          </w:p>
        </w:tc>
        <w:tc>
          <w:tcPr>
            <w:tcW w:w="940" w:type="dxa"/>
            <w:vAlign w:val="bottom"/>
            <w:vMerge w:val="restart"/>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Land</w:t>
            </w:r>
          </w:p>
        </w:tc>
        <w:tc>
          <w:tcPr>
            <w:tcW w:w="10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vMerge w:val="restart"/>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3"/>
                <w:szCs w:val="13"/>
                <w:color w:val="auto"/>
              </w:rPr>
            </w:pPr>
          </w:p>
        </w:tc>
        <w:tc>
          <w:tcPr>
            <w:tcW w:w="110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95"/>
        </w:trPr>
        <w:tc>
          <w:tcPr>
            <w:tcW w:w="23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Properties</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0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49"/>
        </w:trPr>
        <w:tc>
          <w:tcPr>
            <w:tcW w:w="24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Land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273,481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976,925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1,250,406</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43"/>
        </w:trPr>
        <w:tc>
          <w:tcPr>
            <w:tcW w:w="2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Office</w:t>
            </w: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406,116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308,424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773,897</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7"/>
        </w:trPr>
        <w:tc>
          <w:tcPr>
            <w:tcW w:w="2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Industrial / R&amp;D</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558,945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712,291</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43"/>
        </w:trPr>
        <w:tc>
          <w:tcPr>
            <w:tcW w:w="2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Entertainment / Leisure</w:t>
            </w: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484,380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559,458</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7"/>
        </w:trPr>
        <w:tc>
          <w:tcPr>
            <w:tcW w:w="2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Hotel</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296,474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136,080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523,573</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43"/>
        </w:trPr>
        <w:tc>
          <w:tcPr>
            <w:tcW w:w="2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Condominium</w:t>
            </w: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358,518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516,533</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7"/>
        </w:trPr>
        <w:tc>
          <w:tcPr>
            <w:tcW w:w="2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Retail</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58,134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169,299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506,902</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43"/>
        </w:trPr>
        <w:tc>
          <w:tcPr>
            <w:tcW w:w="2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Mixed Use / Mixed Collateral</w:t>
            </w: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239,555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189,267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428,822</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7"/>
        </w:trPr>
        <w:tc>
          <w:tcPr>
            <w:tcW w:w="2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Property Types</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9,788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171,638</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43"/>
        </w:trPr>
        <w:tc>
          <w:tcPr>
            <w:tcW w:w="2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Strategic Investments</w:t>
            </w:r>
          </w:p>
        </w:tc>
        <w:tc>
          <w:tcPr>
            <w:tcW w:w="20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363,199</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7"/>
        </w:trPr>
        <w:tc>
          <w:tcPr>
            <w:tcW w:w="2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4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1,613,556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1,653,443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1,199,596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976,925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5,806,719</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Explanatory Note: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120" w:lineRule="exact"/>
        <w:rPr>
          <w:sz w:val="20"/>
          <w:szCs w:val="20"/>
          <w:color w:val="auto"/>
        </w:rPr>
      </w:pPr>
    </w:p>
    <w:p>
      <w:pPr>
        <w:ind w:left="660" w:hanging="652"/>
        <w:spacing w:after="0"/>
        <w:tabs>
          <w:tab w:leader="none" w:pos="6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the carrying value of our total investment portfolio, gross of accumulated depreciation and general loan loss reserves.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114" w:right="2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5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March 31, 2013, our total investment portfolio had the following characteristics by geographical region ($ in thousands)(1):</w:t>
      </w:r>
    </w:p>
    <w:p>
      <w:pPr>
        <w:spacing w:after="0" w:line="328"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3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Geographic Region</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Net Lease Assets</w:t>
            </w:r>
          </w:p>
        </w:tc>
        <w:tc>
          <w:tcPr>
            <w:tcW w:w="1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280" w:type="dxa"/>
            <w:vAlign w:val="bottom"/>
          </w:tcPr>
          <w:p>
            <w:pPr>
              <w:spacing w:after="0"/>
              <w:rPr>
                <w:sz w:val="13"/>
                <w:szCs w:val="13"/>
                <w:color w:val="auto"/>
              </w:rPr>
            </w:pPr>
          </w:p>
        </w:tc>
        <w:tc>
          <w:tcPr>
            <w:tcW w:w="92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Land</w:t>
            </w:r>
          </w:p>
        </w:tc>
        <w:tc>
          <w:tcPr>
            <w:tcW w:w="12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vMerge w:val="restart"/>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vMerge w:val="restart"/>
          </w:tcPr>
          <w:p>
            <w:pPr>
              <w:spacing w:after="0"/>
              <w:rPr>
                <w:sz w:val="13"/>
                <w:szCs w:val="13"/>
                <w:color w:val="auto"/>
              </w:rPr>
            </w:pPr>
          </w:p>
        </w:tc>
        <w:tc>
          <w:tcPr>
            <w:tcW w:w="108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95"/>
        </w:trPr>
        <w:tc>
          <w:tcPr>
            <w:tcW w:w="23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Properties</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49"/>
        </w:trPr>
        <w:tc>
          <w:tcPr>
            <w:tcW w:w="24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West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272,196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434,399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261,739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368,743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1,337,077</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43"/>
        </w:trPr>
        <w:tc>
          <w:tcPr>
            <w:tcW w:w="2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Northeast</w:t>
            </w:r>
          </w:p>
        </w:tc>
        <w:tc>
          <w:tcPr>
            <w:tcW w:w="18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375,015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385,487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187,924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184,726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1,133,152</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7"/>
        </w:trPr>
        <w:tc>
          <w:tcPr>
            <w:tcW w:w="2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Southeast</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296,468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241,449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242,939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90,964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871,820</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43"/>
        </w:trPr>
        <w:tc>
          <w:tcPr>
            <w:tcW w:w="2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Southwest</w:t>
            </w:r>
          </w:p>
        </w:tc>
        <w:tc>
          <w:tcPr>
            <w:tcW w:w="18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193,186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227,988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218,135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118,868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758,177</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7"/>
        </w:trPr>
        <w:tc>
          <w:tcPr>
            <w:tcW w:w="2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Mid-Atlantic</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28,498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125,578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207,516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180,850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542,442</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43"/>
        </w:trPr>
        <w:tc>
          <w:tcPr>
            <w:tcW w:w="2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Central</w:t>
            </w:r>
          </w:p>
        </w:tc>
        <w:tc>
          <w:tcPr>
            <w:tcW w:w="18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149,077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80,456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67,092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306,125</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7"/>
        </w:trPr>
        <w:tc>
          <w:tcPr>
            <w:tcW w:w="2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International</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230,830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230,830</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43"/>
        </w:trPr>
        <w:tc>
          <w:tcPr>
            <w:tcW w:w="2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Northwest</w:t>
            </w:r>
          </w:p>
        </w:tc>
        <w:tc>
          <w:tcPr>
            <w:tcW w:w="18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68,269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80,947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14,251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23,274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186,741</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7"/>
        </w:trPr>
        <w:tc>
          <w:tcPr>
            <w:tcW w:w="2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Various</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77,139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77,156</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43"/>
        </w:trPr>
        <w:tc>
          <w:tcPr>
            <w:tcW w:w="2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Strategic Investments</w:t>
            </w:r>
          </w:p>
        </w:tc>
        <w:tc>
          <w:tcPr>
            <w:tcW w:w="18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363,199</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7"/>
        </w:trPr>
        <w:tc>
          <w:tcPr>
            <w:tcW w:w="2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4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1,613,556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1,653,443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1,199,596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976,925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5,806,719</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Explanatory Notes: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120" w:lineRule="exact"/>
        <w:rPr>
          <w:sz w:val="20"/>
          <w:szCs w:val="20"/>
          <w:color w:val="auto"/>
        </w:rPr>
      </w:pPr>
    </w:p>
    <w:p>
      <w:pPr>
        <w:ind w:left="660" w:hanging="652"/>
        <w:spacing w:after="0"/>
        <w:tabs>
          <w:tab w:leader="none" w:pos="6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the carrying value of our total investment portfolio, gross of accumulated depreciation and general loan loss reserves.</w:t>
      </w:r>
    </w:p>
    <w:p>
      <w:pPr>
        <w:spacing w:after="0" w:line="17" w:lineRule="exact"/>
        <w:rPr>
          <w:rFonts w:ascii="Times New Roman" w:cs="Times New Roman" w:eastAsia="Times New Roman" w:hAnsi="Times New Roman"/>
          <w:sz w:val="14"/>
          <w:szCs w:val="14"/>
          <w:color w:val="auto"/>
        </w:rPr>
      </w:pPr>
    </w:p>
    <w:p>
      <w:pPr>
        <w:ind w:left="660" w:hanging="652"/>
        <w:spacing w:after="0" w:line="258" w:lineRule="auto"/>
        <w:tabs>
          <w:tab w:leader="none" w:pos="6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Strategic investments includes $37.0 million of international assets. Additionally, international and strategic investments include $155.5 million of European assets, including $66.0 million in Germany and $89.5 million in the United Kingdom.</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2013, we funded investments of $39.9 million. Also during the first quarter of 2013, we received $355.3 million of proceeds from our portfolio, comprised of $231.0 million from repayments and sales of loans, $112.6 million from sales of operating properties and $11.6 million from land, net leasing and other investments. In addition, we raised $194.0 million in net proceeds from our Series J Preferred Stock issuance to provide liquidity for new investment originations and general corporate purposes.</w:t>
      </w:r>
    </w:p>
    <w:p>
      <w:pPr>
        <w:spacing w:after="0" w:line="140"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As of March 31, 2013, we had $545.3 million of debt maturities due before December 31, 2013, with a majority of that amount due in October 2013. In addition, we currently expect to make approximately $186.6 million of capital expenditures on our portfolio during the remainder of the year. Our capital sources to meet expected cash uses throughout 2013 will primarily include cash on hand, as well as debt refinancings, proceeds from unencumbered asset sales and loan repayments from borrowers, and may include equity capital raising transactions. As of March 31, 2013, we had unencumbered assets with a carrying value of approximately $3.10 billion. In April 2013, we sold our interest in LNR for net proceeds of $220.3 million. The transaction will provide us with additional liquidity that we can use for new investment activities which should contribute positively to our earnings; however, those investments may not fully replace the earnings contributed by LNR (see Note 6 to the Consolidated Financial Statements).</w:t>
      </w:r>
    </w:p>
    <w:p>
      <w:pPr>
        <w:spacing w:after="0" w:line="14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cannot predict with certainty the specific transactions we will undertake to generate sufficient liquidity to meet our obligations as they come due. We will adjust our plans as appropriate in response to changes in our expectations and changes in market conditions. However, it is not possible for us to predict whether improving economic trends will continue or to quantify the impact of these or other trends on our financial results. If we fail to repay our obligations as they become due, it would be an event of default under the relevant debt instruments, which could result in a cross-default and acceleration of our other outstanding debt obligations, all of which would have a material adverse effect on our business.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114" w:right="2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48" w:lineRule="exact"/>
        <w:rPr>
          <w:sz w:val="20"/>
          <w:szCs w:val="20"/>
          <w:color w:val="auto"/>
        </w:rPr>
      </w:pPr>
    </w:p>
    <w:p>
      <w:pPr>
        <w:ind w:firstLine="40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Contractual Obligations</w:t>
      </w:r>
      <w:r>
        <w:rPr>
          <w:rFonts w:ascii="Times New Roman" w:cs="Times New Roman" w:eastAsia="Times New Roman" w:hAnsi="Times New Roman"/>
          <w:sz w:val="18"/>
          <w:szCs w:val="18"/>
          <w:color w:val="auto"/>
        </w:rPr>
        <w:t>—The following table outlines the contractual obligations related to our long-term debt agreements and operating lease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obligations as of March 31, 2013 (see Note 8 of the Notes to the Consolidated Financial Statements) ($ in thousands):</w:t>
      </w:r>
    </w:p>
    <w:p>
      <w:pPr>
        <w:spacing w:after="0" w:line="342" w:lineRule="exact"/>
        <w:rPr>
          <w:sz w:val="20"/>
          <w:szCs w:val="20"/>
          <w:color w:val="auto"/>
        </w:rPr>
      </w:pPr>
    </w:p>
    <w:tbl>
      <w:tblPr>
        <w:tblLayout w:type="fixed"/>
        <w:tblInd w:w="300" w:type="dxa"/>
        <w:tblCellMar>
          <w:top w:w="0" w:type="dxa"/>
          <w:left w:w="0" w:type="dxa"/>
          <w:bottom w:w="0" w:type="dxa"/>
          <w:right w:w="0" w:type="dxa"/>
        </w:tblCellMar>
      </w:tblPr>
      <w:tr>
        <w:trPr>
          <w:trHeight w:val="195"/>
        </w:trPr>
        <w:tc>
          <w:tcPr>
            <w:tcW w:w="28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Amounts Due By Period</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Less Than 1</w:t>
            </w:r>
          </w:p>
        </w:tc>
        <w:tc>
          <w:tcPr>
            <w:tcW w:w="260" w:type="dxa"/>
            <w:vAlign w:val="bottom"/>
          </w:tcPr>
          <w:p>
            <w:pPr>
              <w:spacing w:after="0"/>
              <w:rPr>
                <w:sz w:val="12"/>
                <w:szCs w:val="12"/>
                <w:color w:val="auto"/>
              </w:rPr>
            </w:pPr>
          </w:p>
        </w:tc>
        <w:tc>
          <w:tcPr>
            <w:tcW w:w="940" w:type="dxa"/>
            <w:vAlign w:val="bottom"/>
          </w:tcPr>
          <w:p>
            <w:pPr>
              <w:jc w:val="right"/>
              <w:ind w:right="396"/>
              <w:spacing w:after="0" w:line="149" w:lineRule="exact"/>
              <w:rPr>
                <w:sz w:val="20"/>
                <w:szCs w:val="20"/>
                <w:color w:val="auto"/>
              </w:rPr>
            </w:pPr>
            <w:r>
              <w:rPr>
                <w:rFonts w:ascii="Times New Roman" w:cs="Times New Roman" w:eastAsia="Times New Roman" w:hAnsi="Times New Roman"/>
                <w:sz w:val="14"/>
                <w:szCs w:val="14"/>
                <w:b w:val="1"/>
                <w:bCs w:val="1"/>
                <w:color w:val="auto"/>
              </w:rPr>
              <w:t>2 - 3</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jc w:val="right"/>
              <w:ind w:right="433"/>
              <w:spacing w:after="0" w:line="149" w:lineRule="exact"/>
              <w:rPr>
                <w:sz w:val="20"/>
                <w:szCs w:val="20"/>
                <w:color w:val="auto"/>
              </w:rPr>
            </w:pPr>
            <w:r>
              <w:rPr>
                <w:rFonts w:ascii="Times New Roman" w:cs="Times New Roman" w:eastAsia="Times New Roman" w:hAnsi="Times New Roman"/>
                <w:sz w:val="14"/>
                <w:szCs w:val="14"/>
                <w:b w:val="1"/>
                <w:bCs w:val="1"/>
                <w:color w:val="auto"/>
              </w:rPr>
              <w:t>4 - 5</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6 - 10</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jc w:val="right"/>
              <w:ind w:right="273"/>
              <w:spacing w:after="0" w:line="149" w:lineRule="exact"/>
              <w:rPr>
                <w:sz w:val="20"/>
                <w:szCs w:val="20"/>
                <w:color w:val="auto"/>
              </w:rPr>
            </w:pPr>
            <w:r>
              <w:rPr>
                <w:rFonts w:ascii="Times New Roman" w:cs="Times New Roman" w:eastAsia="Times New Roman" w:hAnsi="Times New Roman"/>
                <w:sz w:val="14"/>
                <w:szCs w:val="14"/>
                <w:b w:val="1"/>
                <w:bCs w:val="1"/>
                <w:color w:val="auto"/>
              </w:rPr>
              <w:t>After 10</w:t>
            </w:r>
          </w:p>
        </w:tc>
        <w:tc>
          <w:tcPr>
            <w:tcW w:w="0" w:type="dxa"/>
            <w:vAlign w:val="bottom"/>
          </w:tcPr>
          <w:p>
            <w:pPr>
              <w:spacing w:after="0"/>
              <w:rPr>
                <w:sz w:val="1"/>
                <w:szCs w:val="1"/>
                <w:color w:val="auto"/>
              </w:rPr>
            </w:pPr>
          </w:p>
        </w:tc>
      </w:tr>
      <w:tr>
        <w:trPr>
          <w:trHeight w:val="195"/>
        </w:trPr>
        <w:tc>
          <w:tcPr>
            <w:tcW w:w="28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Year</w:t>
            </w: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4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Years</w:t>
            </w:r>
          </w:p>
        </w:tc>
        <w:tc>
          <w:tcPr>
            <w:tcW w:w="0" w:type="dxa"/>
            <w:vAlign w:val="bottom"/>
          </w:tcPr>
          <w:p>
            <w:pPr>
              <w:spacing w:after="0"/>
              <w:rPr>
                <w:sz w:val="1"/>
                <w:szCs w:val="1"/>
                <w:color w:val="auto"/>
              </w:rPr>
            </w:pPr>
          </w:p>
        </w:tc>
      </w:tr>
      <w:tr>
        <w:trPr>
          <w:trHeight w:val="196"/>
        </w:trPr>
        <w:tc>
          <w:tcPr>
            <w:tcW w:w="2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Debt Obligations</w:t>
            </w: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Secured credit facilities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2,203,723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60,309</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2,143,414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Unsecured notes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1,787,745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745,855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367,168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674,722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notes</w:t>
            </w:r>
          </w:p>
        </w:tc>
        <w:tc>
          <w:tcPr>
            <w:tcW w:w="3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200,000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200,000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Secured term loans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263,489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853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18,329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233,112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11,195</w:t>
            </w:r>
          </w:p>
        </w:tc>
        <w:tc>
          <w:tcPr>
            <w:tcW w:w="0" w:type="dxa"/>
            <w:vAlign w:val="bottom"/>
          </w:tcPr>
          <w:p>
            <w:pPr>
              <w:spacing w:after="0"/>
              <w:rPr>
                <w:sz w:val="1"/>
                <w:szCs w:val="1"/>
                <w:color w:val="auto"/>
              </w:rPr>
            </w:pPr>
          </w:p>
        </w:tc>
      </w:tr>
      <w:tr>
        <w:trPr>
          <w:trHeight w:val="243"/>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debt obligations</w:t>
            </w:r>
          </w:p>
        </w:tc>
        <w:tc>
          <w:tcPr>
            <w:tcW w:w="3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r>
        <w:trPr>
          <w:trHeight w:val="27"/>
        </w:trPr>
        <w:tc>
          <w:tcPr>
            <w:tcW w:w="28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principal maturities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4,554,957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745,855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428,330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3,036,465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233,112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111,195</w:t>
            </w:r>
          </w:p>
        </w:tc>
        <w:tc>
          <w:tcPr>
            <w:tcW w:w="0" w:type="dxa"/>
            <w:vAlign w:val="bottom"/>
          </w:tcPr>
          <w:p>
            <w:pPr>
              <w:spacing w:after="0"/>
              <w:rPr>
                <w:sz w:val="1"/>
                <w:szCs w:val="1"/>
                <w:color w:val="auto"/>
              </w:rPr>
            </w:pPr>
          </w:p>
        </w:tc>
      </w:tr>
      <w:tr>
        <w:trPr>
          <w:trHeight w:val="243"/>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Payable(1)</w:t>
            </w:r>
          </w:p>
        </w:tc>
        <w:tc>
          <w:tcPr>
            <w:tcW w:w="3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1,000,751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250,830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412,279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269,667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44,319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23,656</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 Obligations</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31,406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5,288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9,208</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8,491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8,419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28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Total(2)</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5,587,114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1,001,973</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849,817</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3,314,623</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285,850</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134,851</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Explanatory Notes: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120" w:lineRule="exact"/>
        <w:rPr>
          <w:sz w:val="20"/>
          <w:szCs w:val="20"/>
          <w:color w:val="auto"/>
        </w:rPr>
      </w:pPr>
    </w:p>
    <w:p>
      <w:pPr>
        <w:ind w:left="660" w:hanging="652"/>
        <w:spacing w:after="0"/>
        <w:tabs>
          <w:tab w:leader="none" w:pos="6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variable-rate debt assumes a 30-day LIBOR rate of 0.20% (the 30-day LIBOR rate at March 29, 2013).</w:t>
      </w:r>
    </w:p>
    <w:p>
      <w:pPr>
        <w:spacing w:after="0" w:line="17" w:lineRule="exact"/>
        <w:rPr>
          <w:rFonts w:ascii="Times New Roman" w:cs="Times New Roman" w:eastAsia="Times New Roman" w:hAnsi="Times New Roman"/>
          <w:sz w:val="14"/>
          <w:szCs w:val="14"/>
          <w:color w:val="auto"/>
        </w:rPr>
      </w:pPr>
    </w:p>
    <w:p>
      <w:pPr>
        <w:ind w:left="660" w:hanging="652"/>
        <w:spacing w:after="0" w:line="258" w:lineRule="auto"/>
        <w:tabs>
          <w:tab w:leader="none" w:pos="6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also have issued letters of credit totaling $3.7 million in connection with four of our investments. See Unfunded Commitments below, for a discussion of certain unfunded commitments related to our lending and net lease businesses.</w:t>
      </w:r>
    </w:p>
    <w:p>
      <w:pPr>
        <w:spacing w:after="0" w:line="138" w:lineRule="exact"/>
        <w:rPr>
          <w:sz w:val="20"/>
          <w:szCs w:val="20"/>
          <w:color w:val="auto"/>
        </w:rPr>
      </w:pPr>
    </w:p>
    <w:p>
      <w:pPr>
        <w:jc w:val="both"/>
        <w:ind w:firstLine="405"/>
        <w:spacing w:after="0" w:line="259" w:lineRule="auto"/>
        <w:rPr>
          <w:sz w:val="20"/>
          <w:szCs w:val="20"/>
          <w:color w:val="auto"/>
        </w:rPr>
      </w:pPr>
      <w:r>
        <w:rPr>
          <w:rFonts w:ascii="Times New Roman" w:cs="Times New Roman" w:eastAsia="Times New Roman" w:hAnsi="Times New Roman"/>
          <w:sz w:val="18"/>
          <w:szCs w:val="18"/>
          <w:b w:val="1"/>
          <w:bCs w:val="1"/>
          <w:color w:val="auto"/>
        </w:rPr>
        <w:t>February 2013 Secured Credit Facility</w:t>
      </w:r>
      <w:r>
        <w:rPr>
          <w:rFonts w:ascii="Times New Roman" w:cs="Times New Roman" w:eastAsia="Times New Roman" w:hAnsi="Times New Roman"/>
          <w:sz w:val="18"/>
          <w:szCs w:val="18"/>
          <w:color w:val="auto"/>
        </w:rPr>
        <w:t>—On February 11, 2013, we entered into a $1.71 billion senior secured credit facility due October 15, 2017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“February 2013 Secured Credit Facility”) that amended and restated our $1.82 billion senior secured credit facility, dated October 15, 2012 (the “October 2012 Secured Credit Facility”). The February 2013 Credit Facility amended the October 2012 Secured Credit Facility by: (i) reducing the interest rate from LIBOR plus 4.50%, with a 1.25% LIBOR floor, to LIBOR plus 3.50%, with a 1.00% LIBOR floor; and (ii) extending the call protection period for the lenders from October 15, 2013 to December 31, 2013.</w:t>
      </w:r>
    </w:p>
    <w:p>
      <w:pPr>
        <w:spacing w:after="0" w:line="143"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Borrowings under the February 2013 Secured Credit Facility are collateralized by a first lien on a fixed pool of assets, with required minimum collateral coverage of not less than 125% of outstanding borrowings. If collateral coverage is less than 137.5% of outstanding borrowings, 100% of the proceeds from principal repayments and sales of collateral will be applied to repay outstanding borrowings under the February 2013 Secured Credit Facility. For so long as collateral coverage is between 137.5% and 150% of outstanding borrowings, 50% of proceeds from principal repayments and sales of collateral will be applied to repay outstanding borrowings under the February 2013 Secured Credit Facility and for so long as collateral coverage is greater than 150% of outstanding borrowings, we may retain all proceeds from principal repayments and sales of collateral. We retain proceeds from interest, rent, lease payments and fee income in all cases.</w:t>
      </w:r>
    </w:p>
    <w:p>
      <w:pPr>
        <w:spacing w:after="0" w:line="14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connection with the February 2013 Secured Credit Facility transaction, we incurred $17.1 million of lender fees and $3.8 million in third party fees, of which lender fees were capitalized in "Debt Obligations, net" on our Consolidated Balance Sheets, and $3.6 million of third party fees was recognized in “Other expense” on our Consolidated Statements of Operations, as it related primarily to the portion of lenders from the original facility that modified their debt under the new facility. The remaining $0.2 million of third party fees were recorded in “Deferred expenses and other assets, net” on our Consolidated Balance Sheets, as it related to the new lenders.</w:t>
      </w:r>
    </w:p>
    <w:p>
      <w:pPr>
        <w:spacing w:after="0" w:line="14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Through March 31, 2013, we have made cumulative amortization repayments of $33.6 million on the February 2013 Secured Credit Facility. Repayments of the February 2013 Secured Credit Facility prior to the scheduled maturity date have resulted in losses on early extinguishment of debt of $0.8 million for the three months ended March 31, 2013 related to the acceleration of discounts and unamortized deferred financing fees on the portion of the facility that was repaid.</w:t>
      </w:r>
    </w:p>
    <w:p>
      <w:pPr>
        <w:spacing w:after="0" w:line="136" w:lineRule="exact"/>
        <w:rPr>
          <w:sz w:val="20"/>
          <w:szCs w:val="20"/>
          <w:color w:val="auto"/>
        </w:rPr>
      </w:pPr>
    </w:p>
    <w:p>
      <w:pPr>
        <w:jc w:val="both"/>
        <w:ind w:firstLine="405"/>
        <w:spacing w:after="0" w:line="262" w:lineRule="auto"/>
        <w:rPr>
          <w:sz w:val="20"/>
          <w:szCs w:val="20"/>
          <w:color w:val="auto"/>
        </w:rPr>
      </w:pPr>
      <w:r>
        <w:rPr>
          <w:rFonts w:ascii="Times New Roman" w:cs="Times New Roman" w:eastAsia="Times New Roman" w:hAnsi="Times New Roman"/>
          <w:sz w:val="18"/>
          <w:szCs w:val="18"/>
          <w:b w:val="1"/>
          <w:bCs w:val="1"/>
          <w:color w:val="auto"/>
        </w:rPr>
        <w:t>October 2012 Secured Credit Facility</w:t>
      </w:r>
      <w:r>
        <w:rPr>
          <w:rFonts w:ascii="Times New Roman" w:cs="Times New Roman" w:eastAsia="Times New Roman" w:hAnsi="Times New Roman"/>
          <w:sz w:val="18"/>
          <w:szCs w:val="18"/>
          <w:color w:val="auto"/>
        </w:rPr>
        <w:t>—On October 15, 2012, we entered into a $1.82 billion senior secured credit agreement due October 15, 2017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“October 2012 Secured Credit Facility”). The October 2012 Secured Credit Facility bears interest at a rate of LIBOR + 4.50%, with a 1.25% LIBOR floor, and was issued at 99.0% of par. Proceeds from the October 2012 Secured Credit Facility were used to refinance the remaining outstanding balances of our existing 2011 Secured Credit Facilities.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114" w:right="2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5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October 2012 Secured Credit Facility was refinanced by the February 2013 Secured Credit Facility. Prior to refinancing, through March 31, 2013, we have made cumulative amortization repayments of $113.0 million on the October 2012 Secured Credit Facility, which resulted in losses on early extinguishment of debt of $0.8 million for the three months ended March 31, 2013 related to the acceleration of discounts and unamortized deferred financing fees on the portion of the facility that was repaid.</w:t>
      </w:r>
    </w:p>
    <w:p>
      <w:pPr>
        <w:spacing w:after="0" w:line="140"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At the time of the refinancing, we had $30.5 million of unamortized discounts and financing fees related to the October 2012 Secured Credit Facility. In connection with the refinancing, we recorded a loss on early extinguishment of debt of $4.9 million, related primarily to the portion of lenders in the original facility that did not participate in the new facility. The remaining $25.6 million of unamortized fees and discounts will continue to be amortized to interest expense over the remaining term of the February 2013 Secured Credit Facility.</w:t>
      </w:r>
    </w:p>
    <w:p>
      <w:pPr>
        <w:spacing w:after="0" w:line="136"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b w:val="1"/>
          <w:bCs w:val="1"/>
          <w:color w:val="auto"/>
        </w:rPr>
        <w:t>March 2012 Secured Credit Facilities</w:t>
      </w:r>
      <w:r>
        <w:rPr>
          <w:rFonts w:ascii="Times New Roman" w:cs="Times New Roman" w:eastAsia="Times New Roman" w:hAnsi="Times New Roman"/>
          <w:sz w:val="18"/>
          <w:szCs w:val="18"/>
          <w:color w:val="auto"/>
        </w:rPr>
        <w:t>—In March 2012, we entered into an $880.0 million senior secured credit agreement providing for two tranches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term loans: a $410.0 million 2012 A-1 tranche due March 2016, which bears interest at a rate of LIBOR + 4.00% (the "2012 Tranche A-1 Facility"), and a $470.0 million 2012 A-2 tranche due March 2017, which bears interest at a rate of LIBOR + 5.75% (the "2012 Tranche A-2 Facility," together the "March 2012 Secured Credit Facilities"). The 2012 A-1 and A-2 tranches were issued at 98.0% of par and 98.5% of par, respectively, and both tranches include a LIBOR floor of 1.25%. Proceeds from the March 2012 Secured Credit Facilities were used to repurchase and repay at maturity $606.7 million aggregate principal amount of our convertible notes due October 2012, to fully repay the $244.0 million balance on our unsecured credit facility due June 2012, and to repay, upon maturity, $90.3 million outstanding principal balance of our 5.50% senior unsecured notes.</w:t>
      </w:r>
    </w:p>
    <w:p>
      <w:pPr>
        <w:spacing w:after="0" w:line="147"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March 2012 Secured Credit Facilities are collateralized by a first lien on a fixed pool of assets. Proceeds from principal repayments and sales of collateral are applied to amortize the March 2012 Secured Credit Facilities. Proceeds received for interest, rent, lease payments and fee income are retained by us. The 2012 Tranche A-1 Facility requires amortization payments of $41.0 million to be made every six months beginning December 31, 2012. After the 2012 Tranche A-1 Facility is repaid, proceeds from principal repayments and sales of collateral will be used to amortize the 2012 Tranche A-2 Facility. We may make optional prepayments on each tranche of term loans, subject to prepayment fees.</w:t>
      </w:r>
    </w:p>
    <w:p>
      <w:pPr>
        <w:spacing w:after="0" w:line="14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Through March 31, 2013, we have made cumulative amortization repayments of $349.7 million on the 2012 Tranche A-1 Facility, which exceeds all required amortization payments through December 31, 2014. Repayments of the 2012 Tranche A-1 Facility prior to scheduled amortization dates have resulted in losses on early extinguishment of debt of $3.0 million for the three months ended March 31, 2013 related to the acceleration of discounts and unamortized deferred financing fees on the portion of the facility that was repaid.</w:t>
      </w:r>
    </w:p>
    <w:p>
      <w:pPr>
        <w:spacing w:after="0" w:line="136" w:lineRule="exact"/>
        <w:rPr>
          <w:sz w:val="20"/>
          <w:szCs w:val="20"/>
          <w:color w:val="auto"/>
        </w:rPr>
      </w:pPr>
    </w:p>
    <w:p>
      <w:pPr>
        <w:jc w:val="both"/>
        <w:ind w:firstLine="405"/>
        <w:spacing w:after="0" w:line="259" w:lineRule="auto"/>
        <w:rPr>
          <w:sz w:val="20"/>
          <w:szCs w:val="20"/>
          <w:color w:val="auto"/>
        </w:rPr>
      </w:pPr>
      <w:r>
        <w:rPr>
          <w:rFonts w:ascii="Times New Roman" w:cs="Times New Roman" w:eastAsia="Times New Roman" w:hAnsi="Times New Roman"/>
          <w:sz w:val="18"/>
          <w:szCs w:val="18"/>
          <w:b w:val="1"/>
          <w:bCs w:val="1"/>
          <w:color w:val="auto"/>
        </w:rPr>
        <w:t>2011 Secured Credit Facilities</w:t>
      </w:r>
      <w:r>
        <w:rPr>
          <w:rFonts w:ascii="Times New Roman" w:cs="Times New Roman" w:eastAsia="Times New Roman" w:hAnsi="Times New Roman"/>
          <w:sz w:val="18"/>
          <w:szCs w:val="18"/>
          <w:color w:val="auto"/>
        </w:rPr>
        <w:t>—In March 2011, we entered into a $2.95 billion senior secured credit agreement providing for two tranches of term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loans: a $1.50 billion 2011 A-1 tranche due June 2013, bearing interest at a rate of LIBOR + 3.75% (the "2011 Tranche A-1 Facility"), and a $1.45 billion 2011 A-2 tranche due June 2014, bearing interest at a rate of LIBOR + 5.75% (the "2011 Tranche A-2 Facility," together the "2011 Secured Credit Facilities"). The 2011 A-1 and A-2 tranches were issued at 99.0% of par and 98.5% of par, respectively, and both tranches include a LIBOR floor of 1.25%. The 2011 Secured Credit Facilities were refinanced by the October 2012 Secured Credit Facility.</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114" w:right="2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48" w:lineRule="exact"/>
        <w:rPr>
          <w:sz w:val="20"/>
          <w:szCs w:val="20"/>
          <w:color w:val="auto"/>
        </w:rPr>
      </w:pPr>
    </w:p>
    <w:p>
      <w:pPr>
        <w:ind w:firstLine="405"/>
        <w:spacing w:after="0" w:line="286" w:lineRule="auto"/>
        <w:rPr>
          <w:sz w:val="20"/>
          <w:szCs w:val="20"/>
          <w:color w:val="auto"/>
        </w:rPr>
      </w:pPr>
      <w:r>
        <w:rPr>
          <w:rFonts w:ascii="Times New Roman" w:cs="Times New Roman" w:eastAsia="Times New Roman" w:hAnsi="Times New Roman"/>
          <w:sz w:val="18"/>
          <w:szCs w:val="18"/>
          <w:b w:val="1"/>
          <w:bCs w:val="1"/>
          <w:color w:val="auto"/>
        </w:rPr>
        <w:t>Unencumbered/Encumbered Assets</w:t>
      </w:r>
      <w:r>
        <w:rPr>
          <w:rFonts w:ascii="Times New Roman" w:cs="Times New Roman" w:eastAsia="Times New Roman" w:hAnsi="Times New Roman"/>
          <w:sz w:val="18"/>
          <w:szCs w:val="18"/>
          <w:color w:val="auto"/>
        </w:rPr>
        <w:t>—As of March 31, 2013, the carrying value of our unencumbered and encumbered assets by asset type are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follows ($ in thousands):</w:t>
      </w:r>
    </w:p>
    <w:p>
      <w:pPr>
        <w:spacing w:after="0" w:line="342" w:lineRule="exact"/>
        <w:rPr>
          <w:sz w:val="20"/>
          <w:szCs w:val="20"/>
          <w:color w:val="auto"/>
        </w:rPr>
      </w:pPr>
    </w:p>
    <w:tbl>
      <w:tblPr>
        <w:tblLayout w:type="fixed"/>
        <w:tblInd w:w="260" w:type="dxa"/>
        <w:tblCellMar>
          <w:top w:w="0" w:type="dxa"/>
          <w:left w:w="0" w:type="dxa"/>
          <w:bottom w:w="0" w:type="dxa"/>
          <w:right w:w="0" w:type="dxa"/>
        </w:tblCellMar>
      </w:tblPr>
      <w:tr>
        <w:trPr>
          <w:trHeight w:val="195"/>
        </w:trPr>
        <w:tc>
          <w:tcPr>
            <w:tcW w:w="5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4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4"/>
                <w:szCs w:val="14"/>
                <w:b w:val="1"/>
                <w:bCs w:val="1"/>
                <w:color w:val="auto"/>
              </w:rPr>
              <w:t>March 31, 2013</w:t>
            </w:r>
          </w:p>
        </w:tc>
        <w:tc>
          <w:tcPr>
            <w:tcW w:w="8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480" w:type="dxa"/>
            <w:vAlign w:val="bottom"/>
            <w:tcBorders>
              <w:bottom w:val="single" w:sz="8" w:color="auto"/>
            </w:tcBorders>
            <w:gridSpan w:val="4"/>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December 31, 2012</w:t>
            </w:r>
          </w:p>
        </w:tc>
        <w:tc>
          <w:tcPr>
            <w:tcW w:w="0" w:type="dxa"/>
            <w:vAlign w:val="bottom"/>
          </w:tcPr>
          <w:p>
            <w:pPr>
              <w:spacing w:after="0"/>
              <w:rPr>
                <w:sz w:val="1"/>
                <w:szCs w:val="1"/>
                <w:color w:val="auto"/>
              </w:rPr>
            </w:pPr>
          </w:p>
        </w:tc>
      </w:tr>
      <w:tr>
        <w:trPr>
          <w:trHeight w:val="149"/>
        </w:trPr>
        <w:tc>
          <w:tcPr>
            <w:tcW w:w="5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Encumbered</w:t>
            </w:r>
          </w:p>
        </w:tc>
        <w:tc>
          <w:tcPr>
            <w:tcW w:w="15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Unencumbered Assets</w:t>
            </w:r>
          </w:p>
        </w:tc>
        <w:tc>
          <w:tcPr>
            <w:tcW w:w="16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Encumbered</w:t>
            </w:r>
          </w:p>
        </w:tc>
        <w:tc>
          <w:tcPr>
            <w:tcW w:w="160" w:type="dxa"/>
            <w:vAlign w:val="bottom"/>
          </w:tcPr>
          <w:p>
            <w:pPr>
              <w:spacing w:after="0"/>
              <w:rPr>
                <w:sz w:val="12"/>
                <w:szCs w:val="12"/>
                <w:color w:val="auto"/>
              </w:rPr>
            </w:pPr>
          </w:p>
        </w:tc>
        <w:tc>
          <w:tcPr>
            <w:tcW w:w="1180" w:type="dxa"/>
            <w:vAlign w:val="bottom"/>
          </w:tcPr>
          <w:p>
            <w:pPr>
              <w:jc w:val="right"/>
              <w:ind w:right="114"/>
              <w:spacing w:after="0" w:line="149" w:lineRule="exact"/>
              <w:rPr>
                <w:sz w:val="20"/>
                <w:szCs w:val="20"/>
                <w:color w:val="auto"/>
              </w:rPr>
            </w:pPr>
            <w:r>
              <w:rPr>
                <w:rFonts w:ascii="Times New Roman" w:cs="Times New Roman" w:eastAsia="Times New Roman" w:hAnsi="Times New Roman"/>
                <w:sz w:val="14"/>
                <w:szCs w:val="14"/>
                <w:b w:val="1"/>
                <w:bCs w:val="1"/>
                <w:color w:val="auto"/>
              </w:rPr>
              <w:t>Unencumbered</w:t>
            </w:r>
          </w:p>
        </w:tc>
        <w:tc>
          <w:tcPr>
            <w:tcW w:w="0" w:type="dxa"/>
            <w:vAlign w:val="bottom"/>
          </w:tcPr>
          <w:p>
            <w:pPr>
              <w:spacing w:after="0"/>
              <w:rPr>
                <w:sz w:val="1"/>
                <w:szCs w:val="1"/>
                <w:color w:val="auto"/>
              </w:rPr>
            </w:pPr>
          </w:p>
        </w:tc>
      </w:tr>
      <w:tr>
        <w:trPr>
          <w:trHeight w:val="195"/>
        </w:trPr>
        <w:tc>
          <w:tcPr>
            <w:tcW w:w="5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54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60" w:type="dxa"/>
            <w:vAlign w:val="bottom"/>
          </w:tcPr>
          <w:p>
            <w:pPr>
              <w:spacing w:after="0"/>
              <w:rPr>
                <w:sz w:val="16"/>
                <w:szCs w:val="16"/>
                <w:color w:val="auto"/>
              </w:rPr>
            </w:pPr>
          </w:p>
        </w:tc>
        <w:tc>
          <w:tcPr>
            <w:tcW w:w="118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249"/>
        </w:trPr>
        <w:tc>
          <w:tcPr>
            <w:tcW w:w="5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net</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1,649,658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1,135,146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1,794,198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1,004,825</w:t>
            </w:r>
          </w:p>
        </w:tc>
        <w:tc>
          <w:tcPr>
            <w:tcW w:w="0" w:type="dxa"/>
            <w:vAlign w:val="bottom"/>
          </w:tcPr>
          <w:p>
            <w:pPr>
              <w:spacing w:after="0"/>
              <w:rPr>
                <w:sz w:val="1"/>
                <w:szCs w:val="1"/>
                <w:color w:val="auto"/>
              </w:rPr>
            </w:pPr>
          </w:p>
        </w:tc>
      </w:tr>
      <w:tr>
        <w:trPr>
          <w:trHeight w:val="24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 available and held for sale</w:t>
            </w:r>
          </w:p>
        </w:tc>
        <w:tc>
          <w:tcPr>
            <w:tcW w:w="16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252,354</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346,707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141,673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494,192</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receivable, net(1)</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1,076,080</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537,476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1,197,373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665,712</w:t>
            </w:r>
          </w:p>
        </w:tc>
        <w:tc>
          <w:tcPr>
            <w:tcW w:w="0" w:type="dxa"/>
            <w:vAlign w:val="bottom"/>
          </w:tcPr>
          <w:p>
            <w:pPr>
              <w:spacing w:after="0"/>
              <w:rPr>
                <w:sz w:val="1"/>
                <w:szCs w:val="1"/>
                <w:color w:val="auto"/>
              </w:rPr>
            </w:pPr>
          </w:p>
        </w:tc>
      </w:tr>
      <w:tr>
        <w:trPr>
          <w:trHeight w:val="24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investments</w:t>
            </w:r>
          </w:p>
        </w:tc>
        <w:tc>
          <w:tcPr>
            <w:tcW w:w="16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34,130</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369,629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43,545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355,298</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other assets</w:t>
            </w: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706,838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487,073</w:t>
            </w:r>
          </w:p>
        </w:tc>
        <w:tc>
          <w:tcPr>
            <w:tcW w:w="0" w:type="dxa"/>
            <w:vAlign w:val="bottom"/>
          </w:tcPr>
          <w:p>
            <w:pPr>
              <w:spacing w:after="0"/>
              <w:rPr>
                <w:sz w:val="1"/>
                <w:szCs w:val="1"/>
                <w:color w:val="auto"/>
              </w:rPr>
            </w:pPr>
          </w:p>
        </w:tc>
      </w:tr>
      <w:tr>
        <w:trPr>
          <w:trHeight w:val="257"/>
        </w:trPr>
        <w:tc>
          <w:tcPr>
            <w:tcW w:w="5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3,012,222</w:t>
            </w:r>
          </w:p>
        </w:tc>
        <w:tc>
          <w:tcPr>
            <w:tcW w:w="120" w:type="dxa"/>
            <w:vAlign w:val="bottom"/>
          </w:tcPr>
          <w:p>
            <w:pPr>
              <w:spacing w:after="0"/>
              <w:rPr>
                <w:sz w:val="22"/>
                <w:szCs w:val="22"/>
                <w:color w:val="auto"/>
              </w:rPr>
            </w:pPr>
          </w:p>
        </w:tc>
        <w:tc>
          <w:tcPr>
            <w:tcW w:w="5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3,095,796</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3,176,789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3,007,100</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Explanatory Note: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120" w:lineRule="exact"/>
        <w:rPr>
          <w:sz w:val="20"/>
          <w:szCs w:val="20"/>
          <w:color w:val="auto"/>
        </w:rPr>
      </w:pPr>
    </w:p>
    <w:p>
      <w:pPr>
        <w:ind w:left="660" w:hanging="652"/>
        <w:spacing w:after="0"/>
        <w:tabs>
          <w:tab w:leader="none" w:pos="6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March 31, 2013 and December 31, 2012, the amounts presented exclude general reserves for loan losses of $30.9 million and $33.1 million, respectively.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Covenants</w:t>
      </w:r>
    </w:p>
    <w:p>
      <w:pPr>
        <w:spacing w:after="0" w:line="189"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Our outstanding unsecured debt securities contain corporate level covenants that include a covenant to maintain a ratio of unencumbered assets to unsecured indebtedness of at least 1.2x and a restriction on debt incurrence based upon the effect of the debt incurrence on our fixed charge coverage ratio. If any of our covenants are breached and not cured within applicable cure periods, the breach could result in acceleration of our debt securities unless a waiver or modification is agreed upon with the requisite percentage of the bondholders. While we expect that our ability to incur new indebtedness under the fixed charge coverage ratio will be limited for the foreseeable future, we will continue to be permitted to incur indebtedness for the purpose of refinancing existing indebtedness and for other permitted purposes under the indentures.</w:t>
      </w:r>
    </w:p>
    <w:p>
      <w:pPr>
        <w:spacing w:after="0" w:line="147"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Our March 2012 Secured Credit Facilities and February 2013 Secured Credit Facility (as amended and restated by the New Credit Facility) are collectively defined as the "Secured Credit Facilities." Our Secured Credit Facilities contain certain covenants, including covenants relating to collateral coverage, dividend payments, restrictions on fundamental changes, transactions with affiliates, matters relating to the liens granted to the lenders and the delivery of information to the lenders. In particular, we are required to maintain collateral coverage of 1.25x outstanding borrowings. In addition, for so long as we maintain our qualification as a REIT, the Secured Credit Facilities permit us to distribute 100% of our REIT taxable income on an annual basis and the February 2013 Secured Credit Facility permits us to distribute to our shareholders real estate assets, or interests therein, having an aggregate equity value not to exceed $200 million, so long as such assets are not collateral for the February 2013 Secured Credit Facility. We may not pay common dividends if we cease to qualify as a REIT (except that the February 2013 Secured Credit Facility permits us to distribute certain real estate assets as described in the preceding sentence).</w:t>
      </w:r>
    </w:p>
    <w:p>
      <w:pPr>
        <w:spacing w:after="0" w:line="149"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Our Secured Credit Facilities contain cross default provisions that would allow the lenders to declare an event of default and accelerate our indebtedness to them if we fail to pay amounts due in respect of our other recourse indebtedness in excess of specified thresholds or if the lenders under such other indebtedness are otherwise permitted to accelerate such indebtedness for any reason. The indentures governing our unsecured public debt securities permit the bondholders to declare an event of default and accelerate our indebtedness to them if our other recourse indebtedness in excess of specified thresholds is not paid at final maturity or if such indebtedness is accelerated.</w:t>
      </w:r>
    </w:p>
    <w:p>
      <w:pPr>
        <w:spacing w:after="0" w:line="139"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Derivatives</w:t>
      </w:r>
      <w:r>
        <w:rPr>
          <w:rFonts w:ascii="Times New Roman" w:cs="Times New Roman" w:eastAsia="Times New Roman" w:hAnsi="Times New Roman"/>
          <w:sz w:val="18"/>
          <w:szCs w:val="18"/>
          <w:color w:val="auto"/>
        </w:rPr>
        <w:t>—Our use of derivative financial instruments is primarily limited to the utilization of interest rate hedges or other instruments to manage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interest rate risk exposure and foreign exchange hedges to manage our risk to changes in foreign currencies. The principal objectives of such hedges are to minimize the risks and/or costs associated with our operating and financial structure and to manage our exposure to foreign exchange rate movements (see Note 10 of the Notes to the Consolidated Financial Statements).</w:t>
      </w:r>
    </w:p>
    <w:p>
      <w:pPr>
        <w:spacing w:after="0" w:line="13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r>
        <w:rPr>
          <w:rFonts w:ascii="Times New Roman" w:cs="Times New Roman" w:eastAsia="Times New Roman" w:hAnsi="Times New Roman"/>
          <w:sz w:val="18"/>
          <w:szCs w:val="18"/>
          <w:color w:val="auto"/>
        </w:rPr>
        <w:t>—We are not dependent on the use of any off-balance sheet financing arrangements for liquidity.</w:t>
      </w:r>
    </w:p>
    <w:p>
      <w:pPr>
        <w:spacing w:after="0" w:line="185"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Unfunded Commitments</w:t>
      </w:r>
      <w:r>
        <w:rPr>
          <w:rFonts w:ascii="Times New Roman" w:cs="Times New Roman" w:eastAsia="Times New Roman" w:hAnsi="Times New Roman"/>
          <w:sz w:val="18"/>
          <w:szCs w:val="18"/>
          <w:color w:val="auto"/>
        </w:rPr>
        <w:t>—We generally fund construction and development loans and build-outs of space in net lease assets over a period of time if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when the borrowers and tenants meet established milestones and other performance criteria. We refer to these arrangements as Performance-Based Commitments. In addition, we sometimes establish a maximum amount of additional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114" w:right="2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funding which we will make available to a borrower or tenant for an expansion or addition to a project if we approve of the expansion or addition in our sole discretion. We refer to these arrangements as Discretionary Fundings. Finally, we have committed to invest capital in several real estate funds and other ventures. These arrangements are referred to as Strategic Investments. As of March 31, 2013, the maximum amounts of the fundings we may make under each category, assuming all performance hurdles and milestones are met under the Performance-Based Commitments, that we approve all Discretionary Fundings and that 100% of our capital committed to Strategic Investments is drawn down, are as follows (in thousands):</w:t>
      </w:r>
    </w:p>
    <w:p>
      <w:pPr>
        <w:spacing w:after="0" w:line="287"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4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vMerge w:val="restart"/>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Loans</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vMerge w:val="restart"/>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Strategic</w:t>
            </w:r>
          </w:p>
        </w:tc>
        <w:tc>
          <w:tcPr>
            <w:tcW w:w="280" w:type="dxa"/>
            <w:vAlign w:val="bottom"/>
          </w:tcPr>
          <w:p>
            <w:pPr>
              <w:spacing w:after="0"/>
              <w:rPr>
                <w:sz w:val="13"/>
                <w:szCs w:val="13"/>
                <w:color w:val="auto"/>
              </w:rPr>
            </w:pPr>
          </w:p>
        </w:tc>
        <w:tc>
          <w:tcPr>
            <w:tcW w:w="940" w:type="dxa"/>
            <w:vAlign w:val="bottom"/>
            <w:vMerge w:val="restart"/>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0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Performance-Based Commitments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33,064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72,475</w:t>
            </w:r>
          </w:p>
        </w:tc>
        <w:tc>
          <w:tcPr>
            <w:tcW w:w="0" w:type="dxa"/>
            <w:vAlign w:val="bottom"/>
          </w:tcPr>
          <w:p>
            <w:pPr>
              <w:spacing w:after="0"/>
              <w:rPr>
                <w:sz w:val="1"/>
                <w:szCs w:val="1"/>
                <w:color w:val="auto"/>
              </w:rPr>
            </w:pPr>
          </w:p>
        </w:tc>
      </w:tr>
      <w:tr>
        <w:trPr>
          <w:trHeight w:val="24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Discretionary Fundings</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Strategic investments</w:t>
            </w: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47,040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47,040</w:t>
            </w:r>
          </w:p>
        </w:tc>
        <w:tc>
          <w:tcPr>
            <w:tcW w:w="0" w:type="dxa"/>
            <w:vAlign w:val="bottom"/>
          </w:tcPr>
          <w:p>
            <w:pPr>
              <w:spacing w:after="0"/>
              <w:rPr>
                <w:sz w:val="1"/>
                <w:szCs w:val="1"/>
                <w:color w:val="auto"/>
              </w:rPr>
            </w:pPr>
          </w:p>
        </w:tc>
      </w:tr>
      <w:tr>
        <w:trPr>
          <w:trHeight w:val="257"/>
        </w:trPr>
        <w:tc>
          <w:tcPr>
            <w:tcW w:w="4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39,536</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33,064</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47,040</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119,640</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jc w:val="both"/>
        <w:ind w:right="20" w:firstLine="40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Transactions with Related Parties</w:t>
      </w:r>
      <w:r>
        <w:rPr>
          <w:rFonts w:ascii="Times New Roman" w:cs="Times New Roman" w:eastAsia="Times New Roman" w:hAnsi="Times New Roman"/>
          <w:sz w:val="18"/>
          <w:szCs w:val="18"/>
          <w:color w:val="auto"/>
        </w:rPr>
        <w:t>—We have an equity interest of approximately 24% in LNR Property Corporation ("LNR") and two of our executive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officers serve on LNR's board of managers. As described below in Subsequent Events, we sold this interest in April 2013.</w:t>
      </w:r>
    </w:p>
    <w:p>
      <w:pPr>
        <w:spacing w:after="0" w:line="114" w:lineRule="exact"/>
        <w:rPr>
          <w:sz w:val="20"/>
          <w:szCs w:val="20"/>
          <w:color w:val="auto"/>
        </w:rPr>
      </w:pPr>
    </w:p>
    <w:p>
      <w:pPr>
        <w:jc w:val="both"/>
        <w:ind w:firstLine="40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Stock Repurchase Program</w:t>
      </w:r>
      <w:r>
        <w:rPr>
          <w:rFonts w:ascii="Times New Roman" w:cs="Times New Roman" w:eastAsia="Times New Roman" w:hAnsi="Times New Roman"/>
          <w:sz w:val="18"/>
          <w:szCs w:val="18"/>
          <w:color w:val="auto"/>
        </w:rPr>
        <w:t>—On May 15, 2012, our Board of Directors approved a stock repurchase program that authorized the repurchase of up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$20.0 million of our Common Stock from time to time in open market and privately negotiated purchases, including pursuant to one or more trading plans. As of March 31, 2013, we had $16.0 million of Common Stock available to repurchase under our Board authorized stock repurchase programs.</w:t>
      </w:r>
    </w:p>
    <w:p>
      <w:pPr>
        <w:spacing w:after="0" w:line="130" w:lineRule="exact"/>
        <w:rPr>
          <w:sz w:val="20"/>
          <w:szCs w:val="20"/>
          <w:color w:val="auto"/>
        </w:rPr>
      </w:pPr>
    </w:p>
    <w:p>
      <w:pPr>
        <w:jc w:val="both"/>
        <w:ind w:firstLine="40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Subsequent Events</w:t>
      </w:r>
      <w:r>
        <w:rPr>
          <w:rFonts w:ascii="Times New Roman" w:cs="Times New Roman" w:eastAsia="Times New Roman" w:hAnsi="Times New Roman"/>
          <w:sz w:val="18"/>
          <w:szCs w:val="18"/>
          <w:color w:val="auto"/>
        </w:rPr>
        <w:t>—In April 2013 we sold our 24% interest in LNR Property LLC, for $220.3 million in net proceeds after closing costs and LNR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management incentives.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8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GAAP requires management to make estimates and judgments in certain circumstances that affect amounts reported as assets, liabilities, revenues and expenses. We have established detailed policies and control procedures intended to ensure that valuation methods, including any judgments made as part of such methods, are well controlled, reviewed and applied consistently from period to period. We base our estimates on corporate and industry experience and various other assumptions that we believe to be appropriate under the circumstances.</w:t>
      </w:r>
    </w:p>
    <w:p>
      <w:pPr>
        <w:spacing w:after="0" w:line="140"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 summary of our critical accounting estimates is included in our Annual Report on Form 10-K for the year ended December 31, 2012 in Management's Discussion and Analysis of Financial Condition. There have been no significant changes to our critical accounting estimates as of March 31, 2013.</w:t>
      </w:r>
    </w:p>
    <w:p>
      <w:pPr>
        <w:spacing w:after="0" w:line="117" w:lineRule="exact"/>
        <w:rPr>
          <w:sz w:val="20"/>
          <w:szCs w:val="20"/>
          <w:color w:val="auto"/>
        </w:rPr>
      </w:pPr>
    </w:p>
    <w:p>
      <w:pPr>
        <w:jc w:val="both"/>
        <w:ind w:firstLine="40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New Accounting Pronouncements</w:t>
      </w:r>
      <w:r>
        <w:rPr>
          <w:rFonts w:ascii="Times New Roman" w:cs="Times New Roman" w:eastAsia="Times New Roman" w:hAnsi="Times New Roman"/>
          <w:sz w:val="18"/>
          <w:szCs w:val="18"/>
          <w:color w:val="auto"/>
        </w:rPr>
        <w:t>—For a discussion of the impact of new accounting pronouncements on our financial condition or results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operations, see Note 3 of the Notes to the Consolidated Financial Statements.</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114" w:right="2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189"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There have been no material changes in Quantitative and Qualitative Disclosures About Market Risk for the first three months of 2013 as compared to the disclosures included in our Annual Report on Form 10-K for the year ended December 31, 2012. See discussion of quantitative and qualitative disclosures about market risk under Item 7a—"Quantitative and Qualitative Disclosures about Market Risk," included in our Annual Report on Form 10-K for the year ended December 31, 2012.</w:t>
      </w:r>
    </w:p>
    <w:p>
      <w:pPr>
        <w:spacing w:after="0" w:line="13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89"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The Company maintains disclosure controls and procedures that are designed to ensure that information required to be disclosed in the Company's Exchange Act reports is recorded, processed, summarized and reported within the time periods specified in the Securities and Exchange Commission's rules and forms, and that such information is accumulated and communicated to the Company's management, including its Chief Executive Officer and Chief Financial Officer, as appropriate, to allow timely decisions regarding required disclosure. The Company has formed a disclosure committee that is responsible for considering the materiality of information and determining the disclosure obligations of the Company on a timely basis. The disclosure committee reports directly to the Company's Chief Executive Officer and Chief Financial Officer.</w:t>
      </w:r>
    </w:p>
    <w:p>
      <w:pPr>
        <w:spacing w:after="0" w:line="147"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As of the end of the period covered by this report, the Company carried out an evaluation, under the supervision and with the participation of the disclosure committee and other members of management, including its Chief Executive Officer and Chief Financial Officer, of the effectiveness of the Company's disclosure controls and procedures pursuant to Exchange Act Rule 13a-15(b) or Rule 15d-15. Based upon that evaluation, the Chief Executive Officer and Chief Financial Officer concluded that the Company's disclosure controls and procedures are effective to provide reasonable assurance that the information required to be disclosed by the Company in the reports that it files or submits under the Exchange Act is (i) recorded, processed, summarized and reported within the time periods specified in SEC rules and forms and (ii) accumulated and communicated to management, including the Chief Executive Officer and Chief Financial Officer, as appropriate, to allow timely decisions regarding disclosure.</w:t>
      </w:r>
    </w:p>
    <w:p>
      <w:pPr>
        <w:spacing w:after="0" w:line="149"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There have been no changes during the last fiscal quarter in the Company's internal control over financial reporting that has materially affected, or is reasonably likely to materially affect, the Company's internal control over financial reporting.</w:t>
      </w:r>
    </w:p>
    <w:p>
      <w:pPr>
        <w:spacing w:after="0" w:line="121"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Notwithstanding the foregoing, a control system, no matter how well designed and operated, can provide only reasonable, not absolute, assurance that it will detect or uncover failures within the Company to disclose material information otherwise required to be set forth in the Company's periodic reports.</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114" w:right="2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4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8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 and/or one or more of its subsidiaries is party to various pending litigation matters that are considered ordinary routine litigation incidental to its business as a finance and investment company focused on the commercial real estate industry, including loan foreclosure and foreclosure related proceedings. In addition to such matters, the Company or its subsidiaries is a party to, or any of their property is the subject of, the following pending legal proceedings.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Citiline Holdings, Inc., et al. v. iStar Financial, Inc., et al.</w:t>
      </w:r>
    </w:p>
    <w:p>
      <w:pPr>
        <w:spacing w:after="0" w:line="18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As previously reported, in April 2008, two putative class action complaints were filed in the United States District Court for the Southern District of New York alleging violations of federal securities laws by the Company and certain of its current and former executive officers in connection with the Company's December 13, 2007 public offering (the "Citiline Action"). On June 4, 2012, we reached an agreement in principle with the plaintiffs' Court-appointed representatives in the Citiline Action to settle the litigation. On April 5, 2013, the Court approved the settlement, entered a Final Judgment and Order of Dismissal With Prejudice and the Citiline Action was concluded.</w:t>
      </w:r>
    </w:p>
    <w:p>
      <w:pPr>
        <w:spacing w:after="0" w:line="139"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See the Company's Annual Report on Form 10-K for the fiscal year ended December 31, 2012.</w:t>
      </w:r>
    </w:p>
    <w:p>
      <w:pPr>
        <w:spacing w:after="0" w:line="18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Defaults Upon Senior Securities</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114" w:right="2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6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INDEX TO EXHIBITS</w:t>
      </w:r>
    </w:p>
    <w:p>
      <w:pPr>
        <w:sectPr>
          <w:pgSz w:w="11900" w:h="16838" w:orient="portrait"/>
          <w:cols w:equalWidth="0" w:num="1">
            <w:col w:w="11420"/>
          </w:cols>
          <w:pgMar w:left="240" w:top="114" w:right="239" w:bottom="1440" w:gutter="0" w:footer="0" w:header="0"/>
        </w:sectPr>
      </w:pPr>
    </w:p>
    <w:p>
      <w:pPr>
        <w:spacing w:after="0" w:line="3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5" w:lineRule="exact"/>
        <w:rPr>
          <w:sz w:val="20"/>
          <w:szCs w:val="20"/>
          <w:color w:val="auto"/>
        </w:rPr>
      </w:pPr>
    </w:p>
    <w:p>
      <w:pPr>
        <w:jc w:val="center"/>
        <w:ind w:right="4180"/>
        <w:spacing w:after="0"/>
        <w:rPr>
          <w:sz w:val="20"/>
          <w:szCs w:val="20"/>
          <w:color w:val="auto"/>
        </w:rPr>
      </w:pPr>
      <w:r>
        <w:rPr>
          <w:rFonts w:ascii="Times New Roman" w:cs="Times New Roman" w:eastAsia="Times New Roman" w:hAnsi="Times New Roman"/>
          <w:sz w:val="18"/>
          <w:szCs w:val="18"/>
          <w:b w:val="1"/>
          <w:bCs w:val="1"/>
          <w:color w:val="auto"/>
        </w:rPr>
        <w:t>Document Description</w:t>
      </w:r>
    </w:p>
    <w:p>
      <w:pPr>
        <w:spacing w:after="0" w:line="67" w:lineRule="exact"/>
        <w:rPr>
          <w:sz w:val="20"/>
          <w:szCs w:val="20"/>
          <w:color w:val="auto"/>
        </w:rPr>
      </w:pPr>
    </w:p>
    <w:p>
      <w:pPr>
        <w:sectPr>
          <w:pgSz w:w="11900" w:h="16838" w:orient="portrait"/>
          <w:cols w:equalWidth="0" w:num="2">
            <w:col w:w="4780" w:space="720"/>
            <w:col w:w="5920"/>
          </w:cols>
          <w:pgMar w:left="240" w:top="114" w:right="239" w:bottom="1440" w:gutter="0" w:footer="0" w:header="0"/>
          <w:type w:val="continuous"/>
        </w:sectPr>
      </w:pPr>
    </w:p>
    <w:p>
      <w:pPr>
        <w:ind w:left="1620" w:right="460" w:hanging="359"/>
        <w:spacing w:after="0" w:line="266" w:lineRule="auto"/>
        <w:rPr>
          <w:sz w:val="20"/>
          <w:szCs w:val="20"/>
          <w:color w:val="auto"/>
        </w:rPr>
      </w:pPr>
      <w:r>
        <w:rPr>
          <w:rFonts w:ascii="Times New Roman" w:cs="Times New Roman" w:eastAsia="Times New Roman" w:hAnsi="Times New Roman"/>
          <w:sz w:val="18"/>
          <w:szCs w:val="18"/>
          <w:color w:val="auto"/>
        </w:rPr>
        <w:t>1.1 Underwriting Agreement, dated March 12, 2013, by and among the Company and Barclays Capital Inc. and the other several underwriters named therein, relating to the Series J Cumulative Convertible Perpetual Preferred Stock, par value $0.001 per share (incorporated by reference from the Company's Current Report on Form 8-K filed on March 18, 2013).</w:t>
      </w:r>
    </w:p>
    <w:p>
      <w:pPr>
        <w:spacing w:after="0" w:line="14" w:lineRule="exact"/>
        <w:rPr>
          <w:sz w:val="20"/>
          <w:szCs w:val="20"/>
          <w:color w:val="auto"/>
        </w:rPr>
      </w:pPr>
    </w:p>
    <w:p>
      <w:pPr>
        <w:ind w:left="1620" w:right="680" w:hanging="359"/>
        <w:spacing w:after="0" w:line="281" w:lineRule="auto"/>
        <w:rPr>
          <w:sz w:val="20"/>
          <w:szCs w:val="20"/>
          <w:color w:val="auto"/>
        </w:rPr>
      </w:pPr>
      <w:r>
        <w:rPr>
          <w:rFonts w:ascii="Times New Roman" w:cs="Times New Roman" w:eastAsia="Times New Roman" w:hAnsi="Times New Roman"/>
          <w:sz w:val="18"/>
          <w:szCs w:val="18"/>
          <w:color w:val="auto"/>
        </w:rPr>
        <w:t>3.1 Articles Supplementary designating the Series J Cumulative Convertible Perpetual Preferred Stock, par value $0.001 per share (incorporated by reference from the Company's Current Report on Form 8-K filed on March 18, 2013).</w:t>
      </w:r>
    </w:p>
    <w:p>
      <w:pPr>
        <w:spacing w:after="0" w:line="2" w:lineRule="exact"/>
        <w:rPr>
          <w:sz w:val="20"/>
          <w:szCs w:val="20"/>
          <w:color w:val="auto"/>
        </w:rPr>
      </w:pPr>
    </w:p>
    <w:p>
      <w:pPr>
        <w:ind w:left="1620" w:right="680" w:hanging="359"/>
        <w:spacing w:after="0" w:line="281" w:lineRule="auto"/>
        <w:rPr>
          <w:sz w:val="20"/>
          <w:szCs w:val="20"/>
          <w:color w:val="auto"/>
        </w:rPr>
      </w:pPr>
      <w:r>
        <w:rPr>
          <w:rFonts w:ascii="Times New Roman" w:cs="Times New Roman" w:eastAsia="Times New Roman" w:hAnsi="Times New Roman"/>
          <w:sz w:val="18"/>
          <w:szCs w:val="18"/>
          <w:color w:val="auto"/>
        </w:rPr>
        <w:t>4.1 Form of specimen certificate representing the Series J Cumulative Convertible Perpetual Preferred Stock, par value $0.001 per share (incorporated by reference from the Company's Current Report on Form 8-A filed on March 18, 2013).</w:t>
      </w:r>
    </w:p>
    <w:p>
      <w:pPr>
        <w:spacing w:after="0" w:line="2" w:lineRule="exact"/>
        <w:rPr>
          <w:sz w:val="20"/>
          <w:szCs w:val="20"/>
          <w:color w:val="auto"/>
        </w:rPr>
      </w:pPr>
    </w:p>
    <w:p>
      <w:pPr>
        <w:ind w:left="1620" w:right="460" w:hanging="449"/>
        <w:spacing w:after="0" w:line="260" w:lineRule="auto"/>
        <w:rPr>
          <w:sz w:val="20"/>
          <w:szCs w:val="20"/>
          <w:color w:val="auto"/>
        </w:rPr>
      </w:pPr>
      <w:r>
        <w:rPr>
          <w:rFonts w:ascii="Times New Roman" w:cs="Times New Roman" w:eastAsia="Times New Roman" w:hAnsi="Times New Roman"/>
          <w:sz w:val="18"/>
          <w:szCs w:val="18"/>
          <w:color w:val="auto"/>
        </w:rPr>
        <w:t>10.1 Credit Facility, by and among the Company, JPMorgan Chase Bank, N.A., as Administrative Agent, Barclays Bank PLC, as Syndication Agent and Bank of America, N.A., as Documentation Agent, dated as of dated as of February 11, 2013 (incorporated by reference from the Company's Current Report on Form 8-K filed on February 15, 2013).</w:t>
      </w:r>
    </w:p>
    <w:p>
      <w:pPr>
        <w:spacing w:after="0" w:line="1" w:lineRule="exact"/>
        <w:rPr>
          <w:sz w:val="20"/>
          <w:szCs w:val="20"/>
          <w:color w:val="auto"/>
        </w:rPr>
      </w:pPr>
    </w:p>
    <w:p>
      <w:pPr>
        <w:ind w:left="1180"/>
        <w:spacing w:after="0" w:line="207" w:lineRule="exact"/>
        <w:rPr>
          <w:sz w:val="20"/>
          <w:szCs w:val="20"/>
          <w:color w:val="auto"/>
        </w:rPr>
      </w:pPr>
      <w:r>
        <w:rPr>
          <w:rFonts w:ascii="Times New Roman" w:cs="Times New Roman" w:eastAsia="Times New Roman" w:hAnsi="Times New Roman"/>
          <w:sz w:val="18"/>
          <w:szCs w:val="18"/>
          <w:color w:val="auto"/>
        </w:rPr>
        <w:t>31.1  Certifications pursuant to Section 302 of the Sarbanes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Oxley Act</w:t>
      </w:r>
    </w:p>
    <w:p>
      <w:pPr>
        <w:spacing w:after="0" w:line="76" w:lineRule="exact"/>
        <w:rPr>
          <w:sz w:val="20"/>
          <w:szCs w:val="20"/>
          <w:color w:val="auto"/>
        </w:rPr>
      </w:pPr>
    </w:p>
    <w:p>
      <w:pPr>
        <w:ind w:left="1180"/>
        <w:spacing w:after="0" w:line="207" w:lineRule="exact"/>
        <w:rPr>
          <w:sz w:val="20"/>
          <w:szCs w:val="20"/>
          <w:color w:val="auto"/>
        </w:rPr>
      </w:pPr>
      <w:r>
        <w:rPr>
          <w:rFonts w:ascii="Times New Roman" w:cs="Times New Roman" w:eastAsia="Times New Roman" w:hAnsi="Times New Roman"/>
          <w:sz w:val="18"/>
          <w:szCs w:val="18"/>
          <w:color w:val="auto"/>
        </w:rPr>
        <w:t>32.1  Certifications pursuant to Section 906 of the Sarbanes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Oxley Act.</w:t>
      </w:r>
    </w:p>
    <w:p>
      <w:pPr>
        <w:spacing w:after="0" w:line="79" w:lineRule="exact"/>
        <w:rPr>
          <w:sz w:val="20"/>
          <w:szCs w:val="20"/>
          <w:color w:val="auto"/>
        </w:rPr>
      </w:pPr>
    </w:p>
    <w:p>
      <w:pPr>
        <w:ind w:left="1620" w:right="380" w:hanging="396"/>
        <w:spacing w:after="0" w:line="254" w:lineRule="auto"/>
        <w:tabs>
          <w:tab w:leader="none" w:pos="16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information from the Company's Quarterly Report on Form 10-Q for the period ended March 31, 2013 is formatted in XBRL ("eXtensible Business Reporting Language"): (i) the Consolidated Balance Sheets (unaudited) as of March 31, 2013 and December 31, 2012, (ii) the Consolidated Statements of Operations (unaudited) for the three months ended March 31, 2013 and 2012, (iii) the Consolidated Statements of Comprehensive Income (Loss) (unaudited) for the three months ended March 31, 2013 and 2012, (iv) the Consolidated Statement of Changes in Equity (unaudited) for the three months ended March 31, 2013,</w:t>
      </w:r>
    </w:p>
    <w:p>
      <w:pPr>
        <w:spacing w:after="0" w:line="3" w:lineRule="exact"/>
        <w:rPr>
          <w:rFonts w:ascii="Times New Roman" w:cs="Times New Roman" w:eastAsia="Times New Roman" w:hAnsi="Times New Roman"/>
          <w:sz w:val="18"/>
          <w:szCs w:val="18"/>
          <w:color w:val="auto"/>
        </w:rPr>
      </w:pPr>
    </w:p>
    <w:p>
      <w:pPr>
        <w:ind w:left="1620" w:right="3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 the Consolidated Statements of Cash Flows (unaudited) for the three months ended March 31, 2013 and 2012 and (vi) the Notes to the Consolidated Financial Statements (unaudited).*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Explanatory Notes: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120" w:lineRule="exact"/>
        <w:rPr>
          <w:sz w:val="20"/>
          <w:szCs w:val="20"/>
          <w:color w:val="auto"/>
        </w:rPr>
      </w:pPr>
    </w:p>
    <w:p>
      <w:pPr>
        <w:ind w:left="660" w:hanging="652"/>
        <w:spacing w:after="0" w:line="282" w:lineRule="auto"/>
        <w:tabs>
          <w:tab w:leader="none" w:pos="6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accordance with Rule 406T of Regulation S-T, the XBRL related information in Exhibit 101 is deemed not filed or part of a registration statement or prospectus for purposes of sections 11 or 12 of the Securities Act of 1933, is deemed not filed for purposes of section 18 of the Exchange Act of 1934 and otherwise is not subject to liability under these sections.</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114" w:right="23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28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iSTAR FINANCIAL INC.</w:t>
      </w:r>
    </w:p>
    <w:p>
      <w:pPr>
        <w:spacing w:after="0" w:line="27"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i w:val="1"/>
          <w:iCs w:val="1"/>
          <w:color w:val="auto"/>
        </w:rPr>
        <w:t>Registrant</w:t>
      </w:r>
    </w:p>
    <w:p>
      <w:pPr>
        <w:spacing w:after="0" w:line="45" w:lineRule="exact"/>
        <w:rPr>
          <w:sz w:val="20"/>
          <w:szCs w:val="20"/>
          <w:color w:val="auto"/>
        </w:rPr>
      </w:pPr>
    </w:p>
    <w:p>
      <w:pPr>
        <w:ind w:left="280"/>
        <w:spacing w:after="0"/>
        <w:tabs>
          <w:tab w:leader="none" w:pos="7860" w:val="left"/>
        </w:tabs>
        <w:rPr>
          <w:sz w:val="20"/>
          <w:szCs w:val="20"/>
          <w:color w:val="auto"/>
        </w:rPr>
      </w:pPr>
      <w:r>
        <w:rPr>
          <w:rFonts w:ascii="Times New Roman" w:cs="Times New Roman" w:eastAsia="Times New Roman" w:hAnsi="Times New Roman"/>
          <w:sz w:val="18"/>
          <w:szCs w:val="18"/>
          <w:color w:val="auto"/>
        </w:rPr>
        <w:t>Date: May 6, 2013</w:t>
      </w:r>
      <w:r>
        <w:rPr>
          <w:sz w:val="20"/>
          <w:szCs w:val="20"/>
          <w:color w:val="auto"/>
        </w:rPr>
        <w:tab/>
      </w:r>
      <w:r>
        <w:rPr>
          <w:rFonts w:ascii="Times New Roman" w:cs="Times New Roman" w:eastAsia="Times New Roman" w:hAnsi="Times New Roman"/>
          <w:sz w:val="17"/>
          <w:szCs w:val="17"/>
          <w:color w:val="auto"/>
        </w:rPr>
        <w:t>/s/ JAY SUGARMAN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34290</wp:posOffset>
            </wp:positionV>
            <wp:extent cx="34734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color w:val="auto"/>
        </w:rPr>
        <w:t>Jay Sugarman</w:t>
      </w:r>
    </w:p>
    <w:p>
      <w:pPr>
        <w:spacing w:after="0" w:line="27"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i w:val="1"/>
          <w:iCs w:val="1"/>
          <w:color w:val="auto"/>
        </w:rPr>
        <w:t>Chairman of the Board of Directors and Chief</w:t>
      </w:r>
    </w:p>
    <w:p>
      <w:pPr>
        <w:spacing w:after="0" w:line="9"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i w:val="1"/>
          <w:iCs w:val="1"/>
          <w:color w:val="auto"/>
        </w:rPr>
        <w:t>Executive Officer (principal executive officer)</w:t>
      </w:r>
    </w:p>
    <w:p>
      <w:pPr>
        <w:spacing w:after="0" w:line="45"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iSTAR FINANCIAL INC.</w:t>
      </w:r>
    </w:p>
    <w:p>
      <w:pPr>
        <w:spacing w:after="0" w:line="27"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i w:val="1"/>
          <w:iCs w:val="1"/>
          <w:color w:val="auto"/>
        </w:rPr>
        <w:t>Registrant</w:t>
      </w:r>
    </w:p>
    <w:p>
      <w:pPr>
        <w:spacing w:after="0" w:line="45" w:lineRule="exact"/>
        <w:rPr>
          <w:sz w:val="20"/>
          <w:szCs w:val="20"/>
          <w:color w:val="auto"/>
        </w:rPr>
      </w:pPr>
    </w:p>
    <w:p>
      <w:pPr>
        <w:ind w:left="280"/>
        <w:spacing w:after="0"/>
        <w:tabs>
          <w:tab w:leader="none" w:pos="7760" w:val="left"/>
        </w:tabs>
        <w:rPr>
          <w:sz w:val="20"/>
          <w:szCs w:val="20"/>
          <w:color w:val="auto"/>
        </w:rPr>
      </w:pPr>
      <w:r>
        <w:rPr>
          <w:rFonts w:ascii="Times New Roman" w:cs="Times New Roman" w:eastAsia="Times New Roman" w:hAnsi="Times New Roman"/>
          <w:sz w:val="18"/>
          <w:szCs w:val="18"/>
          <w:color w:val="auto"/>
        </w:rPr>
        <w:t>Date: May 6, 2013</w:t>
      </w:r>
      <w:r>
        <w:rPr>
          <w:sz w:val="20"/>
          <w:szCs w:val="20"/>
          <w:color w:val="auto"/>
        </w:rPr>
        <w:tab/>
      </w:r>
      <w:r>
        <w:rPr>
          <w:rFonts w:ascii="Times New Roman" w:cs="Times New Roman" w:eastAsia="Times New Roman" w:hAnsi="Times New Roman"/>
          <w:sz w:val="17"/>
          <w:szCs w:val="17"/>
          <w:color w:val="auto"/>
        </w:rPr>
        <w:t>/s/ DAVID M. DISTASO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34290</wp:posOffset>
            </wp:positionV>
            <wp:extent cx="34734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color w:val="auto"/>
        </w:rPr>
        <w:t>David M. DiStaso</w:t>
      </w:r>
    </w:p>
    <w:p>
      <w:pPr>
        <w:spacing w:after="0" w:line="27"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i w:val="1"/>
          <w:iCs w:val="1"/>
          <w:color w:val="auto"/>
        </w:rPr>
        <w:t>Chief Financial Officer (principal financial and</w:t>
      </w:r>
    </w:p>
    <w:p>
      <w:pPr>
        <w:spacing w:after="0" w:line="9"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i w:val="1"/>
          <w:iCs w:val="1"/>
          <w:color w:val="auto"/>
        </w:rPr>
        <w:t>accounting officer)</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00"/>
          </w:cols>
          <w:pgMar w:left="240" w:top="114" w:right="25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31.0</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Jay Sugarman, certify that:</w:t>
      </w:r>
    </w:p>
    <w:p>
      <w:pPr>
        <w:spacing w:after="0" w:line="171" w:lineRule="exact"/>
        <w:rPr>
          <w:sz w:val="20"/>
          <w:szCs w:val="20"/>
          <w:color w:val="auto"/>
        </w:rPr>
      </w:pPr>
    </w:p>
    <w:p>
      <w:pPr>
        <w:ind w:left="520" w:hanging="188"/>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iStar Financial Inc.;</w:t>
      </w:r>
    </w:p>
    <w:p>
      <w:pPr>
        <w:spacing w:after="0" w:line="171" w:lineRule="exact"/>
        <w:rPr>
          <w:rFonts w:ascii="Times New Roman" w:cs="Times New Roman" w:eastAsia="Times New Roman" w:hAnsi="Times New Roman"/>
          <w:sz w:val="18"/>
          <w:szCs w:val="18"/>
          <w:color w:val="auto"/>
        </w:rPr>
      </w:pPr>
    </w:p>
    <w:p>
      <w:pPr>
        <w:jc w:val="both"/>
        <w:ind w:right="440" w:firstLine="332"/>
        <w:spacing w:after="0" w:line="282" w:lineRule="auto"/>
        <w:tabs>
          <w:tab w:leader="none" w:pos="50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right="400" w:firstLine="332"/>
        <w:spacing w:after="0" w:line="282" w:lineRule="auto"/>
        <w:tabs>
          <w:tab w:leader="none" w:pos="50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right="260" w:firstLine="332"/>
        <w:spacing w:after="0" w:line="266" w:lineRule="auto"/>
        <w:tabs>
          <w:tab w:leader="none" w:pos="50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jc w:val="both"/>
        <w:ind w:left="340" w:right="300" w:firstLine="316"/>
        <w:spacing w:after="0" w:line="266" w:lineRule="auto"/>
        <w:tabs>
          <w:tab w:leader="none" w:pos="909"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ind w:left="340" w:right="560" w:firstLine="316"/>
        <w:spacing w:after="0" w:line="266" w:lineRule="auto"/>
        <w:tabs>
          <w:tab w:leader="none" w:pos="919"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ind w:left="340" w:right="840" w:firstLine="316"/>
        <w:spacing w:after="0" w:line="282" w:lineRule="auto"/>
        <w:tabs>
          <w:tab w:leader="none" w:pos="909"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ind w:left="340" w:right="100" w:firstLine="316"/>
        <w:spacing w:after="0" w:line="266" w:lineRule="auto"/>
        <w:tabs>
          <w:tab w:leader="none" w:pos="919"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right="340" w:firstLine="332"/>
        <w:spacing w:after="0" w:line="282" w:lineRule="auto"/>
        <w:tabs>
          <w:tab w:leader="none" w:pos="50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340" w:right="200" w:firstLine="316"/>
        <w:spacing w:after="0" w:line="282" w:lineRule="auto"/>
        <w:tabs>
          <w:tab w:leader="none" w:pos="909"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340" w:right="180" w:firstLine="316"/>
        <w:spacing w:after="0" w:line="282" w:lineRule="auto"/>
        <w:tabs>
          <w:tab w:leader="none" w:pos="919"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2013</w:t>
            </w:r>
          </w:p>
        </w:tc>
        <w:tc>
          <w:tcPr>
            <w:tcW w:w="7780" w:type="dxa"/>
            <w:vAlign w:val="bottom"/>
            <w:gridSpan w:val="3"/>
          </w:tcPr>
          <w:p>
            <w:pPr>
              <w:ind w:left="2120"/>
              <w:spacing w:after="0"/>
              <w:rPr>
                <w:sz w:val="20"/>
                <w:szCs w:val="20"/>
                <w:color w:val="auto"/>
              </w:rPr>
            </w:pPr>
            <w:r>
              <w:rPr>
                <w:rFonts w:ascii="Times New Roman" w:cs="Times New Roman" w:eastAsia="Times New Roman" w:hAnsi="Times New Roman"/>
                <w:sz w:val="18"/>
                <w:szCs w:val="18"/>
                <w:color w:val="auto"/>
              </w:rPr>
              <w:t>By:    /s/ JAY SUGARMAN</w:t>
            </w:r>
          </w:p>
        </w:tc>
      </w:tr>
      <w:tr>
        <w:trPr>
          <w:trHeight w:val="27"/>
        </w:trPr>
        <w:tc>
          <w:tcPr>
            <w:tcW w:w="36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r>
      <w:tr>
        <w:trPr>
          <w:trHeight w:val="237"/>
        </w:trPr>
        <w:tc>
          <w:tcPr>
            <w:tcW w:w="36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Jay Sugarman</w:t>
            </w:r>
          </w:p>
        </w:tc>
      </w:tr>
      <w:tr>
        <w:trPr>
          <w:trHeight w:val="270"/>
        </w:trPr>
        <w:tc>
          <w:tcPr>
            <w:tcW w:w="3600" w:type="dxa"/>
            <w:vAlign w:val="bottom"/>
          </w:tcPr>
          <w:p>
            <w:pPr>
              <w:spacing w:after="0"/>
              <w:rPr>
                <w:sz w:val="23"/>
                <w:szCs w:val="23"/>
                <w:color w:val="auto"/>
              </w:rPr>
            </w:pPr>
          </w:p>
        </w:tc>
        <w:tc>
          <w:tcPr>
            <w:tcW w:w="2660" w:type="dxa"/>
            <w:vAlign w:val="bottom"/>
          </w:tcPr>
          <w:p>
            <w:pPr>
              <w:spacing w:after="0"/>
              <w:rPr>
                <w:sz w:val="23"/>
                <w:szCs w:val="23"/>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r>
    </w:tbl>
    <w:p>
      <w:pPr>
        <w:sectPr>
          <w:pgSz w:w="11900" w:h="16838" w:orient="portrait"/>
          <w:cols w:equalWidth="0" w:num="1">
            <w:col w:w="11420"/>
          </w:cols>
          <w:pgMar w:left="240" w:top="198" w:right="2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DiStaso, certify that:</w:t>
      </w:r>
    </w:p>
    <w:p>
      <w:pPr>
        <w:spacing w:after="0" w:line="171" w:lineRule="exact"/>
        <w:rPr>
          <w:sz w:val="20"/>
          <w:szCs w:val="20"/>
          <w:color w:val="auto"/>
        </w:rPr>
      </w:pPr>
    </w:p>
    <w:p>
      <w:pPr>
        <w:ind w:left="520" w:hanging="188"/>
        <w:spacing w:after="0"/>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iStar Financial Inc.;</w:t>
      </w:r>
    </w:p>
    <w:p>
      <w:pPr>
        <w:spacing w:after="0" w:line="171" w:lineRule="exact"/>
        <w:rPr>
          <w:rFonts w:ascii="Times New Roman" w:cs="Times New Roman" w:eastAsia="Times New Roman" w:hAnsi="Times New Roman"/>
          <w:sz w:val="18"/>
          <w:szCs w:val="18"/>
          <w:color w:val="auto"/>
        </w:rPr>
      </w:pPr>
    </w:p>
    <w:p>
      <w:pPr>
        <w:jc w:val="both"/>
        <w:ind w:right="440" w:firstLine="332"/>
        <w:spacing w:after="0" w:line="282" w:lineRule="auto"/>
        <w:tabs>
          <w:tab w:leader="none" w:pos="50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right="400" w:firstLine="332"/>
        <w:spacing w:after="0" w:line="282" w:lineRule="auto"/>
        <w:tabs>
          <w:tab w:leader="none" w:pos="50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right="260" w:firstLine="332"/>
        <w:spacing w:after="0" w:line="266" w:lineRule="auto"/>
        <w:tabs>
          <w:tab w:leader="none" w:pos="50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jc w:val="both"/>
        <w:ind w:left="340" w:right="300" w:firstLine="316"/>
        <w:spacing w:after="0" w:line="266" w:lineRule="auto"/>
        <w:tabs>
          <w:tab w:leader="none" w:pos="909"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ind w:left="340" w:right="560" w:firstLine="316"/>
        <w:spacing w:after="0" w:line="266" w:lineRule="auto"/>
        <w:tabs>
          <w:tab w:leader="none" w:pos="919"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ind w:left="340" w:right="840" w:firstLine="316"/>
        <w:spacing w:after="0" w:line="282" w:lineRule="auto"/>
        <w:tabs>
          <w:tab w:leader="none" w:pos="909"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ind w:left="340" w:right="100" w:firstLine="316"/>
        <w:spacing w:after="0" w:line="266" w:lineRule="auto"/>
        <w:tabs>
          <w:tab w:leader="none" w:pos="919"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right="340" w:firstLine="332"/>
        <w:spacing w:after="0" w:line="282" w:lineRule="auto"/>
        <w:tabs>
          <w:tab w:leader="none" w:pos="50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340" w:right="200" w:firstLine="316"/>
        <w:spacing w:after="0" w:line="282" w:lineRule="auto"/>
        <w:tabs>
          <w:tab w:leader="none" w:pos="909"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340" w:right="180" w:firstLine="316"/>
        <w:spacing w:after="0" w:line="282" w:lineRule="auto"/>
        <w:tabs>
          <w:tab w:leader="none" w:pos="919"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2013</w:t>
            </w:r>
          </w:p>
        </w:tc>
        <w:tc>
          <w:tcPr>
            <w:tcW w:w="7780" w:type="dxa"/>
            <w:vAlign w:val="bottom"/>
            <w:gridSpan w:val="3"/>
          </w:tcPr>
          <w:p>
            <w:pPr>
              <w:ind w:left="2120"/>
              <w:spacing w:after="0"/>
              <w:rPr>
                <w:sz w:val="20"/>
                <w:szCs w:val="20"/>
                <w:color w:val="auto"/>
              </w:rPr>
            </w:pPr>
            <w:r>
              <w:rPr>
                <w:rFonts w:ascii="Times New Roman" w:cs="Times New Roman" w:eastAsia="Times New Roman" w:hAnsi="Times New Roman"/>
                <w:sz w:val="18"/>
                <w:szCs w:val="18"/>
                <w:color w:val="auto"/>
              </w:rPr>
              <w:t>By:    /s/ DAVID M. DISTASO</w:t>
            </w:r>
          </w:p>
        </w:tc>
      </w:tr>
      <w:tr>
        <w:trPr>
          <w:trHeight w:val="27"/>
        </w:trPr>
        <w:tc>
          <w:tcPr>
            <w:tcW w:w="36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r>
      <w:tr>
        <w:trPr>
          <w:trHeight w:val="237"/>
        </w:trPr>
        <w:tc>
          <w:tcPr>
            <w:tcW w:w="36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David M. DiStaso</w:t>
            </w:r>
          </w:p>
        </w:tc>
      </w:tr>
      <w:tr>
        <w:trPr>
          <w:trHeight w:val="164"/>
        </w:trPr>
        <w:tc>
          <w:tcPr>
            <w:tcW w:w="36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0" w:type="dxa"/>
            <w:vAlign w:val="bottom"/>
          </w:tcPr>
          <w:p>
            <w:pPr>
              <w:ind w:left="220"/>
              <w:spacing w:after="0" w:line="163" w:lineRule="exact"/>
              <w:rPr>
                <w:sz w:val="20"/>
                <w:szCs w:val="20"/>
                <w:color w:val="auto"/>
              </w:rPr>
            </w:pPr>
            <w:r>
              <w:rPr>
                <w:rFonts w:ascii="Times New Roman" w:cs="Times New Roman" w:eastAsia="Times New Roman" w:hAnsi="Times New Roman"/>
                <w:sz w:val="18"/>
                <w:szCs w:val="18"/>
                <w:i w:val="1"/>
                <w:iCs w:val="1"/>
                <w:color w:val="auto"/>
              </w:rPr>
              <w:t>Chief Financial Officer (principal</w:t>
            </w:r>
          </w:p>
        </w:tc>
      </w:tr>
    </w:tbl>
    <w:p>
      <w:pPr>
        <w:spacing w:after="0" w:line="1" w:lineRule="exact"/>
        <w:rPr>
          <w:sz w:val="20"/>
          <w:szCs w:val="20"/>
          <w:color w:val="auto"/>
        </w:rPr>
      </w:pPr>
    </w:p>
    <w:tbl>
      <w:tblPr>
        <w:tblLayout w:type="fixed"/>
        <w:tblInd w:w="632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6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i w:val="1"/>
                <w:iCs w:val="1"/>
                <w:color w:val="auto"/>
                <w:w w:val="98"/>
              </w:rPr>
              <w:t>financial and accounting officer)</w:t>
            </w:r>
          </w:p>
        </w:tc>
        <w:tc>
          <w:tcPr>
            <w:tcW w:w="0" w:type="dxa"/>
            <w:vAlign w:val="bottom"/>
          </w:tcPr>
          <w:p>
            <w:pPr>
              <w:spacing w:after="0"/>
              <w:rPr>
                <w:sz w:val="1"/>
                <w:szCs w:val="1"/>
                <w:color w:val="auto"/>
              </w:rPr>
            </w:pPr>
          </w:p>
        </w:tc>
      </w:tr>
      <w:tr>
        <w:trPr>
          <w:trHeight w:val="88"/>
        </w:trPr>
        <w:tc>
          <w:tcPr>
            <w:tcW w:w="660" w:type="dxa"/>
            <w:vAlign w:val="bottom"/>
          </w:tcPr>
          <w:p>
            <w:pPr>
              <w:spacing w:after="0"/>
              <w:rPr>
                <w:sz w:val="7"/>
                <w:szCs w:val="7"/>
                <w:color w:val="auto"/>
              </w:rPr>
            </w:pPr>
          </w:p>
        </w:tc>
        <w:tc>
          <w:tcPr>
            <w:tcW w:w="2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98" w:right="2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32.0</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175"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The undersigned, the Chief Executive Officer of iStar Financial Inc. (the "Company"), hereby certifies on the date hereof, pursuant to 18 U.S.C. 1350, as adopted pursuant to Section 906 of The Sarbanes-Oxley Act of 2002, that the Quarterly Report on Form 10-Q for the quarter ended March 31, 2013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2013</w:t>
            </w:r>
          </w:p>
        </w:tc>
        <w:tc>
          <w:tcPr>
            <w:tcW w:w="7780" w:type="dxa"/>
            <w:vAlign w:val="bottom"/>
            <w:gridSpan w:val="3"/>
          </w:tcPr>
          <w:p>
            <w:pPr>
              <w:ind w:left="2120"/>
              <w:spacing w:after="0"/>
              <w:rPr>
                <w:sz w:val="20"/>
                <w:szCs w:val="20"/>
                <w:color w:val="auto"/>
              </w:rPr>
            </w:pPr>
            <w:r>
              <w:rPr>
                <w:rFonts w:ascii="Times New Roman" w:cs="Times New Roman" w:eastAsia="Times New Roman" w:hAnsi="Times New Roman"/>
                <w:sz w:val="18"/>
                <w:szCs w:val="18"/>
                <w:color w:val="auto"/>
              </w:rPr>
              <w:t>By:    /s/ JAY SUGARMAN</w:t>
            </w:r>
          </w:p>
        </w:tc>
      </w:tr>
      <w:tr>
        <w:trPr>
          <w:trHeight w:val="27"/>
        </w:trPr>
        <w:tc>
          <w:tcPr>
            <w:tcW w:w="36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r>
      <w:tr>
        <w:trPr>
          <w:trHeight w:val="237"/>
        </w:trPr>
        <w:tc>
          <w:tcPr>
            <w:tcW w:w="36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Jay Sugarman</w:t>
            </w:r>
          </w:p>
        </w:tc>
      </w:tr>
      <w:tr>
        <w:trPr>
          <w:trHeight w:val="270"/>
        </w:trPr>
        <w:tc>
          <w:tcPr>
            <w:tcW w:w="3600" w:type="dxa"/>
            <w:vAlign w:val="bottom"/>
          </w:tcPr>
          <w:p>
            <w:pPr>
              <w:spacing w:after="0"/>
              <w:rPr>
                <w:sz w:val="23"/>
                <w:szCs w:val="23"/>
                <w:color w:val="auto"/>
              </w:rPr>
            </w:pPr>
          </w:p>
        </w:tc>
        <w:tc>
          <w:tcPr>
            <w:tcW w:w="2660" w:type="dxa"/>
            <w:vAlign w:val="bottom"/>
          </w:tcPr>
          <w:p>
            <w:pPr>
              <w:spacing w:after="0"/>
              <w:rPr>
                <w:sz w:val="23"/>
                <w:szCs w:val="23"/>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r>
    </w:tbl>
    <w:p>
      <w:pPr>
        <w:sectPr>
          <w:pgSz w:w="11900" w:h="16838" w:orient="portrait"/>
          <w:cols w:equalWidth="0" w:num="1">
            <w:col w:w="11420"/>
          </w:cols>
          <w:pgMar w:left="240" w:top="198" w:right="2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175"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The undersigned, the principal financial officer of iStar Financial Inc. (the "Company"), hereby certifies on the date hereof, pursuant to 18 U.S.C. 1350, as adopted pursuant to Section 906 of The Sarbanes-Oxley Act of 2002, that the Quarterly Report on Form 10-Q for the quarter ended March 31, 2013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2013</w:t>
            </w:r>
          </w:p>
        </w:tc>
        <w:tc>
          <w:tcPr>
            <w:tcW w:w="7780" w:type="dxa"/>
            <w:vAlign w:val="bottom"/>
            <w:gridSpan w:val="3"/>
          </w:tcPr>
          <w:p>
            <w:pPr>
              <w:ind w:left="2120"/>
              <w:spacing w:after="0"/>
              <w:rPr>
                <w:sz w:val="20"/>
                <w:szCs w:val="20"/>
                <w:color w:val="auto"/>
              </w:rPr>
            </w:pPr>
            <w:r>
              <w:rPr>
                <w:rFonts w:ascii="Times New Roman" w:cs="Times New Roman" w:eastAsia="Times New Roman" w:hAnsi="Times New Roman"/>
                <w:sz w:val="18"/>
                <w:szCs w:val="18"/>
                <w:color w:val="auto"/>
              </w:rPr>
              <w:t>By:    /s/ DAVID M. DISTASO</w:t>
            </w:r>
          </w:p>
        </w:tc>
      </w:tr>
      <w:tr>
        <w:trPr>
          <w:trHeight w:val="27"/>
        </w:trPr>
        <w:tc>
          <w:tcPr>
            <w:tcW w:w="36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r>
      <w:tr>
        <w:trPr>
          <w:trHeight w:val="237"/>
        </w:trPr>
        <w:tc>
          <w:tcPr>
            <w:tcW w:w="36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David M. DiStaso</w:t>
            </w:r>
          </w:p>
        </w:tc>
      </w:tr>
      <w:tr>
        <w:trPr>
          <w:trHeight w:val="164"/>
        </w:trPr>
        <w:tc>
          <w:tcPr>
            <w:tcW w:w="36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0" w:type="dxa"/>
            <w:vAlign w:val="bottom"/>
          </w:tcPr>
          <w:p>
            <w:pPr>
              <w:ind w:left="220"/>
              <w:spacing w:after="0" w:line="164" w:lineRule="exact"/>
              <w:rPr>
                <w:sz w:val="20"/>
                <w:szCs w:val="20"/>
                <w:color w:val="auto"/>
              </w:rPr>
            </w:pPr>
            <w:r>
              <w:rPr>
                <w:rFonts w:ascii="Times New Roman" w:cs="Times New Roman" w:eastAsia="Times New Roman" w:hAnsi="Times New Roman"/>
                <w:sz w:val="18"/>
                <w:szCs w:val="18"/>
                <w:i w:val="1"/>
                <w:iCs w:val="1"/>
                <w:color w:val="auto"/>
              </w:rPr>
              <w:t>Chief Financial Officer (principal</w:t>
            </w:r>
          </w:p>
        </w:tc>
      </w:tr>
    </w:tbl>
    <w:p>
      <w:pPr>
        <w:spacing w:after="0" w:line="1" w:lineRule="exact"/>
        <w:rPr>
          <w:sz w:val="20"/>
          <w:szCs w:val="20"/>
          <w:color w:val="auto"/>
        </w:rPr>
      </w:pPr>
    </w:p>
    <w:tbl>
      <w:tblPr>
        <w:tblLayout w:type="fixed"/>
        <w:tblInd w:w="632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6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i w:val="1"/>
                <w:iCs w:val="1"/>
                <w:color w:val="auto"/>
                <w:w w:val="98"/>
              </w:rPr>
              <w:t>financial and accounting officer)</w:t>
            </w:r>
          </w:p>
        </w:tc>
        <w:tc>
          <w:tcPr>
            <w:tcW w:w="0" w:type="dxa"/>
            <w:vAlign w:val="bottom"/>
          </w:tcPr>
          <w:p>
            <w:pPr>
              <w:spacing w:after="0"/>
              <w:rPr>
                <w:sz w:val="1"/>
                <w:szCs w:val="1"/>
                <w:color w:val="auto"/>
              </w:rPr>
            </w:pPr>
          </w:p>
        </w:tc>
      </w:tr>
      <w:tr>
        <w:trPr>
          <w:trHeight w:val="88"/>
        </w:trPr>
        <w:tc>
          <w:tcPr>
            <w:tcW w:w="660" w:type="dxa"/>
            <w:vAlign w:val="bottom"/>
          </w:tcPr>
          <w:p>
            <w:pPr>
              <w:spacing w:after="0"/>
              <w:rPr>
                <w:sz w:val="7"/>
                <w:szCs w:val="7"/>
                <w:color w:val="auto"/>
              </w:rPr>
            </w:pPr>
          </w:p>
        </w:tc>
        <w:tc>
          <w:tcPr>
            <w:tcW w:w="2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19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o"/>
      <w:numFmt w:val="bullet"/>
      <w:start w:val="1"/>
    </w:lvl>
  </w:abstractNum>
  <w:abstractNum w:abstractNumId="2">
    <w:nsid w:val="25E45D32"/>
    <w:multiLevelType w:val="hybridMultilevel"/>
    <w:lvl w:ilvl="0">
      <w:lvlJc w:val="left"/>
      <w:lvlText w:val="(%1)"/>
      <w:numFmt w:val="decimal"/>
      <w:start w:val="1"/>
    </w:lvl>
  </w:abstractNum>
  <w:abstractNum w:abstractNumId="3">
    <w:nsid w:val="519B500D"/>
    <w:multiLevelType w:val="hybridMultilevel"/>
    <w:lvl w:ilvl="0">
      <w:lvlJc w:val="left"/>
      <w:lvlText w:val="(%1)"/>
      <w:numFmt w:val="decimal"/>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1)"/>
      <w:numFmt w:val="decimal"/>
      <w:start w:val="1"/>
    </w:lvl>
  </w:abstractNum>
  <w:abstractNum w:abstractNumId="6">
    <w:nsid w:val="7C83E458"/>
    <w:multiLevelType w:val="hybridMultilevel"/>
    <w:lvl w:ilvl="0">
      <w:lvlJc w:val="left"/>
      <w:lvlText w:val="(%1)"/>
      <w:numFmt w:val="decimal"/>
      <w:start w:val="1"/>
    </w:lvl>
  </w:abstractNum>
  <w:abstractNum w:abstractNumId="7">
    <w:nsid w:val="257130A3"/>
    <w:multiLevelType w:val="hybridMultilevel"/>
    <w:lvl w:ilvl="0">
      <w:lvlJc w:val="left"/>
      <w:lvlText w:val="(%1)"/>
      <w:numFmt w:val="decimal"/>
      <w:start w:val="1"/>
    </w:lvl>
  </w:abstractNum>
  <w:abstractNum w:abstractNumId="8">
    <w:nsid w:val="62BBD95A"/>
    <w:multiLevelType w:val="hybridMultilevel"/>
    <w:lvl w:ilvl="0">
      <w:lvlJc w:val="left"/>
      <w:lvlText w:val="(%1)"/>
      <w:numFmt w:val="decimal"/>
      <w:start w:val="1"/>
    </w:lvl>
  </w:abstractNum>
  <w:abstractNum w:abstractNumId="9">
    <w:nsid w:val="436C6125"/>
    <w:multiLevelType w:val="hybridMultilevel"/>
    <w:lvl w:ilvl="0">
      <w:lvlJc w:val="left"/>
      <w:lvlText w:val="(%1)"/>
      <w:numFmt w:val="decimal"/>
      <w:start w:val="1"/>
    </w:lvl>
  </w:abstractNum>
  <w:abstractNum w:abstractNumId="10">
    <w:nsid w:val="628C895D"/>
    <w:multiLevelType w:val="hybridMultilevel"/>
    <w:lvl w:ilvl="0">
      <w:lvlJc w:val="left"/>
      <w:lvlText w:val="(%1)"/>
      <w:numFmt w:val="decimal"/>
      <w:start w:val="1"/>
    </w:lvl>
  </w:abstractNum>
  <w:abstractNum w:abstractNumId="11">
    <w:nsid w:val="333AB105"/>
    <w:multiLevelType w:val="hybridMultilevel"/>
    <w:lvl w:ilvl="0">
      <w:lvlJc w:val="left"/>
      <w:lvlText w:val="(%1)"/>
      <w:numFmt w:val="decimal"/>
      <w:start w:val="1"/>
    </w:lvl>
  </w:abstractNum>
  <w:abstractNum w:abstractNumId="12">
    <w:nsid w:val="721DA317"/>
    <w:multiLevelType w:val="hybridMultilevel"/>
    <w:lvl w:ilvl="0">
      <w:lvlJc w:val="left"/>
      <w:lvlText w:val="(%1)"/>
      <w:numFmt w:val="decimal"/>
      <w:start w:val="1"/>
    </w:lvl>
  </w:abstractNum>
  <w:abstractNum w:abstractNumId="13">
    <w:nsid w:val="2443A858"/>
    <w:multiLevelType w:val="hybridMultilevel"/>
    <w:lvl w:ilvl="0">
      <w:lvlJc w:val="left"/>
      <w:lvlText w:val="(%1)"/>
      <w:numFmt w:val="decimal"/>
      <w:start w:val="1"/>
    </w:lvl>
  </w:abstractNum>
  <w:abstractNum w:abstractNumId="14">
    <w:nsid w:val="2D1D5AE9"/>
    <w:multiLevelType w:val="hybridMultilevel"/>
    <w:lvl w:ilvl="0">
      <w:lvlJc w:val="left"/>
      <w:lvlText w:val="(%1)"/>
      <w:numFmt w:val="decimal"/>
      <w:start w:val="1"/>
    </w:lvl>
  </w:abstractNum>
  <w:abstractNum w:abstractNumId="15">
    <w:nsid w:val="6763845E"/>
    <w:multiLevelType w:val="hybridMultilevel"/>
    <w:lvl w:ilvl="0">
      <w:lvlJc w:val="left"/>
      <w:lvlText w:val="(%1)"/>
      <w:numFmt w:val="decimal"/>
      <w:start w:val="1"/>
    </w:lvl>
  </w:abstractNum>
  <w:abstractNum w:abstractNumId="16">
    <w:nsid w:val="75A2A8D4"/>
    <w:multiLevelType w:val="hybridMultilevel"/>
    <w:lvl w:ilvl="0">
      <w:lvlJc w:val="left"/>
      <w:lvlText w:val="(%1)"/>
      <w:numFmt w:val="decimal"/>
      <w:start w:val="2"/>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1)"/>
      <w:numFmt w:val="decimal"/>
      <w:start w:val="1"/>
    </w:lvl>
  </w:abstractNum>
  <w:abstractNum w:abstractNumId="19">
    <w:nsid w:val="4353D0CD"/>
    <w:multiLevelType w:val="hybridMultilevel"/>
    <w:lvl w:ilvl="0">
      <w:lvlJc w:val="left"/>
      <w:lvlText w:val="(%1)"/>
      <w:numFmt w:val="decimal"/>
      <w:start w:val="1"/>
    </w:lvl>
  </w:abstractNum>
  <w:abstractNum w:abstractNumId="20">
    <w:nsid w:val="B03E0C6"/>
    <w:multiLevelType w:val="hybridMultilevel"/>
    <w:lvl w:ilvl="0">
      <w:lvlJc w:val="left"/>
      <w:lvlText w:val="(%1)"/>
      <w:numFmt w:val="decimal"/>
      <w:start w:val="2"/>
    </w:lvl>
  </w:abstractNum>
  <w:abstractNum w:abstractNumId="21">
    <w:nsid w:val="189A769B"/>
    <w:multiLevelType w:val="hybridMultilevel"/>
    <w:lvl w:ilvl="0">
      <w:lvlJc w:val="left"/>
      <w:lvlText w:val="(%1)"/>
      <w:numFmt w:val="decimal"/>
      <w:start w:val="1"/>
    </w:lvl>
  </w:abstractNum>
  <w:abstractNum w:abstractNumId="22">
    <w:nsid w:val="54E49EB4"/>
    <w:multiLevelType w:val="hybridMultilevel"/>
    <w:lvl w:ilvl="0">
      <w:lvlJc w:val="left"/>
      <w:lvlText w:val="(%1)"/>
      <w:numFmt w:val="decimal"/>
      <w:start w:val="1"/>
    </w:lvl>
  </w:abstractNum>
  <w:abstractNum w:abstractNumId="23">
    <w:nsid w:val="71F32454"/>
    <w:multiLevelType w:val="hybridMultilevel"/>
    <w:lvl w:ilvl="0">
      <w:lvlJc w:val="left"/>
      <w:lvlText w:val="(%1)"/>
      <w:numFmt w:val="decimal"/>
      <w:start w:val="1"/>
    </w:lvl>
  </w:abstractNum>
  <w:abstractNum w:abstractNumId="24">
    <w:nsid w:val="2CA88611"/>
    <w:multiLevelType w:val="hybridMultilevel"/>
    <w:lvl w:ilvl="0">
      <w:lvlJc w:val="left"/>
      <w:lvlText w:val="(%1)"/>
      <w:numFmt w:val="decimal"/>
      <w:start w:val="1"/>
    </w:lvl>
  </w:abstractNum>
  <w:abstractNum w:abstractNumId="25">
    <w:nsid w:val="836C40E"/>
    <w:multiLevelType w:val="hybridMultilevel"/>
    <w:lvl w:ilvl="0">
      <w:lvlJc w:val="left"/>
      <w:lvlText w:val="(%1)"/>
      <w:numFmt w:val="decimal"/>
      <w:start w:val="1"/>
    </w:lvl>
  </w:abstractNum>
  <w:abstractNum w:abstractNumId="26">
    <w:nsid w:val="2901D82"/>
    <w:multiLevelType w:val="hybridMultilevel"/>
    <w:lvl w:ilvl="0">
      <w:lvlJc w:val="left"/>
      <w:lvlText w:val="(%1)"/>
      <w:numFmt w:val="decimal"/>
      <w:start w:val="1"/>
    </w:lvl>
  </w:abstractNum>
  <w:abstractNum w:abstractNumId="27">
    <w:nsid w:val="3A95F874"/>
    <w:multiLevelType w:val="hybridMultilevel"/>
    <w:lvl w:ilvl="0">
      <w:lvlJc w:val="left"/>
      <w:lvlText w:val="%1"/>
      <w:numFmt w:val="decimal"/>
      <w:start w:val="101"/>
    </w:lvl>
  </w:abstractNum>
  <w:abstractNum w:abstractNumId="28">
    <w:nsid w:val="8138641"/>
    <w:multiLevelType w:val="hybridMultilevel"/>
    <w:lvl w:ilvl="0">
      <w:lvlJc w:val="left"/>
      <w:lvlText w:val="*"/>
      <w:numFmt w:val="bullet"/>
      <w:start w:val="1"/>
    </w:lvl>
  </w:abstractNum>
  <w:abstractNum w:abstractNumId="29">
    <w:nsid w:val="1E7FF521"/>
    <w:multiLevelType w:val="hybridMultilevel"/>
    <w:lvl w:ilvl="0">
      <w:lvlJc w:val="left"/>
      <w:lvlText w:val="%1."/>
      <w:numFmt w:val="decimal"/>
      <w:start w:val="1"/>
    </w:lvl>
    <w:lvl w:ilvl="1">
      <w:lvlJc w:val="left"/>
      <w:lvlText w:val="(%2)"/>
      <w:numFmt w:val="lowerLetter"/>
      <w:start w:val="1"/>
    </w:lvl>
  </w:abstractNum>
  <w:abstractNum w:abstractNumId="30">
    <w:nsid w:val="7C3DBD3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2019-12-06T23:37:12Z</dcterms:created>
  <dcterms:modified xsi:type="dcterms:W3CDTF">2019-12-06T23:37:12Z</dcterms:modified>
</cp:coreProperties>
</file>