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88"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SCHEDULE 13G</w:t>
      </w: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20"/>
          <w:szCs w:val="20"/>
          <w:color w:val="auto"/>
        </w:rPr>
        <w:t>Under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5080635</wp:posOffset>
            </wp:positionH>
            <wp:positionV relativeFrom="paragraph">
              <wp:posOffset>-14605</wp:posOffset>
            </wp:positionV>
            <wp:extent cx="31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5846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1"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5846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45031U101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109220</wp:posOffset>
            </wp:positionV>
            <wp:extent cx="5846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2"/>
          <w:szCs w:val="12"/>
          <w:color w:val="auto"/>
        </w:rPr>
        <w:t>12/31/2021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1905</wp:posOffset>
            </wp:positionV>
            <wp:extent cx="5846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ind w:left="200" w:right="2440" w:firstLine="2270"/>
        <w:spacing w:after="0" w:line="250" w:lineRule="auto"/>
        <w:rPr>
          <w:sz w:val="20"/>
          <w:szCs w:val="20"/>
          <w:color w:val="auto"/>
        </w:rPr>
      </w:pPr>
      <w:r>
        <w:rPr>
          <w:rFonts w:ascii="Arial" w:cs="Arial" w:eastAsia="Arial" w:hAnsi="Arial"/>
          <w:sz w:val="20"/>
          <w:szCs w:val="20"/>
          <w:color w:val="auto"/>
        </w:rPr>
        <w:t>(Date of Event which Requires Filing of this Statement) Check the appropriate box to designate the rule pursuant to which this Schedule is filed:</w:t>
      </w:r>
    </w:p>
    <w:p>
      <w:pPr>
        <w:spacing w:after="0" w:line="1" w:lineRule="exact"/>
        <w:rPr>
          <w:sz w:val="24"/>
          <w:szCs w:val="24"/>
          <w:color w:val="auto"/>
        </w:rPr>
      </w:pPr>
    </w:p>
    <w:p>
      <w:pPr>
        <w:ind w:left="860"/>
        <w:spacing w:after="0"/>
        <w:rPr>
          <w:sz w:val="20"/>
          <w:szCs w:val="20"/>
          <w:color w:val="auto"/>
        </w:rPr>
      </w:pPr>
      <w:r>
        <w:rPr>
          <w:rFonts w:ascii="Arial" w:cs="Arial" w:eastAsia="Arial" w:hAnsi="Arial"/>
          <w:sz w:val="20"/>
          <w:szCs w:val="20"/>
          <w:color w:val="auto"/>
        </w:rPr>
        <w:t>[X ]Rule 13d-1(b)</w:t>
      </w:r>
    </w:p>
    <w:p>
      <w:pPr>
        <w:spacing w:after="0" w:line="222" w:lineRule="exact"/>
        <w:rPr>
          <w:sz w:val="24"/>
          <w:szCs w:val="24"/>
          <w:color w:val="auto"/>
        </w:rPr>
      </w:pPr>
    </w:p>
    <w:p>
      <w:pPr>
        <w:ind w:left="860"/>
        <w:spacing w:after="0"/>
        <w:rPr>
          <w:sz w:val="20"/>
          <w:szCs w:val="20"/>
          <w:color w:val="auto"/>
        </w:rPr>
      </w:pPr>
      <w:r>
        <w:rPr>
          <w:rFonts w:ascii="Arial" w:cs="Arial" w:eastAsia="Arial" w:hAnsi="Arial"/>
          <w:sz w:val="20"/>
          <w:szCs w:val="20"/>
          <w:color w:val="auto"/>
        </w:rPr>
        <w:t>[_] Rule 13d-1(c)</w:t>
      </w:r>
    </w:p>
    <w:p>
      <w:pPr>
        <w:spacing w:after="0" w:line="229" w:lineRule="exact"/>
        <w:rPr>
          <w:sz w:val="24"/>
          <w:szCs w:val="24"/>
          <w:color w:val="auto"/>
        </w:rPr>
      </w:pPr>
    </w:p>
    <w:p>
      <w:pPr>
        <w:ind w:left="860"/>
        <w:spacing w:after="0"/>
        <w:rPr>
          <w:sz w:val="20"/>
          <w:szCs w:val="20"/>
          <w:color w:val="auto"/>
        </w:rPr>
      </w:pPr>
      <w:r>
        <w:rPr>
          <w:rFonts w:ascii="Arial" w:cs="Arial" w:eastAsia="Arial" w:hAnsi="Arial"/>
          <w:sz w:val="20"/>
          <w:szCs w:val="20"/>
          <w:color w:val="auto"/>
        </w:rPr>
        <w:t>[_] Rule 13d-1(d)</w:t>
      </w:r>
    </w:p>
    <w:p>
      <w:pPr>
        <w:spacing w:after="0" w:line="229" w:lineRule="exact"/>
        <w:rPr>
          <w:sz w:val="24"/>
          <w:szCs w:val="24"/>
          <w:color w:val="auto"/>
        </w:rPr>
      </w:pPr>
    </w:p>
    <w:p>
      <w:pPr>
        <w:jc w:val="both"/>
        <w:ind w:left="200" w:hanging="1"/>
        <w:spacing w:after="0" w:line="316"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ind w:left="200"/>
        <w:spacing w:after="0" w:line="250" w:lineRule="auto"/>
        <w:rPr>
          <w:sz w:val="20"/>
          <w:szCs w:val="20"/>
          <w:color w:val="auto"/>
        </w:rPr>
      </w:pPr>
      <w:r>
        <w:rPr>
          <w:rFonts w:ascii="Arial" w:cs="Arial" w:eastAsia="Arial" w:hAnsi="Arial"/>
          <w:sz w:val="20"/>
          <w:szCs w:val="20"/>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1297544.3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1" w:name="page2"/>
    <w:bookmarkEnd w:id="1"/>
    <w:p>
      <w:pPr>
        <w:jc w:val="center"/>
        <w:ind w:right="-206"/>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74295</wp:posOffset>
            </wp:positionV>
            <wp:extent cx="7132320" cy="5949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94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7" w:hanging="567"/>
        <w:spacing w:after="0"/>
        <w:tabs>
          <w:tab w:leader="none" w:pos="567"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Names of Reporting Persons</w:t>
      </w:r>
    </w:p>
    <w:p>
      <w:pPr>
        <w:spacing w:after="0" w:line="81" w:lineRule="exact"/>
        <w:rPr>
          <w:rFonts w:ascii="Arial" w:cs="Arial" w:eastAsia="Arial" w:hAnsi="Arial"/>
          <w:sz w:val="20"/>
          <w:szCs w:val="20"/>
          <w:b w:val="1"/>
          <w:bCs w:val="1"/>
          <w:color w:val="auto"/>
        </w:rPr>
      </w:pPr>
    </w:p>
    <w:p>
      <w:pPr>
        <w:ind w:left="567"/>
        <w:spacing w:after="0"/>
        <w:rPr>
          <w:rFonts w:ascii="Arial" w:cs="Arial" w:eastAsia="Arial" w:hAnsi="Arial"/>
          <w:sz w:val="20"/>
          <w:szCs w:val="20"/>
          <w:b w:val="1"/>
          <w:bCs w:val="1"/>
          <w:color w:val="auto"/>
        </w:rPr>
      </w:pPr>
      <w:r>
        <w:rPr>
          <w:rFonts w:ascii="Arial" w:cs="Arial" w:eastAsia="Arial" w:hAnsi="Arial"/>
          <w:sz w:val="22"/>
          <w:szCs w:val="22"/>
          <w:color w:val="auto"/>
        </w:rPr>
        <w:t>NewEdge Wealth, LLC</w:t>
      </w:r>
    </w:p>
    <w:p>
      <w:pPr>
        <w:spacing w:after="0" w:line="83" w:lineRule="exact"/>
        <w:rPr>
          <w:sz w:val="20"/>
          <w:szCs w:val="20"/>
          <w:color w:val="auto"/>
        </w:rPr>
      </w:pPr>
    </w:p>
    <w:p>
      <w:pPr>
        <w:ind w:left="567" w:hanging="567"/>
        <w:spacing w:after="0"/>
        <w:tabs>
          <w:tab w:leader="none" w:pos="567"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Check the appropriate box if a member of a Group (see instructions)</w:t>
      </w:r>
    </w:p>
    <w:p>
      <w:pPr>
        <w:spacing w:after="0" w:line="181" w:lineRule="exact"/>
        <w:rPr>
          <w:rFonts w:ascii="Arial" w:cs="Arial" w:eastAsia="Arial" w:hAnsi="Arial"/>
          <w:sz w:val="20"/>
          <w:szCs w:val="20"/>
          <w:b w:val="1"/>
          <w:bCs w:val="1"/>
          <w:color w:val="auto"/>
        </w:rPr>
      </w:pPr>
    </w:p>
    <w:p>
      <w:pPr>
        <w:ind w:left="1227" w:hanging="355"/>
        <w:spacing w:after="0"/>
        <w:tabs>
          <w:tab w:leader="none" w:pos="1227"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1227" w:hanging="355"/>
        <w:spacing w:after="0"/>
        <w:tabs>
          <w:tab w:leader="none" w:pos="1227"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72" w:lineRule="exact"/>
        <w:rPr>
          <w:sz w:val="20"/>
          <w:szCs w:val="20"/>
          <w:color w:val="auto"/>
        </w:rPr>
      </w:pPr>
    </w:p>
    <w:p>
      <w:pPr>
        <w:ind w:left="567" w:hanging="567"/>
        <w:spacing w:after="0"/>
        <w:tabs>
          <w:tab w:leader="none" w:pos="567"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Sec Use Only</w:t>
      </w:r>
    </w:p>
    <w:p>
      <w:pPr>
        <w:spacing w:after="0" w:line="94" w:lineRule="exact"/>
        <w:rPr>
          <w:sz w:val="20"/>
          <w:szCs w:val="20"/>
          <w:color w:val="auto"/>
        </w:rPr>
      </w:pPr>
    </w:p>
    <w:p>
      <w:pPr>
        <w:ind w:left="567" w:hanging="567"/>
        <w:spacing w:after="0"/>
        <w:tabs>
          <w:tab w:leader="none" w:pos="567"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or Place of Organization</w:t>
      </w:r>
    </w:p>
    <w:p>
      <w:pPr>
        <w:spacing w:after="0" w:line="95" w:lineRule="exact"/>
        <w:rPr>
          <w:rFonts w:ascii="Arial" w:cs="Arial" w:eastAsia="Arial" w:hAnsi="Arial"/>
          <w:sz w:val="20"/>
          <w:szCs w:val="20"/>
          <w:b w:val="1"/>
          <w:bCs w:val="1"/>
          <w:color w:val="auto"/>
        </w:rPr>
      </w:pPr>
    </w:p>
    <w:p>
      <w:pPr>
        <w:ind w:left="567"/>
        <w:spacing w:after="0"/>
        <w:rPr>
          <w:rFonts w:ascii="Arial" w:cs="Arial" w:eastAsia="Arial" w:hAnsi="Arial"/>
          <w:sz w:val="20"/>
          <w:szCs w:val="20"/>
          <w:b w:val="1"/>
          <w:bCs w:val="1"/>
          <w:color w:val="auto"/>
        </w:rPr>
      </w:pPr>
      <w:r>
        <w:rPr>
          <w:rFonts w:ascii="Arial" w:cs="Arial" w:eastAsia="Arial" w:hAnsi="Arial"/>
          <w:sz w:val="22"/>
          <w:szCs w:val="22"/>
          <w:color w:val="auto"/>
        </w:rPr>
        <w:t>Delaware</w:t>
      </w:r>
    </w:p>
    <w:p>
      <w:pPr>
        <w:spacing w:after="0" w:line="83" w:lineRule="exact"/>
        <w:rPr>
          <w:rFonts w:ascii="Arial" w:cs="Arial" w:eastAsia="Arial" w:hAnsi="Arial"/>
          <w:sz w:val="20"/>
          <w:szCs w:val="20"/>
          <w:b w:val="1"/>
          <w:bCs w:val="1"/>
          <w:color w:val="auto"/>
        </w:rPr>
      </w:pPr>
    </w:p>
    <w:p>
      <w:pPr>
        <w:ind w:left="2027"/>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5   Sole Voting Power</w:t>
      </w:r>
    </w:p>
    <w:p>
      <w:pPr>
        <w:spacing w:after="0" w:line="337" w:lineRule="exact"/>
        <w:rPr>
          <w:sz w:val="20"/>
          <w:szCs w:val="20"/>
          <w:color w:val="auto"/>
        </w:rPr>
      </w:pPr>
    </w:p>
    <w:tbl>
      <w:tblPr>
        <w:tblLayout w:type="fixed"/>
        <w:tblInd w:w="87" w:type="dxa"/>
        <w:tblCellMar>
          <w:top w:w="0" w:type="dxa"/>
          <w:left w:w="0" w:type="dxa"/>
          <w:bottom w:w="0" w:type="dxa"/>
          <w:right w:w="0" w:type="dxa"/>
        </w:tblCellMar>
      </w:tblPr>
      <w:tr>
        <w:trPr>
          <w:trHeight w:val="249"/>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b w:val="1"/>
                <w:bCs w:val="1"/>
                <w:color w:val="auto"/>
                <w:w w:val="89"/>
              </w:rPr>
              <w:t>Number of Shares</w:t>
            </w: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6</w:t>
            </w:r>
          </w:p>
        </w:tc>
        <w:tc>
          <w:tcPr>
            <w:tcW w:w="8880" w:type="dxa"/>
            <w:vAlign w:val="bottom"/>
          </w:tcPr>
          <w:p>
            <w:pPr>
              <w:ind w:left="220"/>
              <w:spacing w:after="0"/>
              <w:rPr>
                <w:sz w:val="20"/>
                <w:szCs w:val="20"/>
                <w:color w:val="auto"/>
              </w:rPr>
            </w:pPr>
            <w:r>
              <w:rPr>
                <w:rFonts w:ascii="Arial" w:cs="Arial" w:eastAsia="Arial" w:hAnsi="Arial"/>
                <w:sz w:val="20"/>
                <w:szCs w:val="20"/>
                <w:b w:val="1"/>
                <w:bCs w:val="1"/>
                <w:color w:val="auto"/>
              </w:rPr>
              <w:t>Shared Voting Power</w:t>
            </w:r>
          </w:p>
        </w:tc>
        <w:tc>
          <w:tcPr>
            <w:tcW w:w="0" w:type="dxa"/>
            <w:vAlign w:val="bottom"/>
          </w:tcPr>
          <w:p>
            <w:pPr>
              <w:spacing w:after="0"/>
              <w:rPr>
                <w:sz w:val="1"/>
                <w:szCs w:val="1"/>
                <w:color w:val="auto"/>
              </w:rPr>
            </w:pPr>
          </w:p>
        </w:tc>
      </w:tr>
      <w:tr>
        <w:trPr>
          <w:trHeight w:val="129"/>
        </w:trPr>
        <w:tc>
          <w:tcPr>
            <w:tcW w:w="18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880" w:type="dxa"/>
            <w:vAlign w:val="bottom"/>
            <w:vMerge w:val="restart"/>
          </w:tcPr>
          <w:p>
            <w:pPr>
              <w:jc w:val="right"/>
              <w:ind w:right="7501"/>
              <w:spacing w:after="0"/>
              <w:rPr>
                <w:sz w:val="20"/>
                <w:szCs w:val="20"/>
                <w:color w:val="auto"/>
              </w:rPr>
            </w:pPr>
            <w:r>
              <w:rPr>
                <w:rFonts w:ascii="Arial" w:cs="Arial" w:eastAsia="Arial" w:hAnsi="Arial"/>
                <w:sz w:val="20"/>
                <w:szCs w:val="20"/>
                <w:color w:val="auto"/>
              </w:rPr>
              <w:t>4,912,483.31</w:t>
            </w:r>
          </w:p>
        </w:tc>
        <w:tc>
          <w:tcPr>
            <w:tcW w:w="0" w:type="dxa"/>
            <w:vAlign w:val="bottom"/>
          </w:tcPr>
          <w:p>
            <w:pPr>
              <w:spacing w:after="0"/>
              <w:rPr>
                <w:sz w:val="1"/>
                <w:szCs w:val="1"/>
                <w:color w:val="auto"/>
              </w:rPr>
            </w:pPr>
          </w:p>
        </w:tc>
      </w:tr>
      <w:tr>
        <w:trPr>
          <w:trHeight w:val="108"/>
        </w:trPr>
        <w:tc>
          <w:tcPr>
            <w:tcW w:w="1840" w:type="dxa"/>
            <w:vAlign w:val="bottom"/>
            <w:vMerge w:val="restart"/>
          </w:tcPr>
          <w:p>
            <w:pPr>
              <w:jc w:val="center"/>
              <w:ind w:right="101"/>
              <w:spacing w:after="0"/>
              <w:rPr>
                <w:sz w:val="20"/>
                <w:szCs w:val="20"/>
                <w:color w:val="auto"/>
              </w:rPr>
            </w:pPr>
            <w:r>
              <w:rPr>
                <w:rFonts w:ascii="Arial" w:cs="Arial" w:eastAsia="Arial" w:hAnsi="Arial"/>
                <w:sz w:val="20"/>
                <w:szCs w:val="20"/>
                <w:b w:val="1"/>
                <w:bCs w:val="1"/>
                <w:color w:val="auto"/>
                <w:w w:val="89"/>
              </w:rPr>
              <w:t>Beneficially Owned</w:t>
            </w:r>
          </w:p>
        </w:tc>
        <w:tc>
          <w:tcPr>
            <w:tcW w:w="320" w:type="dxa"/>
            <w:vAlign w:val="bottom"/>
          </w:tcPr>
          <w:p>
            <w:pPr>
              <w:spacing w:after="0"/>
              <w:rPr>
                <w:sz w:val="9"/>
                <w:szCs w:val="9"/>
                <w:color w:val="auto"/>
              </w:rPr>
            </w:pPr>
          </w:p>
        </w:tc>
        <w:tc>
          <w:tcPr>
            <w:tcW w:w="8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40" w:type="dxa"/>
            <w:vAlign w:val="bottom"/>
          </w:tcPr>
          <w:p>
            <w:pPr>
              <w:jc w:val="center"/>
              <w:ind w:right="81"/>
              <w:spacing w:after="0" w:line="179" w:lineRule="exact"/>
              <w:rPr>
                <w:sz w:val="20"/>
                <w:szCs w:val="20"/>
                <w:color w:val="auto"/>
              </w:rPr>
            </w:pPr>
            <w:r>
              <w:rPr>
                <w:rFonts w:ascii="Arial" w:cs="Arial" w:eastAsia="Arial" w:hAnsi="Arial"/>
                <w:sz w:val="20"/>
                <w:szCs w:val="20"/>
                <w:b w:val="1"/>
                <w:bCs w:val="1"/>
                <w:color w:val="auto"/>
                <w:w w:val="89"/>
              </w:rPr>
              <w:t>by Each Reporting</w:t>
            </w:r>
          </w:p>
        </w:tc>
        <w:tc>
          <w:tcPr>
            <w:tcW w:w="320" w:type="dxa"/>
            <w:vAlign w:val="bottom"/>
            <w:tcBorders>
              <w:bottom w:val="single" w:sz="8" w:color="auto"/>
            </w:tcBorders>
          </w:tcPr>
          <w:p>
            <w:pPr>
              <w:spacing w:after="0"/>
              <w:rPr>
                <w:sz w:val="16"/>
                <w:szCs w:val="16"/>
                <w:color w:val="auto"/>
              </w:rPr>
            </w:pPr>
          </w:p>
        </w:tc>
        <w:tc>
          <w:tcPr>
            <w:tcW w:w="8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1840" w:type="dxa"/>
            <w:vAlign w:val="bottom"/>
          </w:tcPr>
          <w:p>
            <w:pPr>
              <w:jc w:val="center"/>
              <w:ind w:right="101"/>
              <w:spacing w:after="0"/>
              <w:rPr>
                <w:sz w:val="20"/>
                <w:szCs w:val="20"/>
                <w:color w:val="auto"/>
              </w:rPr>
            </w:pPr>
            <w:r>
              <w:rPr>
                <w:rFonts w:ascii="Arial" w:cs="Arial" w:eastAsia="Arial" w:hAnsi="Arial"/>
                <w:sz w:val="20"/>
                <w:szCs w:val="20"/>
                <w:b w:val="1"/>
                <w:bCs w:val="1"/>
                <w:color w:val="auto"/>
                <w:w w:val="90"/>
              </w:rPr>
              <w:t>Person With:</w:t>
            </w: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7</w:t>
            </w:r>
          </w:p>
        </w:tc>
        <w:tc>
          <w:tcPr>
            <w:tcW w:w="8880" w:type="dxa"/>
            <w:vAlign w:val="bottom"/>
          </w:tcPr>
          <w:p>
            <w:pPr>
              <w:ind w:left="220"/>
              <w:spacing w:after="0"/>
              <w:rPr>
                <w:sz w:val="20"/>
                <w:szCs w:val="20"/>
                <w:color w:val="auto"/>
              </w:rPr>
            </w:pPr>
            <w:r>
              <w:rPr>
                <w:rFonts w:ascii="Arial" w:cs="Arial" w:eastAsia="Arial" w:hAnsi="Arial"/>
                <w:sz w:val="20"/>
                <w:szCs w:val="20"/>
                <w:b w:val="1"/>
                <w:bCs w:val="1"/>
                <w:color w:val="auto"/>
              </w:rPr>
              <w:t>Sole Dispositive Power</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8</w:t>
            </w:r>
          </w:p>
        </w:tc>
        <w:tc>
          <w:tcPr>
            <w:tcW w:w="8880" w:type="dxa"/>
            <w:vAlign w:val="bottom"/>
          </w:tcPr>
          <w:p>
            <w:pPr>
              <w:ind w:left="220"/>
              <w:spacing w:after="0"/>
              <w:rPr>
                <w:sz w:val="20"/>
                <w:szCs w:val="20"/>
                <w:color w:val="auto"/>
              </w:rPr>
            </w:pPr>
            <w:r>
              <w:rPr>
                <w:rFonts w:ascii="Arial" w:cs="Arial" w:eastAsia="Arial" w:hAnsi="Arial"/>
                <w:sz w:val="20"/>
                <w:szCs w:val="20"/>
                <w:b w:val="1"/>
                <w:bCs w:val="1"/>
                <w:color w:val="auto"/>
              </w:rPr>
              <w:t>Shared Dispositive Power</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80" w:type="dxa"/>
            <w:vAlign w:val="bottom"/>
          </w:tcPr>
          <w:p>
            <w:pPr>
              <w:jc w:val="right"/>
              <w:ind w:right="7501"/>
              <w:spacing w:after="0"/>
              <w:rPr>
                <w:sz w:val="20"/>
                <w:szCs w:val="20"/>
                <w:color w:val="auto"/>
              </w:rPr>
            </w:pPr>
            <w:r>
              <w:rPr>
                <w:rFonts w:ascii="Arial" w:cs="Arial" w:eastAsia="Arial" w:hAnsi="Arial"/>
                <w:sz w:val="20"/>
                <w:szCs w:val="20"/>
                <w:color w:val="auto"/>
              </w:rPr>
              <w:t>4,912,483.31</w:t>
            </w: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467" w:right="4980" w:hanging="467"/>
        <w:spacing w:after="0" w:line="267" w:lineRule="auto"/>
        <w:tabs>
          <w:tab w:leader="none" w:pos="554"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Aggregate Amount Beneficially Owned by Each Reporting Person </w:t>
      </w:r>
      <w:r>
        <w:rPr>
          <w:rFonts w:ascii="Arial" w:cs="Arial" w:eastAsia="Arial" w:hAnsi="Arial"/>
          <w:sz w:val="20"/>
          <w:szCs w:val="20"/>
          <w:color w:val="auto"/>
        </w:rPr>
        <w:t>4,912,483.31</w:t>
      </w:r>
    </w:p>
    <w:p>
      <w:pPr>
        <w:spacing w:after="0" w:line="366" w:lineRule="exact"/>
        <w:rPr>
          <w:sz w:val="20"/>
          <w:szCs w:val="20"/>
          <w:color w:val="auto"/>
        </w:rPr>
      </w:pPr>
    </w:p>
    <w:p>
      <w:pPr>
        <w:ind w:left="567" w:right="3220" w:hanging="567"/>
        <w:spacing w:after="0" w:line="380" w:lineRule="auto"/>
        <w:tabs>
          <w:tab w:leader="none" w:pos="567"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Check box if the aggregate amount in row (9) excludes certain shares (See Instructions) </w:t>
      </w:r>
      <w:r>
        <w:rPr>
          <w:rFonts w:ascii="Arial" w:cs="Arial" w:eastAsia="Arial" w:hAnsi="Arial"/>
          <w:sz w:val="20"/>
          <w:szCs w:val="20"/>
          <w:color w:val="auto"/>
        </w:rPr>
        <w:t>[ ]</w:t>
      </w:r>
    </w:p>
    <w:p>
      <w:pPr>
        <w:ind w:left="567" w:hanging="567"/>
        <w:spacing w:after="0"/>
        <w:tabs>
          <w:tab w:leader="none" w:pos="567"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Percent of class represented by amount in row (9)</w:t>
      </w:r>
    </w:p>
    <w:p>
      <w:pPr>
        <w:spacing w:after="0" w:line="19" w:lineRule="exact"/>
        <w:rPr>
          <w:sz w:val="20"/>
          <w:szCs w:val="20"/>
          <w:color w:val="auto"/>
        </w:rPr>
      </w:pPr>
    </w:p>
    <w:p>
      <w:pPr>
        <w:ind w:left="467"/>
        <w:spacing w:after="0"/>
        <w:rPr>
          <w:sz w:val="20"/>
          <w:szCs w:val="20"/>
          <w:color w:val="auto"/>
        </w:rPr>
      </w:pPr>
      <w:r>
        <w:rPr>
          <w:rFonts w:ascii="Arial" w:cs="Arial" w:eastAsia="Arial" w:hAnsi="Arial"/>
          <w:sz w:val="20"/>
          <w:szCs w:val="20"/>
          <w:color w:val="auto"/>
        </w:rPr>
        <w:t>7.07%</w:t>
      </w:r>
    </w:p>
    <w:p>
      <w:pPr>
        <w:spacing w:after="0" w:line="399" w:lineRule="exact"/>
        <w:rPr>
          <w:sz w:val="20"/>
          <w:szCs w:val="20"/>
          <w:color w:val="auto"/>
        </w:rPr>
      </w:pPr>
    </w:p>
    <w:p>
      <w:pPr>
        <w:ind w:left="567" w:hanging="567"/>
        <w:spacing w:after="0"/>
        <w:tabs>
          <w:tab w:leader="none" w:pos="567"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Type of Reporting Person (See Instructions)</w:t>
      </w:r>
    </w:p>
    <w:p>
      <w:pPr>
        <w:spacing w:after="0" w:line="80" w:lineRule="exact"/>
        <w:rPr>
          <w:rFonts w:ascii="Arial" w:cs="Arial" w:eastAsia="Arial" w:hAnsi="Arial"/>
          <w:sz w:val="20"/>
          <w:szCs w:val="20"/>
          <w:b w:val="1"/>
          <w:bCs w:val="1"/>
          <w:color w:val="auto"/>
        </w:rPr>
      </w:pPr>
    </w:p>
    <w:p>
      <w:pPr>
        <w:ind w:left="567"/>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331470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7"/>
          </w:cols>
          <w:pgMar w:left="433" w:top="522" w:right="339" w:bottom="1440" w:gutter="0" w:footer="0" w:header="0"/>
        </w:sectPr>
      </w:pPr>
    </w:p>
    <w:bookmarkStart w:id="2" w:name="page3"/>
    <w:bookmarkEnd w:id="2"/>
    <w:p>
      <w:pPr>
        <w:ind w:left="120"/>
        <w:spacing w:after="0"/>
        <w:rPr>
          <w:sz w:val="20"/>
          <w:szCs w:val="20"/>
          <w:color w:val="auto"/>
        </w:rPr>
      </w:pPr>
      <w:r>
        <w:rPr>
          <w:rFonts w:ascii="Arial" w:cs="Arial" w:eastAsia="Arial" w:hAnsi="Arial"/>
          <w:sz w:val="20"/>
          <w:szCs w:val="20"/>
          <w:b w:val="1"/>
          <w:bCs w:val="1"/>
          <w:color w:val="auto"/>
        </w:rPr>
        <w:t>Item 1.</w:t>
      </w:r>
    </w:p>
    <w:p>
      <w:pPr>
        <w:spacing w:after="0" w:line="229" w:lineRule="exact"/>
        <w:rPr>
          <w:sz w:val="20"/>
          <w:szCs w:val="20"/>
          <w:color w:val="auto"/>
        </w:rPr>
      </w:pPr>
    </w:p>
    <w:p>
      <w:pPr>
        <w:ind w:left="840" w:hanging="727"/>
        <w:spacing w:after="0"/>
        <w:tabs>
          <w:tab w:leader="none" w:pos="8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Name of Issuer: iStar Inc.</w:t>
      </w:r>
    </w:p>
    <w:p>
      <w:pPr>
        <w:spacing w:after="0" w:line="229" w:lineRule="exact"/>
        <w:rPr>
          <w:rFonts w:ascii="Arial" w:cs="Arial" w:eastAsia="Arial" w:hAnsi="Arial"/>
          <w:sz w:val="20"/>
          <w:szCs w:val="20"/>
          <w:b w:val="1"/>
          <w:bCs w:val="1"/>
          <w:color w:val="auto"/>
        </w:rPr>
      </w:pPr>
    </w:p>
    <w:p>
      <w:pPr>
        <w:ind w:left="820" w:hanging="707"/>
        <w:spacing w:after="0"/>
        <w:tabs>
          <w:tab w:leader="none" w:pos="8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Address of Issuer’s Principal Executive Offices:</w:t>
      </w:r>
    </w:p>
    <w:p>
      <w:pPr>
        <w:spacing w:after="0" w:line="18" w:lineRule="exact"/>
        <w:rPr>
          <w:rFonts w:ascii="Arial" w:cs="Arial" w:eastAsia="Arial" w:hAnsi="Arial"/>
          <w:sz w:val="20"/>
          <w:szCs w:val="20"/>
          <w:b w:val="1"/>
          <w:bCs w:val="1"/>
          <w:color w:val="auto"/>
        </w:rPr>
      </w:pPr>
    </w:p>
    <w:p>
      <w:pPr>
        <w:ind w:left="780" w:right="6280"/>
        <w:spacing w:after="0" w:line="236" w:lineRule="auto"/>
        <w:rPr>
          <w:rFonts w:ascii="Arial" w:cs="Arial" w:eastAsia="Arial" w:hAnsi="Arial"/>
          <w:sz w:val="20"/>
          <w:szCs w:val="20"/>
          <w:b w:val="1"/>
          <w:bCs w:val="1"/>
          <w:color w:val="auto"/>
        </w:rPr>
      </w:pPr>
      <w:r>
        <w:rPr>
          <w:rFonts w:ascii="Arial" w:cs="Arial" w:eastAsia="Arial" w:hAnsi="Arial"/>
          <w:sz w:val="22"/>
          <w:szCs w:val="22"/>
          <w:b w:val="1"/>
          <w:bCs w:val="1"/>
          <w:color w:val="auto"/>
        </w:rPr>
        <w:t>1114 Avenue of The Americas, 39th floor New York, NY 10036</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2.</w:t>
      </w:r>
    </w:p>
    <w:p>
      <w:pPr>
        <w:spacing w:after="0" w:line="22" w:lineRule="exact"/>
        <w:rPr>
          <w:sz w:val="20"/>
          <w:szCs w:val="20"/>
          <w:color w:val="auto"/>
        </w:rPr>
      </w:pPr>
    </w:p>
    <w:p>
      <w:pPr>
        <w:ind w:left="760" w:hanging="658"/>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Name of Person Filing: </w:t>
      </w:r>
      <w:r>
        <w:rPr>
          <w:rFonts w:ascii="Arial" w:cs="Arial" w:eastAsia="Arial" w:hAnsi="Arial"/>
          <w:sz w:val="20"/>
          <w:szCs w:val="20"/>
          <w:color w:val="auto"/>
        </w:rPr>
        <w:t>NewEdge Wealth, LLC</w:t>
      </w:r>
    </w:p>
    <w:p>
      <w:pPr>
        <w:spacing w:after="0" w:line="207" w:lineRule="exact"/>
        <w:rPr>
          <w:rFonts w:ascii="Arial" w:cs="Arial" w:eastAsia="Arial" w:hAnsi="Arial"/>
          <w:sz w:val="20"/>
          <w:szCs w:val="20"/>
          <w:b w:val="1"/>
          <w:bCs w:val="1"/>
          <w:color w:val="auto"/>
        </w:rPr>
      </w:pPr>
    </w:p>
    <w:p>
      <w:pPr>
        <w:ind w:left="740" w:hanging="638"/>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2200 Atlantic Street, Suite 200, Stamford, CT 06902</w:t>
      </w:r>
    </w:p>
    <w:p>
      <w:pPr>
        <w:spacing w:after="0" w:line="252" w:lineRule="exact"/>
        <w:rPr>
          <w:rFonts w:ascii="Arial" w:cs="Arial" w:eastAsia="Arial" w:hAnsi="Arial"/>
          <w:sz w:val="18"/>
          <w:szCs w:val="18"/>
          <w:b w:val="1"/>
          <w:bCs w:val="1"/>
          <w:color w:val="auto"/>
        </w:rPr>
      </w:pPr>
    </w:p>
    <w:p>
      <w:pPr>
        <w:ind w:left="760" w:hanging="658"/>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Citizenship: Delaware</w:t>
      </w:r>
    </w:p>
    <w:p>
      <w:pPr>
        <w:spacing w:after="0" w:line="215" w:lineRule="exact"/>
        <w:rPr>
          <w:rFonts w:ascii="Arial" w:cs="Arial" w:eastAsia="Arial" w:hAnsi="Arial"/>
          <w:sz w:val="20"/>
          <w:szCs w:val="20"/>
          <w:b w:val="1"/>
          <w:bCs w:val="1"/>
          <w:color w:val="auto"/>
        </w:rPr>
      </w:pPr>
    </w:p>
    <w:p>
      <w:pPr>
        <w:ind w:left="760" w:hanging="658"/>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Title and Class of Securities: Common Stock</w:t>
      </w:r>
    </w:p>
    <w:p>
      <w:pPr>
        <w:spacing w:after="0" w:line="229" w:lineRule="exact"/>
        <w:rPr>
          <w:rFonts w:ascii="Arial" w:cs="Arial" w:eastAsia="Arial" w:hAnsi="Arial"/>
          <w:sz w:val="20"/>
          <w:szCs w:val="20"/>
          <w:b w:val="1"/>
          <w:bCs w:val="1"/>
          <w:color w:val="auto"/>
        </w:rPr>
      </w:pPr>
    </w:p>
    <w:p>
      <w:pPr>
        <w:ind w:left="760" w:hanging="658"/>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CUSIP No.: </w:t>
      </w:r>
      <w:r>
        <w:rPr>
          <w:rFonts w:ascii="Arial" w:cs="Arial" w:eastAsia="Arial" w:hAnsi="Arial"/>
          <w:sz w:val="17"/>
          <w:szCs w:val="17"/>
          <w:color w:val="auto"/>
        </w:rPr>
        <w:t>45031U101</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5" w:lineRule="exact"/>
        <w:rPr>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Broker or dealer registered under Section 15 of the Act;</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Bank as defined in Section 3(a)(6) of the Act;</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Insurance company as defined in Section 3(a)(19) of the Act;</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Investment company registered under Section 8 of the Investment Company Act of 1940;</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[X]</w:t>
      </w:r>
      <w:r>
        <w:rPr>
          <w:rFonts w:ascii="Arial" w:cs="Arial" w:eastAsia="Arial" w:hAnsi="Arial"/>
          <w:sz w:val="18"/>
          <w:szCs w:val="18"/>
          <w:color w:val="auto"/>
        </w:rPr>
        <w:t>An investment adviser in accordance with Rule 13d-1(b)(1)(ii)(E);</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An employee benefit plan or endowment fund in accordance with Rule 13d-1(b)(1)(ii)(F);</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A parent holding company or control person in accordance with Rule 13d-1(b)(1)(ii)(G);</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A savings associations as defined in Section 3(b) of the Federal Deposit Insurance Act (12 U.S.C. 1813);</w:t>
      </w:r>
    </w:p>
    <w:p>
      <w:pPr>
        <w:spacing w:after="0" w:line="94" w:lineRule="exact"/>
        <w:rPr>
          <w:rFonts w:ascii="Arial" w:cs="Arial" w:eastAsia="Arial" w:hAnsi="Arial"/>
          <w:sz w:val="20"/>
          <w:szCs w:val="20"/>
          <w:color w:val="auto"/>
        </w:rPr>
      </w:pPr>
    </w:p>
    <w:p>
      <w:pPr>
        <w:ind w:left="1800" w:right="600" w:hanging="1585"/>
        <w:spacing w:after="0" w:line="260" w:lineRule="auto"/>
        <w:tabs>
          <w:tab w:leader="none" w:pos="1016" w:val="left"/>
        </w:tabs>
        <w:numPr>
          <w:ilvl w:val="0"/>
          <w:numId w:val="10"/>
        </w:numPr>
        <w:rPr>
          <w:rFonts w:ascii="Arial" w:cs="Arial" w:eastAsia="Arial" w:hAnsi="Arial"/>
          <w:sz w:val="20"/>
          <w:szCs w:val="20"/>
          <w:color w:val="auto"/>
        </w:rPr>
      </w:pPr>
      <w:r>
        <w:rPr>
          <w:rFonts w:ascii="Arial" w:cs="Arial" w:eastAsia="Arial" w:hAnsi="Arial"/>
          <w:sz w:val="20"/>
          <w:szCs w:val="20"/>
          <w:color w:val="auto"/>
        </w:rPr>
        <w:t>[_]A church plan that is excluded from the definition of an investment company under section 3(c)(14) of the Investment Company Act of 1940;</w:t>
      </w:r>
    </w:p>
    <w:p>
      <w:pPr>
        <w:spacing w:after="0" w:line="55"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A non-U.S. institution in accordance with Rule 240.13d-1(b)(1)(ii)(J);</w:t>
      </w:r>
    </w:p>
    <w:p>
      <w:pPr>
        <w:spacing w:after="0" w:line="94" w:lineRule="exact"/>
        <w:rPr>
          <w:rFonts w:ascii="Arial" w:cs="Arial" w:eastAsia="Arial" w:hAnsi="Arial"/>
          <w:sz w:val="20"/>
          <w:szCs w:val="20"/>
          <w:color w:val="auto"/>
        </w:rPr>
      </w:pPr>
    </w:p>
    <w:p>
      <w:pPr>
        <w:ind w:left="1020" w:hanging="805"/>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Group, in accordance with Rule 240.13d-1(b)(1)(ii)(K). If filing as a non-U.S. institution in accordance with Rule</w:t>
      </w:r>
    </w:p>
    <w:p>
      <w:pPr>
        <w:spacing w:after="0" w:line="15" w:lineRule="exact"/>
        <w:rPr>
          <w:rFonts w:ascii="Arial" w:cs="Arial" w:eastAsia="Arial" w:hAnsi="Arial"/>
          <w:sz w:val="20"/>
          <w:szCs w:val="20"/>
          <w:color w:val="auto"/>
        </w:rPr>
      </w:pPr>
    </w:p>
    <w:p>
      <w:pPr>
        <w:ind w:left="1800"/>
        <w:spacing w:after="0"/>
        <w:rPr>
          <w:rFonts w:ascii="Arial" w:cs="Arial" w:eastAsia="Arial" w:hAnsi="Arial"/>
          <w:sz w:val="20"/>
          <w:szCs w:val="20"/>
          <w:color w:val="auto"/>
        </w:rPr>
      </w:pPr>
      <w:r>
        <w:rPr>
          <w:rFonts w:ascii="Arial" w:cs="Arial" w:eastAsia="Arial" w:hAnsi="Arial"/>
          <w:sz w:val="20"/>
          <w:szCs w:val="20"/>
          <w:color w:val="auto"/>
        </w:rPr>
        <w:t>240.13d-1(b)(1)(ii)(J), please specify the type of institution:</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4. Ownership</w:t>
      </w:r>
    </w:p>
    <w:p>
      <w:pPr>
        <w:spacing w:after="0" w:line="216" w:lineRule="exact"/>
        <w:rPr>
          <w:sz w:val="20"/>
          <w:szCs w:val="20"/>
          <w:color w:val="auto"/>
        </w:rPr>
      </w:pPr>
    </w:p>
    <w:p>
      <w:pPr>
        <w:ind w:left="760" w:hanging="658"/>
        <w:spacing w:after="0"/>
        <w:tabs>
          <w:tab w:leader="none" w:pos="7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Amount Beneficially Owned: 4,912,483.31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320" w:top="508" w:right="779" w:bottom="1440" w:gutter="0" w:footer="0" w:header="0"/>
        </w:sectPr>
      </w:pPr>
    </w:p>
    <w:bookmarkStart w:id="3" w:name="page4"/>
    <w:bookmarkEnd w:id="3"/>
    <w:p>
      <w:pPr>
        <w:ind w:left="604" w:hanging="604"/>
        <w:spacing w:after="0"/>
        <w:tabs>
          <w:tab w:leader="none" w:pos="60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Percent of Class: 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197485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3"/>
          </w:cols>
          <w:pgMar w:left="476" w:top="711" w:right="1440" w:bottom="1440" w:gutter="0" w:footer="0" w:header="0"/>
        </w:sectPr>
      </w:pPr>
    </w:p>
    <w:bookmarkStart w:id="4" w:name="page5"/>
    <w:bookmarkEnd w:id="4"/>
    <w:p>
      <w:pPr>
        <w:ind w:left="760" w:hanging="604"/>
        <w:spacing w:after="0"/>
        <w:tabs>
          <w:tab w:leader="none" w:pos="7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shares as to which such person has:</w:t>
      </w:r>
    </w:p>
    <w:p>
      <w:pPr>
        <w:spacing w:after="0" w:line="215" w:lineRule="exact"/>
        <w:rPr>
          <w:rFonts w:ascii="Arial" w:cs="Arial" w:eastAsia="Arial" w:hAnsi="Arial"/>
          <w:sz w:val="20"/>
          <w:szCs w:val="20"/>
          <w:b w:val="1"/>
          <w:bCs w:val="1"/>
          <w:color w:val="auto"/>
        </w:rPr>
      </w:pPr>
    </w:p>
    <w:p>
      <w:pPr>
        <w:ind w:left="1080" w:hanging="330"/>
        <w:spacing w:after="0"/>
        <w:tabs>
          <w:tab w:leader="none" w:pos="1080" w:val="left"/>
        </w:tabs>
        <w:numPr>
          <w:ilvl w:val="1"/>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Sole power to vote or to direct the vote:</w:t>
      </w:r>
    </w:p>
    <w:p>
      <w:pPr>
        <w:spacing w:after="0" w:line="229" w:lineRule="exact"/>
        <w:rPr>
          <w:rFonts w:ascii="Arial" w:cs="Arial" w:eastAsia="Arial" w:hAnsi="Arial"/>
          <w:sz w:val="20"/>
          <w:szCs w:val="20"/>
          <w:b w:val="1"/>
          <w:bCs w:val="1"/>
          <w:color w:val="auto"/>
        </w:rPr>
      </w:pPr>
    </w:p>
    <w:p>
      <w:pPr>
        <w:ind w:left="1740" w:hanging="990"/>
        <w:spacing w:after="0"/>
        <w:tabs>
          <w:tab w:leader="none" w:pos="1740" w:val="left"/>
        </w:tabs>
        <w:numPr>
          <w:ilvl w:val="1"/>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Shared power to vote or to direct the vote: 4,912,483.31</w:t>
      </w:r>
    </w:p>
    <w:p>
      <w:pPr>
        <w:spacing w:after="0" w:line="229" w:lineRule="exact"/>
        <w:rPr>
          <w:rFonts w:ascii="Arial" w:cs="Arial" w:eastAsia="Arial" w:hAnsi="Arial"/>
          <w:sz w:val="20"/>
          <w:szCs w:val="20"/>
          <w:b w:val="1"/>
          <w:bCs w:val="1"/>
          <w:color w:val="auto"/>
        </w:rPr>
      </w:pPr>
    </w:p>
    <w:p>
      <w:pPr>
        <w:ind w:left="1740" w:hanging="990"/>
        <w:spacing w:after="0"/>
        <w:tabs>
          <w:tab w:leader="none" w:pos="1740" w:val="left"/>
        </w:tabs>
        <w:numPr>
          <w:ilvl w:val="1"/>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Sole power to dispose or to direct the disposition of:</w:t>
      </w:r>
    </w:p>
    <w:p>
      <w:pPr>
        <w:spacing w:after="0" w:line="215" w:lineRule="exact"/>
        <w:rPr>
          <w:rFonts w:ascii="Arial" w:cs="Arial" w:eastAsia="Arial" w:hAnsi="Arial"/>
          <w:sz w:val="20"/>
          <w:szCs w:val="20"/>
          <w:b w:val="1"/>
          <w:bCs w:val="1"/>
          <w:color w:val="auto"/>
        </w:rPr>
      </w:pPr>
    </w:p>
    <w:p>
      <w:pPr>
        <w:ind w:left="1080" w:hanging="330"/>
        <w:spacing w:after="0"/>
        <w:tabs>
          <w:tab w:leader="none" w:pos="1080" w:val="left"/>
        </w:tabs>
        <w:numPr>
          <w:ilvl w:val="1"/>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Shared power to dispose or to direct the disposition of: 4,912,483.31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22" w:lineRule="exact"/>
        <w:rPr>
          <w:sz w:val="20"/>
          <w:szCs w:val="20"/>
          <w:color w:val="auto"/>
        </w:rPr>
      </w:pPr>
    </w:p>
    <w:p>
      <w:pPr>
        <w:ind w:left="760" w:hanging="1"/>
        <w:spacing w:after="0" w:line="244"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80" w:right="140" w:hanging="1065"/>
        <w:spacing w:after="0" w:line="267" w:lineRule="auto"/>
        <w:tabs>
          <w:tab w:leader="none" w:pos="10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22" w:right="4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right="640" w:hanging="1"/>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2/14/2023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Kyle P. Smith</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Kyle P. Smith / Vice President 2-14-2023</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sectPr>
      <w:pgSz w:w="11900" w:h="16838" w:orient="portrait"/>
      <w:cols w:equalWidth="0" w:num="1">
        <w:col w:w="11020"/>
      </w:cols>
      <w:pgMar w:left="440" w:top="5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2023-02-14T15:27:17Z</dcterms:created>
  <dcterms:modified xsi:type="dcterms:W3CDTF">2023-02-14T15:27:17Z</dcterms:modified>
</cp:coreProperties>
</file>