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9" w:right="239" w:bottom="1440" w:gutter="0" w:footer="0" w:header="0"/>
        </w:sectPr>
      </w:pPr>
    </w:p>
    <w:p>
      <w:pPr>
        <w:spacing w:after="0" w:line="10"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220" w:space="620"/>
            <w:col w:w="4580"/>
          </w:cols>
          <w:pgMar w:left="240" w:top="22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ectPr>
          <w:pgSz w:w="11900" w:h="16838" w:orient="portrait"/>
          <w:cols w:equalWidth="0" w:num="1">
            <w:col w:w="11420"/>
          </w:cols>
          <w:pgMar w:left="240" w:top="229" w:right="239" w:bottom="1440" w:gutter="0" w:footer="0" w:header="0"/>
          <w:type w:val="continuous"/>
        </w:sectPr>
      </w:pPr>
    </w:p>
    <w:p>
      <w:pPr>
        <w:spacing w:after="0" w:line="150" w:lineRule="exact"/>
        <w:rPr>
          <w:sz w:val="24"/>
          <w:szCs w:val="24"/>
          <w:color w:val="auto"/>
        </w:rPr>
      </w:pPr>
    </w:p>
    <w:tbl>
      <w:tblPr>
        <w:tblLayout w:type="fixed"/>
        <w:tblInd w:w="1220" w:type="dxa"/>
        <w:tblCellMar>
          <w:top w:w="0" w:type="dxa"/>
          <w:left w:w="0" w:type="dxa"/>
          <w:bottom w:w="0" w:type="dxa"/>
          <w:right w:w="0" w:type="dxa"/>
        </w:tblCellMar>
      </w:tblPr>
      <w:tr>
        <w:trPr>
          <w:trHeight w:val="391"/>
        </w:trPr>
        <w:tc>
          <w:tcPr>
            <w:tcW w:w="6500" w:type="dxa"/>
            <w:vAlign w:val="bottom"/>
          </w:tcPr>
          <w:p>
            <w:pPr>
              <w:jc w:val="center"/>
              <w:ind w:left="2381"/>
              <w:spacing w:after="0"/>
              <w:rPr>
                <w:sz w:val="20"/>
                <w:szCs w:val="20"/>
                <w:color w:val="auto"/>
              </w:rPr>
            </w:pPr>
            <w:r>
              <w:rPr>
                <w:rFonts w:ascii="Arial" w:cs="Arial" w:eastAsia="Arial" w:hAnsi="Arial"/>
                <w:sz w:val="32"/>
                <w:szCs w:val="32"/>
                <w:b w:val="1"/>
                <w:bCs w:val="1"/>
                <w:color w:val="auto"/>
              </w:rPr>
              <w:t>iSTAR FINANCIAL INC.</w:t>
            </w:r>
          </w:p>
        </w:tc>
        <w:tc>
          <w:tcPr>
            <w:tcW w:w="1800" w:type="dxa"/>
            <w:vAlign w:val="bottom"/>
          </w:tcPr>
          <w:p>
            <w:pPr>
              <w:spacing w:after="0"/>
              <w:rPr>
                <w:sz w:val="24"/>
                <w:szCs w:val="24"/>
                <w:color w:val="auto"/>
              </w:rPr>
            </w:pPr>
          </w:p>
        </w:tc>
      </w:tr>
      <w:tr>
        <w:trPr>
          <w:trHeight w:val="230"/>
        </w:trPr>
        <w:tc>
          <w:tcPr>
            <w:tcW w:w="6500" w:type="dxa"/>
            <w:vAlign w:val="bottom"/>
          </w:tcPr>
          <w:p>
            <w:pPr>
              <w:jc w:val="center"/>
              <w:ind w:left="2401"/>
              <w:spacing w:after="0"/>
              <w:rPr>
                <w:sz w:val="20"/>
                <w:szCs w:val="20"/>
                <w:color w:val="auto"/>
              </w:rPr>
            </w:pPr>
            <w:r>
              <w:rPr>
                <w:rFonts w:ascii="Arial" w:cs="Arial" w:eastAsia="Arial" w:hAnsi="Arial"/>
                <w:sz w:val="18"/>
                <w:szCs w:val="18"/>
                <w:color w:val="auto"/>
                <w:w w:val="90"/>
              </w:rPr>
              <w:t>(Exact name of registrant as specified in its charter)</w:t>
            </w:r>
          </w:p>
        </w:tc>
        <w:tc>
          <w:tcPr>
            <w:tcW w:w="1800" w:type="dxa"/>
            <w:vAlign w:val="bottom"/>
          </w:tcPr>
          <w:p>
            <w:pPr>
              <w:spacing w:after="0"/>
              <w:rPr>
                <w:sz w:val="20"/>
                <w:szCs w:val="20"/>
                <w:color w:val="auto"/>
              </w:rPr>
            </w:pPr>
          </w:p>
        </w:tc>
      </w:tr>
      <w:tr>
        <w:trPr>
          <w:trHeight w:val="499"/>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8"/>
              </w:rPr>
              <w:t>Maryland</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(State or other jurisdiction of</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incorporation or organization)</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1800" w:type="dxa"/>
            <w:vAlign w:val="bottom"/>
          </w:tcPr>
          <w:p>
            <w:pPr>
              <w:spacing w:after="0"/>
              <w:rPr>
                <w:sz w:val="23"/>
                <w:szCs w:val="23"/>
                <w:color w:val="auto"/>
              </w:rPr>
            </w:pPr>
          </w:p>
        </w:tc>
      </w:tr>
      <w:tr>
        <w:trPr>
          <w:trHeight w:val="256"/>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3"/>
              </w:rPr>
              <w:t>New York, NY</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259"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700" w:space="720"/>
            <w:col w:w="1800" w:space="720"/>
            <w:col w:w="2120" w:space="720"/>
            <w:col w:w="2640"/>
          </w:cols>
          <w:pgMar w:left="240" w:top="229" w:right="239" w:bottom="1440" w:gutter="0" w:footer="0" w:header="0"/>
          <w:type w:val="continuous"/>
        </w:sectPr>
      </w:pPr>
    </w:p>
    <w:p>
      <w:pPr>
        <w:ind w:left="628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29"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29" w:right="239" w:bottom="1440" w:gutter="0" w:footer="0" w:header="0"/>
          <w:type w:val="continuous"/>
        </w:sectPr>
      </w:pP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color w:val="auto"/>
        </w:rPr>
        <w:t>As of July 31, 2015, there were 85,568,024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640" w:type="dxa"/>
            <w:vAlign w:val="bottom"/>
            <w:tcBorders>
              <w:bottom w:val="single" w:sz="8" w:color="0000EE"/>
            </w:tcBorders>
            <w:gridSpan w:val="4"/>
          </w:tcPr>
          <w:p>
            <w:pPr>
              <w:spacing w:after="0" w:line="170"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52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70" w:lineRule="exact"/>
              <w:rPr>
                <w:rFonts w:ascii="Arial" w:cs="Arial" w:eastAsia="Arial" w:hAnsi="Arial"/>
                <w:sz w:val="18"/>
                <w:szCs w:val="18"/>
                <w:color w:val="0000EE"/>
              </w:rPr>
            </w:pPr>
            <w:hyperlink w:anchor="page2">
              <w:r>
                <w:rPr>
                  <w:rFonts w:ascii="Arial" w:cs="Arial" w:eastAsia="Arial" w:hAnsi="Arial"/>
                  <w:sz w:val="18"/>
                  <w:szCs w:val="18"/>
                  <w:color w:val="0000EE"/>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r>
      <w:tr>
        <w:trPr>
          <w:trHeight w:val="257"/>
        </w:trPr>
        <w:tc>
          <w:tcPr>
            <w:tcW w:w="11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(unaudited) as of June 30, 2015 and December 31, 2014</w:t>
              </w:r>
            </w:hyperlink>
          </w:p>
        </w:tc>
        <w:tc>
          <w:tcPr>
            <w:tcW w:w="338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 (unaudited)—For the three and six months ended June 30, 2015 and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Comprehensive Income (Loss) (unaudited)—For the three and six months ended June 30, 2015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2014</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Statements of Changes in Equity (unaudited)—For the three and six months ended June 30, 2015 and 2014</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8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(unaudited)—For the six months ended June 30, 2015 and 2014</w:t>
              </w:r>
            </w:hyperlink>
          </w:p>
        </w:tc>
        <w:tc>
          <w:tcPr>
            <w:tcW w:w="8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8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20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640" w:type="dxa"/>
            <w:vAlign w:val="bottom"/>
            <w:gridSpan w:val="3"/>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Quantitative and Qualitative Disclosures About Market Risk</w:t>
              </w:r>
            </w:hyperlink>
          </w:p>
        </w:tc>
        <w:tc>
          <w:tcPr>
            <w:tcW w:w="2080" w:type="dxa"/>
            <w:vAlign w:val="bottom"/>
            <w:gridSpan w:val="2"/>
          </w:tcPr>
          <w:p>
            <w:pPr>
              <w:spacing w:after="0"/>
              <w:rPr>
                <w:sz w:val="21"/>
                <w:szCs w:val="21"/>
                <w:color w:val="auto"/>
              </w:rPr>
            </w:pPr>
          </w:p>
        </w:tc>
        <w:tc>
          <w:tcPr>
            <w:tcW w:w="31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52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b w:val="1"/>
                <w:bCs w:val="1"/>
                <w:color w:val="0000EE"/>
                <w:w w:val="93"/>
              </w:rPr>
            </w:pPr>
            <w:hyperlink w:anchor="page49">
              <w:r>
                <w:rPr>
                  <w:rFonts w:ascii="Arial" w:cs="Arial" w:eastAsia="Arial" w:hAnsi="Arial"/>
                  <w:sz w:val="18"/>
                  <w:szCs w:val="18"/>
                  <w:b w:val="1"/>
                  <w:bCs w:val="1"/>
                  <w:color w:val="0000EE"/>
                  <w:w w:val="93"/>
                </w:rPr>
                <w:t>PART II</w:t>
              </w:r>
            </w:hyperlink>
          </w:p>
        </w:tc>
        <w:tc>
          <w:tcPr>
            <w:tcW w:w="520" w:type="dxa"/>
            <w:vAlign w:val="bottom"/>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Other Information</w:t>
              </w:r>
            </w:hyperlink>
          </w:p>
        </w:tc>
        <w:tc>
          <w:tcPr>
            <w:tcW w:w="824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5"/>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Legal Proceedings</w:t>
              </w:r>
            </w:hyperlink>
          </w:p>
        </w:tc>
        <w:tc>
          <w:tcPr>
            <w:tcW w:w="82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 1A.</w:t>
              </w:r>
            </w:hyperlink>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Unregistered Sales of Equity Securities and Use of Proceeds</w:t>
              </w:r>
            </w:hyperlink>
          </w:p>
        </w:tc>
        <w:tc>
          <w:tcPr>
            <w:tcW w:w="52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52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Mine Safety Disclosures</w:t>
              </w:r>
            </w:hyperlink>
          </w:p>
        </w:tc>
        <w:tc>
          <w:tcPr>
            <w:tcW w:w="540" w:type="dxa"/>
            <w:vAlign w:val="bottom"/>
          </w:tcPr>
          <w:p>
            <w:pPr>
              <w:spacing w:after="0"/>
              <w:rPr>
                <w:sz w:val="21"/>
                <w:szCs w:val="21"/>
                <w:color w:val="auto"/>
              </w:rPr>
            </w:pPr>
          </w:p>
        </w:tc>
        <w:tc>
          <w:tcPr>
            <w:tcW w:w="724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5.</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7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24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EE"/>
                <w:w w:val="94"/>
              </w:rPr>
              <w:t>SIGNATURES</w:t>
            </w:r>
          </w:p>
        </w:tc>
        <w:tc>
          <w:tcPr>
            <w:tcW w:w="9540" w:type="dxa"/>
            <w:vAlign w:val="bottom"/>
            <w:gridSpan w:val="1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3,011,978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3,145,563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(468,849)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2,676,714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288,021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285,982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2,826,837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2,962,696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1,567,296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1,377,843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637,136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472,061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operating lease income receivable,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98,091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98,262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181,785</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5,673,363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5,463,133</w:t>
            </w:r>
          </w:p>
        </w:tc>
      </w:tr>
      <w:tr>
        <w:trPr>
          <w:trHeight w:val="237"/>
        </w:trPr>
        <w:tc>
          <w:tcPr>
            <w:tcW w:w="8340" w:type="dxa"/>
            <w:vAlign w:val="bottom"/>
            <w:tcBorders>
              <w:bottom w:val="single" w:sz="8" w:color="CCEEFF"/>
            </w:tcBorders>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 participations payable,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141,452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4,151,653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4,022,684</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4,476,711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4,203,586</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11,199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(see Note 12)</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Performance Units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9,800</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1"/>
              </w:rPr>
              <w:t>Common Stock, $0.001 par value, 200,000 shares authorized, 146,229 issued and 85,568 outstanding at June 30,</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2015 and 145,807 issued and 85,191 outstanding at December 31, 2014</w:t>
            </w:r>
          </w:p>
        </w:tc>
        <w:tc>
          <w:tcPr>
            <w:tcW w:w="3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4,007,937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4,007,514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(2,611,747)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(2,556,469)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(see Note 12)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89"/>
              </w:rPr>
              <w:t>Treasury stock, at cost, $0.001 par value, 60,661 shares at June 30, 2015 and 60,617 shares at December 31, 2014</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(262,954)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1,197,092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51,256</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1,183,965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1,248,348</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5,673,363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5,463,133</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9"/>
              </w:rPr>
              <w:t>For the Three Months Ended June 30,</w:t>
            </w: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For the Six Months Ended June 30,</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Operating lease income</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56,152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60,967</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115,291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123,075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63,041</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12,761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29,262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23,325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43,846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Land development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8,630</w:t>
            </w:r>
          </w:p>
        </w:tc>
        <w:tc>
          <w:tcPr>
            <w:tcW w:w="0" w:type="dxa"/>
            <w:vAlign w:val="bottom"/>
          </w:tcPr>
          <w:p>
            <w:pPr>
              <w:spacing w:after="0"/>
              <w:rPr>
                <w:sz w:val="1"/>
                <w:szCs w:val="1"/>
                <w:color w:val="auto"/>
              </w:rPr>
            </w:pPr>
          </w:p>
        </w:tc>
      </w:tr>
      <w:tr>
        <w:trPr>
          <w:trHeight w:val="217"/>
        </w:trPr>
        <w:tc>
          <w:tcPr>
            <w:tcW w:w="652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109,185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129,843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222,042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238,592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55,824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56,530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110,456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113,986</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83,167</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Land development cost of sales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12,142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7,265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37,435</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20,586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26,623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41,340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46,411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(recovery of)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6,279</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4,911</w:t>
            </w:r>
          </w:p>
        </w:tc>
        <w:tc>
          <w:tcPr>
            <w:tcW w:w="0" w:type="dxa"/>
            <w:vAlign w:val="bottom"/>
          </w:tcPr>
          <w:p>
            <w:pPr>
              <w:spacing w:after="0"/>
              <w:rPr>
                <w:sz w:val="1"/>
                <w:szCs w:val="1"/>
                <w:color w:val="auto"/>
              </w:rPr>
            </w:pPr>
          </w:p>
        </w:tc>
      </w:tr>
      <w:tr>
        <w:trPr>
          <w:trHeight w:val="217"/>
        </w:trPr>
        <w:tc>
          <w:tcPr>
            <w:tcW w:w="652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155,246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151,338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302,073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293,262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earnings from equity method investments and other items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(54,670)</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Loss on early extinguishment of debt,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(24,767)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27,270</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(37,320)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(20,989)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(52,167)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Income (loss) from continuing operations(1)</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(38,131)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(20,774)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(71,599)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(51,445)</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sales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33,674</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(32,088)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(17,771)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Net income (loss) attributable to iStar Financial Inc.</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(19,147)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(29,618)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(18,550)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dividends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(25,660)</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Net (income) loss allocable to HPU holders and Participating Security holders(2)(3)</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allocable to common shareholders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(42,779)</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common share data(1):</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Income (loss) attributable to iStar Financial Inc. from continuing operations—Basic and diluted</w:t>
            </w: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Net income (loss) attributable to iStar Financial Inc.—Basic and diluted</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number of common shares—Basic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84,868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Per HPU share data(1)(2):</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Income (loss) attributable to iStar Financial Inc. from continuing operations—Basic and diluted</w:t>
            </w: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(95.40)</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Net income (loss) attributable to iStar Financial Inc.—Basic and diluted</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(68.47)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(36.13)</w:t>
            </w:r>
          </w:p>
        </w:tc>
        <w:tc>
          <w:tcPr>
            <w:tcW w:w="120" w:type="dxa"/>
            <w:vAlign w:val="bottom"/>
          </w:tcPr>
          <w:p>
            <w:pPr>
              <w:spacing w:after="0"/>
              <w:rPr>
                <w:sz w:val="20"/>
                <w:szCs w:val="20"/>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(118.40)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(95.40)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number of HPU share—Basic and diluted</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ind w:left="500" w:hanging="492"/>
        <w:spacing w:after="0" w:line="269" w:lineRule="auto"/>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(loss) from continuing operations attributable to iStar Financial Inc. was $(37.5) million and $(69.1) million for the three and six months ended June 30, 2015, respectively, and $(21.1) million and $(52.2) million for the three and six months ended June 30, 2014, respectively. See Note 14 for details on the calculation of earnings per share.</w:t>
      </w:r>
    </w:p>
    <w:p>
      <w:pPr>
        <w:spacing w:after="0" w:line="1" w:lineRule="exact"/>
        <w:rPr>
          <w:rFonts w:ascii="Arial" w:cs="Arial" w:eastAsia="Arial" w:hAnsi="Arial"/>
          <w:sz w:val="13"/>
          <w:szCs w:val="13"/>
          <w:color w:val="auto"/>
        </w:rPr>
      </w:pPr>
    </w:p>
    <w:p>
      <w:pPr>
        <w:ind w:left="500" w:hanging="4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w:t>
      </w:r>
    </w:p>
    <w:p>
      <w:pPr>
        <w:spacing w:after="0" w:line="1"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Participating Security holders are non-employee directors who hold common stock equivalents and restricted stock awards granted under the Company's Long Term Incentive Plans that are eligible to participate in dividends (see Note 13 and Note 14).</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4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 June</w:t>
            </w:r>
          </w:p>
        </w:tc>
        <w:tc>
          <w:tcPr>
            <w:tcW w:w="208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For the Six Months Ended June</w:t>
            </w:r>
          </w:p>
        </w:tc>
      </w:tr>
      <w:tr>
        <w:trPr>
          <w:trHeight w:val="192"/>
        </w:trPr>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r>
      <w:tr>
        <w:trPr>
          <w:trHeight w:val="264"/>
        </w:trPr>
        <w:tc>
          <w:tcPr>
            <w:tcW w:w="6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(32,088)</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Reclassification of (gains)/losses on available-for-sale securities into earnings upon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realization(1)</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ind w:left="160"/>
              <w:spacing w:after="0"/>
              <w:rPr>
                <w:sz w:val="20"/>
                <w:szCs w:val="20"/>
                <w:color w:val="auto"/>
              </w:rPr>
            </w:pPr>
            <w:r>
              <w:rPr>
                <w:rFonts w:ascii="Arial" w:cs="Arial" w:eastAsia="Arial" w:hAnsi="Arial"/>
                <w:sz w:val="18"/>
                <w:szCs w:val="18"/>
                <w:color w:val="auto"/>
                <w:w w:val="90"/>
              </w:rPr>
              <w:t>Reclassification of (gains)/losses on cash flow hedges into earnings upon realization(2)</w:t>
            </w:r>
          </w:p>
        </w:tc>
        <w:tc>
          <w:tcPr>
            <w:tcW w:w="3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3,730</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Realization of (gains)/losses on cumulative translation adjustment into earnings upon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realization(1)</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w:t>
            </w:r>
          </w:p>
        </w:tc>
      </w:tr>
      <w:tr>
        <w:trPr>
          <w:trHeight w:val="243"/>
        </w:trPr>
        <w:tc>
          <w:tcPr>
            <w:tcW w:w="6460" w:type="dxa"/>
            <w:vAlign w:val="bottom"/>
          </w:tcPr>
          <w:p>
            <w:pPr>
              <w:ind w:left="160"/>
              <w:spacing w:after="0"/>
              <w:rPr>
                <w:sz w:val="20"/>
                <w:szCs w:val="20"/>
                <w:color w:val="auto"/>
              </w:rPr>
            </w:pPr>
            <w:r>
              <w:rPr>
                <w:rFonts w:ascii="Arial" w:cs="Arial" w:eastAsia="Arial" w:hAnsi="Arial"/>
                <w:sz w:val="18"/>
                <w:szCs w:val="18"/>
                <w:color w:val="auto"/>
              </w:rPr>
              <w:t>Unrealized gains/(losses) on available-for-sale securities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111</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gains/(losses) on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r>
      <w:tr>
        <w:trPr>
          <w:trHeight w:val="243"/>
        </w:trPr>
        <w:tc>
          <w:tcPr>
            <w:tcW w:w="6460" w:type="dxa"/>
            <w:vAlign w:val="bottom"/>
          </w:tcPr>
          <w:p>
            <w:pPr>
              <w:ind w:left="160"/>
              <w:spacing w:after="0"/>
              <w:rPr>
                <w:sz w:val="20"/>
                <w:szCs w:val="20"/>
                <w:color w:val="auto"/>
              </w:rPr>
            </w:pPr>
            <w:r>
              <w:rPr>
                <w:rFonts w:ascii="Arial" w:cs="Arial" w:eastAsia="Arial" w:hAnsi="Arial"/>
                <w:sz w:val="18"/>
                <w:szCs w:val="18"/>
                <w:color w:val="auto"/>
              </w:rPr>
              <w:t>Unrealized gains/(losses) on cumulative translation adjustment</w:t>
            </w:r>
          </w:p>
        </w:tc>
        <w:tc>
          <w:tcPr>
            <w:tcW w:w="3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324</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(35,823)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(17,242)</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57"/>
        </w:trPr>
        <w:tc>
          <w:tcPr>
            <w:tcW w:w="64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iStar Financial Inc.</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(18,021)</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"Other income" on the Company's Consolidated Statements of Operations.</w:t>
      </w:r>
    </w:p>
    <w:p>
      <w:pPr>
        <w:spacing w:after="0" w:line="13" w:lineRule="exact"/>
        <w:rPr>
          <w:rFonts w:ascii="Arial" w:cs="Arial" w:eastAsia="Arial" w:hAnsi="Arial"/>
          <w:sz w:val="14"/>
          <w:szCs w:val="14"/>
          <w:color w:val="auto"/>
        </w:rPr>
      </w:pPr>
    </w:p>
    <w:p>
      <w:pPr>
        <w:jc w:val="both"/>
        <w:ind w:left="500" w:hanging="492"/>
        <w:spacing w:after="0" w:line="246"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"Interest expense" on the Company's Consolidated Statements of Operations are $84 and $119 for the three and six months ended June 30, 2015, respectively, and $(39) and $96 for the three and six months ended June 30, 2014, respectively. For the three and six months ended June 30, 2015, $116 and $231, respectively, are included in "Earnings from equity method investments" on the Company Consolidated Statements of Operations. For the three and six months ended June 30, 2014, $3,634 is included in "Other expense" on the Company's Consolidated Statements of Operations (see Note 11).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 and 2014</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Series</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HPU's</w:t>
            </w: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$4,007,514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$(2,556,469)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$(262,954)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51,256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$1,248,348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(25,660)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stock/restricted stock unit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Net income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(30,328)</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8"/>
                <w:szCs w:val="18"/>
                <w:color w:val="auto"/>
              </w:rPr>
              <w:t>Repurchase of stock</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additional</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in capital</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Contributions from</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57"/>
        </w:trPr>
        <w:tc>
          <w:tcPr>
            <w:tcW w:w="2020" w:type="dxa"/>
            <w:vAlign w:val="bottom"/>
          </w:tcPr>
          <w:p>
            <w:pPr>
              <w:ind w:left="20"/>
              <w:spacing w:after="0"/>
              <w:rPr>
                <w:sz w:val="20"/>
                <w:szCs w:val="20"/>
                <w:color w:val="auto"/>
              </w:rPr>
            </w:pPr>
            <w:r>
              <w:rPr>
                <w:rFonts w:ascii="Arial" w:cs="Arial" w:eastAsia="Arial" w:hAnsi="Arial"/>
                <w:sz w:val="18"/>
                <w:szCs w:val="18"/>
                <w:color w:val="auto"/>
                <w:w w:val="96"/>
              </w:rPr>
              <w:t>Balance at June 30, 2015</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$9,800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3"/>
              </w:rPr>
              <w:t>$4,007,937</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$(2,611,747)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$(263,515)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46,024</w:t>
            </w:r>
          </w:p>
        </w:tc>
        <w:tc>
          <w:tcPr>
            <w:tcW w:w="14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6"/>
              </w:rPr>
              <w:t>$ 1,183,965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445"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2015 and 2014</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1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Series</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HPU's</w:t>
            </w: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100" w:type="dxa"/>
            <w:vAlign w:val="bottom"/>
            <w:tcBorders>
              <w:right w:val="single" w:sz="8" w:color="auto"/>
            </w:tcBorders>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(Deficit)</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$9,800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$4,022,138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$(2,521,618)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$(262,954)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58,205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$1,301,465</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(25,660)</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stock/restricted stock unit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Net income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1,588</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(16,962)</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Change in additional</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color w:val="auto"/>
              </w:rPr>
              <w:t>paid in capital</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color w:val="auto"/>
              </w:rPr>
              <w:t>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from</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Distributions to</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(4,479)</w:t>
            </w:r>
          </w:p>
        </w:tc>
        <w:tc>
          <w:tcPr>
            <w:tcW w:w="140" w:type="dxa"/>
            <w:vAlign w:val="bottom"/>
            <w:tcBorders>
              <w:right w:val="single" w:sz="8" w:color="auto"/>
            </w:tcBorders>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7"/>
        </w:trPr>
        <w:tc>
          <w:tcPr>
            <w:tcW w:w="2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Balance at June 30, 2014</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$9,800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$4,009,462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$(2,565,828)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$(262,954)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55,786</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6"/>
              </w:rPr>
              <w:t>$ 1,242,691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12 for details on the Company's Cumulative Redeemable Preferred Stock.</w:t>
      </w:r>
    </w:p>
    <w:p>
      <w:pPr>
        <w:spacing w:after="0" w:line="13"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six months ended June 30, 2015 and 2014, net income (loss) shown above excludes $(1,760) and $(809) of net loss attributable to redeemable noncontrolling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45"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For the Six Months Ended June 30,</w:t>
            </w:r>
          </w:p>
        </w:tc>
      </w:tr>
      <w:tr>
        <w:trPr>
          <w:trHeight w:val="264"/>
        </w:trPr>
        <w:tc>
          <w:tcPr>
            <w:tcW w:w="8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(32,088)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(17,771)</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Provision for (recovery of) loan losses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34,017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37,435</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withholding taxes upon vesting of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Non-cash expense for stock-based compensation</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5,271</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discounts/premiums and deferred financing costs on debt,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discounts/premiums and deferred interest on loans, net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(30,129)</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from sales of loans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(27,270)</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operations of equity method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operating lease income</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(4,950)</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sales of real estate and land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Loss on early extinguishment of debt, net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24,767</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discount and prepayment penalty on repayments and repurchases of debt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operating activities, net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6,848</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Changes in accrued interest and operating lease income receivable, net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deferred expenses and other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Changes in accounts payable, accrued expenses and other liabilities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(23,325)</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flows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(92,107)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originations and fundings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(319,938)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Capital expenditures on real estate assets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(61,446)</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real estate assets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Repayments of and principal collections on loans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74,989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162,032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sales of loans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proceeds from sales of real estate and land development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223,887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212,866</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23,186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Contributions to other investments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(30,561)</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restricted cash held in connection with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Deposits paid to escrow account, net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Cash flows from (used in) investing activities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67,321</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Borrowings from debt obligations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1,323,822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debt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(1,408,935)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loan participations payable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138,075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Payments for deferred financing costs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(17,491)</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 net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Cash flows from (used in) financing activities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230,773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(132,269)</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Changes in cash and cash equivalents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165,075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(157,055)</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472,061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513,568</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637,136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356,513</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2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25"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or the "Company," doing business as "iStar", finances, invests in and develops real estate and real estate related projects</w:t>
      </w:r>
      <w:r>
        <w:rPr>
          <w:rFonts w:ascii="Arial" w:cs="Arial" w:eastAsia="Arial" w:hAnsi="Arial"/>
          <w:sz w:val="17"/>
          <w:szCs w:val="17"/>
          <w:b w:val="1"/>
          <w:bCs w:val="1"/>
          <w:color w:val="auto"/>
        </w:rPr>
        <w:t xml:space="preserve"> </w:t>
      </w:r>
      <w:r>
        <w:rPr>
          <w:rFonts w:ascii="Arial" w:cs="Arial" w:eastAsia="Arial" w:hAnsi="Arial"/>
          <w:sz w:val="17"/>
          <w:szCs w:val="17"/>
          <w:color w:val="auto"/>
        </w:rPr>
        <w:t>as part of its fully-integrated investment platform. The Company has invested more than $35 billion over the past two decades and is structured as a real estate investment trust, or "REIT", with a diversified portfolio focused on larger assets located in major metropolitan markets. The Company's primary business segments are real estate finance, net lease, operating properties and land &amp; development (see Note 16).</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as well as through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2014, as amended on Form 10-K/A on March 27, 2015 (the "2014 Annual Report").</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 Certain prior year amounts have been reclassified in the Consolidated Financial Statements and the related Notes to conform to the 2015 presentation.</w:t>
      </w:r>
    </w:p>
    <w:p>
      <w:pPr>
        <w:spacing w:after="0" w:line="14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year ended December 31, 2014, the Company determined that its classification of proceeds received from land sales for the quarterly periods ended March 31, June 30 and September 30, 2014 was incorrectly classified as a component of cash flows from operating activities rather than cash flows from investing activities. The Company evaluated the impact on the previously issued statements of cash flows for the aforementioned periods and concluded that it was not material. However, in order to correctly present such cash flows, the Company will revise the amounts as those financial statements are presented in the respective 2015 quarterly filings. The impact of the correction for the six months ended June 30, 2014 is as follows ($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Previously Reported</w:t>
            </w:r>
          </w:p>
        </w:tc>
        <w:tc>
          <w:tcPr>
            <w:tcW w:w="340" w:type="dxa"/>
            <w:vAlign w:val="bottom"/>
          </w:tcPr>
          <w:p>
            <w:pPr>
              <w:spacing w:after="0"/>
              <w:rPr>
                <w:sz w:val="16"/>
                <w:szCs w:val="16"/>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6"/>
                <w:szCs w:val="16"/>
                <w:color w:val="auto"/>
              </w:rPr>
            </w:pPr>
          </w:p>
        </w:tc>
        <w:tc>
          <w:tcPr>
            <w:tcW w:w="1300" w:type="dxa"/>
            <w:vAlign w:val="bottom"/>
          </w:tcPr>
          <w:p>
            <w:pPr>
              <w:jc w:val="right"/>
              <w:ind w:right="376"/>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jc w:val="center"/>
              <w:ind w:right="3610"/>
              <w:spacing w:after="0"/>
              <w:rPr>
                <w:sz w:val="20"/>
                <w:szCs w:val="20"/>
                <w:color w:val="auto"/>
              </w:rPr>
            </w:pPr>
            <w:r>
              <w:rPr>
                <w:rFonts w:ascii="Arial" w:cs="Arial" w:eastAsia="Arial" w:hAnsi="Arial"/>
                <w:sz w:val="18"/>
                <w:szCs w:val="18"/>
                <w:color w:val="auto"/>
                <w:w w:val="88"/>
              </w:rPr>
              <w:t>Six months ended June 30, 2014</w:t>
            </w: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(83,477)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(92,107)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jc w:val="center"/>
              <w:ind w:right="3590"/>
              <w:spacing w:after="0"/>
              <w:rPr>
                <w:sz w:val="20"/>
                <w:szCs w:val="20"/>
                <w:color w:val="auto"/>
              </w:rPr>
            </w:pPr>
            <w:r>
              <w:rPr>
                <w:rFonts w:ascii="Arial" w:cs="Arial" w:eastAsia="Arial" w:hAnsi="Arial"/>
                <w:sz w:val="18"/>
                <w:szCs w:val="18"/>
                <w:color w:val="auto"/>
                <w:w w:val="92"/>
              </w:rPr>
              <w:t>Cash flows from investing activities:</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00" w:type="dxa"/>
            <w:vAlign w:val="bottom"/>
            <w:shd w:val="clear" w:color="auto" w:fill="CCEEFF"/>
          </w:tcPr>
          <w:p>
            <w:pPr>
              <w:jc w:val="center"/>
              <w:ind w:right="3610"/>
              <w:spacing w:after="0"/>
              <w:rPr>
                <w:sz w:val="20"/>
                <w:szCs w:val="20"/>
                <w:color w:val="auto"/>
              </w:rPr>
            </w:pPr>
            <w:r>
              <w:rPr>
                <w:rFonts w:ascii="Arial" w:cs="Arial" w:eastAsia="Arial" w:hAnsi="Arial"/>
                <w:sz w:val="18"/>
                <w:szCs w:val="18"/>
                <w:color w:val="auto"/>
                <w:w w:val="88"/>
              </w:rPr>
              <w:t>Six months ended June 30, 2014</w:t>
            </w: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58,691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67,321</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Consolidated VIEs</w:t>
      </w:r>
      <w:r>
        <w:rPr>
          <w:rFonts w:ascii="Arial" w:cs="Arial" w:eastAsia="Arial" w:hAnsi="Arial"/>
          <w:sz w:val="18"/>
          <w:szCs w:val="18"/>
          <w:color w:val="auto"/>
        </w:rPr>
        <w:t>—As of June 30, 2015, the Company consolidated 4 VIEs for which it is considered the primary beneficiary. At June 30, 2015,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assets of these consolidated VIEs were $188.0 million and total liabilities were $19.2 million. The classifications of these assets are primarily within "Real estate, net" and "Other investments" on the Company's Consolidated Balance Sheets. The classifications of liabilities are primarily within "Accounts payable, accrued expenses and other liabilities" on the Company's Consolidated Balance Sheets. The liabilities of these VIEs are non-recourse to the Company and can only be satisfied from each VIE's respective assets. The Company's total unfunded commitments related to consolidated VIEs was $38.8 million as of June 30, 2015.</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Unconsolidated VIEs</w:t>
      </w:r>
      <w:r>
        <w:rPr>
          <w:rFonts w:ascii="Arial" w:cs="Arial" w:eastAsia="Arial" w:hAnsi="Arial"/>
          <w:sz w:val="18"/>
          <w:szCs w:val="18"/>
          <w:color w:val="auto"/>
        </w:rPr>
        <w:t>—As of June 30, 2015, 26 of the Company's investments were in VIEs where it is not the primary beneficiary and accordingly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VIEs have not been consolidated in the Company's Consolidated Financial Statements. As of June 30, 2015, the Company's maximum exposure to loss from these investments does not exceed the sum of the $160.7 million carrying value of the investments, which are classified in "Other investments" on the Company's Consolidated Balance Sheets, and $14.6 million of related unfunded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jc w:val="both"/>
        <w:ind w:firstLine="432"/>
        <w:spacing w:after="0" w:line="295" w:lineRule="auto"/>
        <w:rPr>
          <w:sz w:val="20"/>
          <w:szCs w:val="20"/>
          <w:color w:val="auto"/>
        </w:rPr>
      </w:pPr>
      <w:r>
        <w:rPr>
          <w:rFonts w:ascii="Arial" w:cs="Arial" w:eastAsia="Arial" w:hAnsi="Arial"/>
          <w:sz w:val="16"/>
          <w:szCs w:val="16"/>
          <w:b w:val="1"/>
          <w:bCs w:val="1"/>
          <w:color w:val="auto"/>
        </w:rPr>
        <w:t>Loan participations payable, net</w:t>
      </w:r>
      <w:r>
        <w:rPr>
          <w:rFonts w:ascii="Arial" w:cs="Arial" w:eastAsia="Arial" w:hAnsi="Arial"/>
          <w:sz w:val="16"/>
          <w:szCs w:val="16"/>
          <w:i w:val="1"/>
          <w:iCs w:val="1"/>
          <w:color w:val="auto"/>
        </w:rPr>
        <w:t>—</w:t>
      </w:r>
      <w:r>
        <w:rPr>
          <w:rFonts w:ascii="Arial" w:cs="Arial" w:eastAsia="Arial" w:hAnsi="Arial"/>
          <w:sz w:val="16"/>
          <w:szCs w:val="16"/>
          <w:color w:val="auto"/>
        </w:rPr>
        <w:t>The Company accounts for transfers of financial assets under ASC Topic 860, “Transfers and Servicing”, as either</w:t>
      </w:r>
      <w:r>
        <w:rPr>
          <w:rFonts w:ascii="Arial" w:cs="Arial" w:eastAsia="Arial" w:hAnsi="Arial"/>
          <w:sz w:val="16"/>
          <w:szCs w:val="16"/>
          <w:b w:val="1"/>
          <w:bCs w:val="1"/>
          <w:color w:val="auto"/>
        </w:rPr>
        <w:t xml:space="preserve"> </w:t>
      </w:r>
      <w:r>
        <w:rPr>
          <w:rFonts w:ascii="Arial" w:cs="Arial" w:eastAsia="Arial" w:hAnsi="Arial"/>
          <w:sz w:val="16"/>
          <w:szCs w:val="16"/>
          <w:color w:val="auto"/>
        </w:rPr>
        <w:t>sales or secured borrowings.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presented on the balance sheet as "Loan participations payable, net". Financial asset activities that are accounted for as sales are removed from our balance sheet with any realized gain (loss) reflected in earnings during the period of sale.</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2015, the remainder of the Company's significant accounting policies, which are detailed in the Company's 2014 Annual Report, have not changed materially.</w:t>
      </w:r>
    </w:p>
    <w:p>
      <w:pPr>
        <w:spacing w:after="0" w:line="126"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New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In May 2014, the FASB issued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from Contracts with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("ASU 2014-09")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supersedes existing industry-specific guidance, including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 The new standard is principles-based and requires more estimates and judgment than current guidance. Certain contracts with customers, including lease contracts and financial instruments and other contractual rights, are not within the scope of the new guidance. ASU 2014-09 is effective for interim and annual reporting periods beginning after December 15, 2016. Early adoption is not permitted. Management is evaluating the impact of the guidance on the Company's Consolidated Financial Statements.</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 June 2014, the FASB issued ASU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w:t>
      </w:r>
      <w:r>
        <w:rPr>
          <w:rFonts w:ascii="Arial" w:cs="Arial" w:eastAsia="Arial" w:hAnsi="Arial"/>
          <w:sz w:val="17"/>
          <w:szCs w:val="17"/>
          <w:color w:val="auto"/>
        </w:rPr>
        <w:t>("ASU 2014-12") which requires a performance target that affects vesting and that could be achieved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after the requisite service period be treated as a performance condition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ASU 2014-12 is effective for interim and annual reporting periods beginning after December 15, 2015. Early adoption is permitted. Management does not believe the guidance will have a material impact on the Company's Consolidated Financial Statements.</w:t>
      </w:r>
    </w:p>
    <w:p>
      <w:pPr>
        <w:spacing w:after="0" w:line="13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("ASU 2014-15") which requires management to evaluate whether there is substantial doubt that the Company is able to continue operating as a going concern within one year after the date the financial statements are issued or available to be issued. If there is substantial doubt, additional disclosure is required, including the principal condition or event that raised the substantial doubt, the Company's evaluation of the condition or event in relation to its ability to meet its obligations and the Company's plan to alleviate (or, which is intended to alleviate) the substantial doubt. ASU 2014-15 is effective for interim and annual reporting periods beginning after December 15, 2016. Early adoption is permitted. Management does not believe the guidance will have a material impact on the Company's Consolidated Financial Statements.</w:t>
      </w:r>
    </w:p>
    <w:p>
      <w:pPr>
        <w:spacing w:after="0" w:line="1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November 2014, the FASB issued ASU 2014-16, </w:t>
      </w:r>
      <w:r>
        <w:rPr>
          <w:rFonts w:ascii="Arial" w:cs="Arial" w:eastAsia="Arial" w:hAnsi="Arial"/>
          <w:sz w:val="18"/>
          <w:szCs w:val="18"/>
          <w:i w:val="1"/>
          <w:iCs w:val="1"/>
          <w:color w:val="auto"/>
        </w:rPr>
        <w:t>Determining Whether the Host Contract in a Hybrid Financial Instrument Issued in the Form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is More Akin to Debt or to Equity </w:t>
      </w:r>
      <w:r>
        <w:rPr>
          <w:rFonts w:ascii="Arial" w:cs="Arial" w:eastAsia="Arial" w:hAnsi="Arial"/>
          <w:sz w:val="18"/>
          <w:szCs w:val="18"/>
          <w:color w:val="auto"/>
        </w:rPr>
        <w:t>("ASU 2014-16") which eliminates the diversity in practice for the accounting for hybrid financial instruments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of a share. ASU 2014-16 requires management to consider all terms and features, whether stated or implied, of a hybrid instrument when determining whether the nature of the instrument is more akin to a debt instrument or an equity instrument. Embedded derivative features, which are accounted for separately from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host contracts, should also be considered in the analysis of the hybrid instrument. ASU 2014-16 is effective for interim and annual reporting periods beginning after December 15, 2015. Early adoption is permitted. Management does not believe the guidance will have a material impact on the Company's Consolidated Financial Statements.</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which updates the consolidation model for limited partnerships and similar legal entities. ASU 2015-02 includes the evaluation of fees paid to a decision maker as a variable interest and amends the effect of fee arrangements and related parties on the primary beneficiary determination. The guidance is effective for interim and annual reporting periods beginning after December 15, 2015. Early adoption is permitted. Management is evaluating the impact of the guidance on the Company's Consolidated Financial Statements.</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("ASU 2015-03") which requires debt issuance costs to be presented as a deduction from the carrying value of the related debt obligation in the balance sheet, which is consistent with the presentation of debt discounts. The guidance is effective for interim and annual reporting periods beginning after December 15, 2015. Early adoption is permitted. Management does not believe the guidance will have a material impact on the Company's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 Lease</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36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Land</w:t>
            </w:r>
          </w:p>
        </w:tc>
        <w:tc>
          <w:tcPr>
            <w:tcW w:w="36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310,196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142,892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874,147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1,327,235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1,232,001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1,684,743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(378,847)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(473,162)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1,163,350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2,538,816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138,187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288,021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1,166,058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648,653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1,012,126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2,826,837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1,326,957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1,240,593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578,013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1,818,606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(468,849)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1,188,160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628,271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860,283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2,676,714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285,982</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1,192,681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791,053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978,962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2,962,696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As of June 30, 2015 and December 31, 2014, the Company had $134.1 million and $155.8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residential properties available for sale in its operating properties portfolio.</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six months ended June 30, 2015, the Company reclassified residential units and lots with a carrying value of $30.0 million to held for sale due to substantial completion of construction and active marketing for sale. In addition, the Company reclassified net lease assets with a carrying value of $8.2 million, residential lots with a carrying value of $3.9 million and land with a carrying value of $2.8 million to held for sale due to executed contracts with third parties.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six months ended June 30, 2015, the Company reclassified a commercial operating property with a carrying value of $2.9 million to held for investment due to a change in business strategy.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The following acquisitions of real estate were reflected in the Company's Consolidated Statements of Cash Flows for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2015 and 2014 ($ in thousands):</w:t>
      </w:r>
    </w:p>
    <w:p>
      <w:pPr>
        <w:spacing w:after="0" w:line="171"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23495</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6"/>
                <w:szCs w:val="16"/>
                <w:color w:val="auto"/>
              </w:rPr>
            </w:pPr>
          </w:p>
        </w:tc>
      </w:tr>
      <w:tr>
        <w:trPr>
          <w:trHeight w:val="250"/>
        </w:trPr>
        <w:tc>
          <w:tcPr>
            <w:tcW w:w="8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Acquisitions of real estate assets</w:t>
            </w:r>
          </w:p>
        </w:tc>
        <w:tc>
          <w:tcPr>
            <w:tcW w:w="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   (1)</w:t>
            </w:r>
          </w:p>
        </w:tc>
      </w:tr>
      <w:tr>
        <w:trPr>
          <w:trHeight w:val="305"/>
        </w:trPr>
        <w:tc>
          <w:tcPr>
            <w:tcW w:w="8680" w:type="dxa"/>
            <w:vAlign w:val="bottom"/>
            <w:gridSpan w:val="3"/>
          </w:tcPr>
          <w:p>
            <w:pPr>
              <w:spacing w:after="0"/>
              <w:rPr>
                <w:sz w:val="20"/>
                <w:szCs w:val="20"/>
                <w:color w:val="auto"/>
              </w:rPr>
            </w:pPr>
            <w:r>
              <w:rPr>
                <w:rFonts w:ascii="Arial" w:cs="Arial" w:eastAsia="Arial" w:hAnsi="Arial"/>
                <w:sz w:val="14"/>
                <w:szCs w:val="14"/>
                <w:b w:val="1"/>
                <w:bCs w:val="1"/>
                <w:color w:val="auto"/>
              </w:rPr>
              <w:t>Explanatory Note: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2"/>
        </w:trPr>
        <w:tc>
          <w:tcPr>
            <w:tcW w:w="7540" w:type="dxa"/>
            <w:vAlign w:val="bottom"/>
            <w:gridSpan w:val="2"/>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4"/>
                <w:szCs w:val="14"/>
                <w:color w:val="auto"/>
              </w:rPr>
              <w:t>(1)</w:t>
            </w:r>
          </w:p>
        </w:tc>
        <w:tc>
          <w:tcPr>
            <w:tcW w:w="8340" w:type="dxa"/>
            <w:vAlign w:val="bottom"/>
            <w:gridSpan w:val="2"/>
          </w:tcPr>
          <w:p>
            <w:pPr>
              <w:jc w:val="right"/>
              <w:ind w:right="1828"/>
              <w:spacing w:after="0"/>
              <w:rPr>
                <w:sz w:val="20"/>
                <w:szCs w:val="20"/>
                <w:color w:val="auto"/>
              </w:rPr>
            </w:pPr>
            <w:r>
              <w:rPr>
                <w:rFonts w:ascii="Arial" w:cs="Arial" w:eastAsia="Arial" w:hAnsi="Arial"/>
                <w:sz w:val="14"/>
                <w:szCs w:val="14"/>
                <w:color w:val="auto"/>
                <w:w w:val="95"/>
              </w:rPr>
              <w:t>During the six months ended June 30, 2014, the Company purchased one condominium unit for $2.4 million.</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2015, the Company acquired, via deed-in-lieu, title to a residential operating property, which had a total fair value of $13.4 million and previously served as collateral for loans receivable held by the Company. No gain or loss was recorded in connection with this transaction.</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six months ended June 30, 2014, the Company acquired, via deed-in-lieu, title to three commercial operating properties and a land asset, which had a total fair value of $77.9 million and previously served as collateral for loans receivable held by the Company. No gain or loss was recorded in connection with this transaction. The following table summarizes the Company's pro forma revenues and net income for the three and six months ended June 30, 2014, as if the acquisition of the properties acquired during the six months ended June 30, 2014 was completed on January 1, 2013 ($ in thousands):</w:t>
      </w:r>
    </w:p>
    <w:p>
      <w:pPr>
        <w:spacing w:after="0" w:line="8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For the Three Months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92"/>
        </w:trPr>
        <w:tc>
          <w:tcPr>
            <w:tcW w:w="3860" w:type="dxa"/>
            <w:vAlign w:val="bottom"/>
          </w:tcPr>
          <w:p>
            <w:pPr>
              <w:spacing w:after="0"/>
              <w:rPr>
                <w:sz w:val="16"/>
                <w:szCs w:val="16"/>
                <w:color w:val="auto"/>
              </w:rPr>
            </w:pPr>
          </w:p>
        </w:tc>
        <w:tc>
          <w:tcPr>
            <w:tcW w:w="1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Ended June 30,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264"/>
        </w:trPr>
        <w:tc>
          <w:tcPr>
            <w:tcW w:w="386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revenues</w:t>
            </w:r>
          </w:p>
        </w:tc>
        <w:tc>
          <w:tcPr>
            <w:tcW w:w="1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131,038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242,892</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Pro forma net income (loss)</w:t>
            </w:r>
          </w:p>
        </w:tc>
        <w:tc>
          <w:tcPr>
            <w:tcW w:w="1800" w:type="dxa"/>
            <w:vAlign w:val="bottom"/>
          </w:tcPr>
          <w:p>
            <w:pPr>
              <w:jc w:val="right"/>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(18,001)</w:t>
            </w:r>
          </w:p>
        </w:tc>
      </w:tr>
    </w:tbl>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From the date of acquisition through June 30, 2014, $1.8 million in total revenues and $0.6 million in net loss of the acquiree were included in the Company’s Consolidated Statements of Operations for the three and six months ended June 30, 2014. The pro forma revenues and net income are presented for informational purposes only and may not be indicative of what the actual results of operations of the Company would have been assuming the transaction occurred on January 1, 2013, nor do they purport to represent the Company’s results of operations for future periods.</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six months ended June 30, 2015 and 2014, the Company sold residential condominiums for total net proceeds of $91.3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$94.8 million, respectively, and recorded income from sales of real estate totaling $30.9 million and $33.7 million, respectively. During the six months ended June 30, 2015, the Company sold net lease assets for net proceeds of $25.6 million resulting in a gain of $8.6 million. The gain was recorded in "Income from sales of real estate" on the Company's Consolidated Statements of Operations.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the six months ended June 30, 2015, the Company sold residential lots from three of its master planned community properties, condominium units from an infill property, residential lots from a waterfront property and residential lots from another infill property for proceeds of $14.8 million which had associated cost of sales of $12.1 million. In April 2015, the Company transferred a land asset to a purchaser at a stated price of $16.1 million, as part of an agreement to construct an amphitheater, for which the Company received proceeds of $5.3 million, with the remainder to be received upon completion of the development project. Due to the Company's continuing involvement in the project, no sale was recognized and the proceeds were recorded as unearned revenue in "Accounts payable, accrued expenses and other liabilities" on the Company's Consolidated Balance Sheets (Refer to Note 7). During the six months ended June 30, 2014, the Company sold residential lots from two of our master planned community properties for proceeds of $8.6 million and which had cost of sales of $7.3 million.</w:t>
      </w:r>
    </w:p>
    <w:p>
      <w:pPr>
        <w:spacing w:after="0" w:line="1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six months ended June 30, 2015, the Company, through a consolidated entity for which it has a 90% ownership interest, sold a leasehold interest in a commercial operating property for net proceeds of $93.5 million and simultaneously entered into a ground lease with an initial term of 99 years. In connection with this transaction, the Company recorded a lease incentive asset of $38.1 million, which is included in "Deferred expenses and other assets, net" on the Company's Consolidated Balance Sheets, and deferred a gain of $5.3 million, which is included in "Accounts payable, accrued expenses and other liabilities" on the Company's Consolidated Balance Sheets.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six months ended June 30, 2014, the Company sold a net lease asset for net proceeds of $93.7 million which approximated carrying value to a newly formed unconsolidated entity in which the Company has a noncontrolling equity interest of 51.9% and contributed land with a carrying value of $9.5 million to newly formed unconsolidated entities (see Note 6).</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2014, the Company sold properties with a carrying value of $6.7 million for proceeds that approximated carrying value. During the same period, the Company also sold a net lease asset for net proceeds of $7.8 million. The Company recorded an impairment loss of $3.0 million in connection with the sale.</w:t>
      </w:r>
    </w:p>
    <w:p>
      <w:pPr>
        <w:spacing w:after="0" w:line="13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six months ended June 30, 2015 and June 30, 2014, the Company recorded impairments on real estate assets totaling $1.7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$6.3 million, respectively. The impairment recorded in 2015 resulted from a change in business strategy for a commercial operating property. Of the impairment recorded in 2014, $3.3 million resulted from a change in business strategy for a residential property and $3.0 million resulted from the sale of a net lease asset.</w:t>
      </w:r>
    </w:p>
    <w:p>
      <w:pPr>
        <w:spacing w:after="0" w:line="18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Tenant Reimbursements—</w:t>
      </w:r>
      <w:r>
        <w:rPr>
          <w:rFonts w:ascii="Arial" w:cs="Arial" w:eastAsia="Arial" w:hAnsi="Arial"/>
          <w:sz w:val="18"/>
          <w:szCs w:val="18"/>
          <w:color w:val="auto"/>
        </w:rPr>
        <w:t>The Company receives reimbursements from tenants for certain facility operating expenses including common area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utilities and real estate taxes. Tenant expense reimbursements were $6.7 million and $13.7 million for the three and six months ended June 30, 2015, respectively, and $7.0 million and $15.6 million for the three and six months ended June 30, 2014. These amounts are included in "Operating lease income" on the Company's Consolidated Statements of Operations.</w:t>
      </w:r>
    </w:p>
    <w:p>
      <w:pPr>
        <w:spacing w:after="0" w:line="18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Redeemable Noncontrolling Interest—</w:t>
      </w:r>
      <w:r>
        <w:rPr>
          <w:rFonts w:ascii="Arial" w:cs="Arial" w:eastAsia="Arial" w:hAnsi="Arial"/>
          <w:sz w:val="18"/>
          <w:szCs w:val="18"/>
          <w:color w:val="auto"/>
        </w:rPr>
        <w:t>At June 30, 2015 and December 31, 2014, the Company had redeemable noncontrolling interests of $8.7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$9.9 million, respectively, which are not currently redeemable, for which the Company records changes in the fair value over the redemption periods. These interests had an estimated redemption value of $11.1 million and $23.6 million, respectively.</w:t>
      </w:r>
    </w:p>
    <w:p>
      <w:pPr>
        <w:spacing w:after="0" w:line="17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June 30, 2015 and December 31, 2014, the allowance for doubtful accounts related to real estate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was $1.6 million and $1.3 million, respectively, and the allowance for doubtful accounts related to deferred operating lease income was $2.4 million at both dates. These amounts are included in "Accrued interest and operating lease income receivable, net" and "Deferred operating lease income receivable, net", respectively, on the Company's Consolidated Balance Sheets.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85"/>
              </w:rPr>
              <w:t>As of</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400" w:type="dxa"/>
            <w:vAlign w:val="bottom"/>
          </w:tcPr>
          <w:p>
            <w:pPr>
              <w:spacing w:after="0"/>
              <w:rPr>
                <w:sz w:val="13"/>
                <w:szCs w:val="13"/>
                <w:color w:val="auto"/>
              </w:rPr>
            </w:pPr>
          </w:p>
        </w:tc>
        <w:tc>
          <w:tcPr>
            <w:tcW w:w="1440" w:type="dxa"/>
            <w:vAlign w:val="bottom"/>
          </w:tcPr>
          <w:p>
            <w:pPr>
              <w:jc w:val="right"/>
              <w:ind w:right="554"/>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884,927</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737,535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609,843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497,796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53,331</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4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1,523,543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1,288,662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(121,934)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4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1,401,609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1,190,172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165,687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187,671</w:t>
            </w:r>
          </w:p>
        </w:tc>
        <w:tc>
          <w:tcPr>
            <w:tcW w:w="0" w:type="dxa"/>
            <w:vAlign w:val="bottom"/>
          </w:tcPr>
          <w:p>
            <w:pPr>
              <w:spacing w:after="0"/>
              <w:rPr>
                <w:sz w:val="1"/>
                <w:szCs w:val="1"/>
                <w:color w:val="auto"/>
              </w:rPr>
            </w:pP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net(1)</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1,567,296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1,377,843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line="273"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recorded investment in loans as of June 30, 2015 and December 31, 2014 includes accrued interest of $8.8 million and $7.0 million, respectively, which are included in "Accrued interest and operating lease income receivable, net" on the Company's Consolidated Balance Sheets.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June 2015, the Company received a loan with a fair value of $146.7 million as a non-cash paydown on an existing loan and reduced the principal balance by the same amount. The loan received has been recorded as a loan receivable and is included in "Loans receivable and other lending investments, net" on the Company’s Consolidated Balance Sheet.</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six months ended June 30, 2015, the Company sold a loan with a carrying value of $5.5 million. No gain or loss was recognized as a result of the transaction. During the six months ended June 30, 2014, the Company sold loans with total carrying values of $30.8 million, which resulted in a realized gain of $19.0 million. Gains and losses on sales of loans are included in "Other income" on the Company's Consolidated Statements of Operations.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264"/>
        </w:trPr>
        <w:tc>
          <w:tcPr>
            <w:tcW w:w="49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102,783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377,204</w:t>
            </w: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Provision for (recovery of) loan losses(1)</w:t>
            </w:r>
          </w:p>
        </w:tc>
        <w:tc>
          <w:tcPr>
            <w:tcW w:w="28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19,151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23,444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(6,192)</w:t>
            </w:r>
          </w:p>
        </w:tc>
      </w:tr>
      <w:tr>
        <w:trPr>
          <w:trHeight w:val="27"/>
        </w:trPr>
        <w:tc>
          <w:tcPr>
            <w:tcW w:w="4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(233,108)</w:t>
            </w:r>
          </w:p>
        </w:tc>
      </w:tr>
      <w:tr>
        <w:trPr>
          <w:trHeight w:val="25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Reserve for loan losses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121,934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137,904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121,934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137,904</w:t>
            </w: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500" w:hanging="492"/>
        <w:spacing w:after="0" w:line="312" w:lineRule="auto"/>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the three and six months ended June 30, 2015, the provision for loan losses includes recoveries of previously recorded loan loss reserves of $0.3 million and $0.6 million, respectively. For the three and six months ended June 30, 2014, the provision for loan losses includes recoveries of previously recorded loan loss reserves of $2.4 million and $7.6 million,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Individually</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Impairment(1)</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Impairment(2)</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179,589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1,352,725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1,532,314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(121,934)</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84,755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1,325,625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1,410,380</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139,672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1,156,031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1,295,703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(98,490)</w:t>
            </w:r>
          </w:p>
        </w:tc>
        <w:tc>
          <w:tcPr>
            <w:tcW w:w="0" w:type="dxa"/>
            <w:vAlign w:val="bottom"/>
          </w:tcPr>
          <w:p>
            <w:pPr>
              <w:spacing w:after="0"/>
              <w:rPr>
                <w:sz w:val="1"/>
                <w:szCs w:val="1"/>
                <w:color w:val="auto"/>
              </w:rPr>
            </w:pPr>
          </w:p>
        </w:tc>
      </w:tr>
      <w:tr>
        <w:trPr>
          <w:trHeight w:val="257"/>
        </w:trPr>
        <w:tc>
          <w:tcPr>
            <w:tcW w:w="64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74,682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1,122,531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1,197,213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47"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$0.2 million and $0.2 million as of June 30, 2015 and December 31, 2014,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$11.1 million and $10.6 million as of June 30, 2015 and December 31, 2014, respectively.</w:t>
      </w:r>
    </w:p>
    <w:p>
      <w:pPr>
        <w:spacing w:after="0" w:line="18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Risk ratings are based on judgments which are inherently uncertain and there can be no assurance that actual performance will be similar to current expectation.</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As of June 30, 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As of December 31, 2014</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Risk Ratings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760,515</w:t>
            </w:r>
          </w:p>
        </w:tc>
        <w:tc>
          <w:tcPr>
            <w:tcW w:w="16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611,009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6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564,461</w:t>
            </w:r>
          </w:p>
        </w:tc>
        <w:tc>
          <w:tcPr>
            <w:tcW w:w="1600" w:type="dxa"/>
            <w:vAlign w:val="bottom"/>
            <w:gridSpan w:val="2"/>
          </w:tcPr>
          <w:p>
            <w:pPr>
              <w:jc w:val="right"/>
              <w:ind w:right="28"/>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501,620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29,132</w:t>
            </w:r>
          </w:p>
        </w:tc>
        <w:tc>
          <w:tcPr>
            <w:tcW w:w="16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53,836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57"/>
        </w:trPr>
        <w:tc>
          <w:tcPr>
            <w:tcW w:w="516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1,354,108</w:t>
            </w:r>
          </w:p>
        </w:tc>
        <w:tc>
          <w:tcPr>
            <w:tcW w:w="1600" w:type="dxa"/>
            <w:vAlign w:val="bottom"/>
            <w:gridSpan w:val="2"/>
          </w:tcPr>
          <w:p>
            <w:pPr>
              <w:jc w:val="right"/>
              <w:ind w:right="28"/>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1,166,465</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2015, the Company's recorded investment in loans, aged by payment status and presented by class, were as follows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Greater</w:t>
            </w:r>
          </w:p>
        </w:tc>
        <w:tc>
          <w:tcPr>
            <w:tcW w:w="3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and Equal</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Than</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 90 Days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90 Days(1)</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Past Due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766,515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888,828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614,354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614,354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29,132</w:t>
            </w:r>
          </w:p>
        </w:tc>
        <w:tc>
          <w:tcPr>
            <w:tcW w:w="0" w:type="dxa"/>
            <w:vAlign w:val="bottom"/>
          </w:tcPr>
          <w:p>
            <w:pPr>
              <w:spacing w:after="0"/>
              <w:rPr>
                <w:sz w:val="1"/>
                <w:szCs w:val="1"/>
                <w:color w:val="auto"/>
              </w:rPr>
            </w:pPr>
          </w:p>
        </w:tc>
      </w:tr>
      <w:tr>
        <w:trPr>
          <w:trHeight w:val="257"/>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1,410,001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6,083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116,230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122,313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1,532,314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line="273"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June 30, 2015, the Company had four loans which were greater than 90 days delinquent and were in various stages of resolution, including legal proceedings, environmental concerns and foreclosure-related proceedings, and ranged from 1.0 to 7.0 years outstanding.</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2015</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2014</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Recorded</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7"/>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129,696</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128,709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(69,141)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130,645</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129,744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(64,440)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49,893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49,893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179,589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178,602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139,672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138,801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57"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In addition, as of June 30, 2015 and December 31, 2014, certain loans modified through troubled debt restructurings with a recorded investment of $1.4 million and $10.4 million, respectively, are also included as impaired loans in accordance with GAAP although they are performing and on accrual status. The Company did not have impaired loans without related allowances recorded.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r>
      <w:tr>
        <w:trPr>
          <w:trHeight w:val="152"/>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Recognized</w:t>
            </w:r>
          </w:p>
        </w:tc>
      </w:tr>
      <w:tr>
        <w:trPr>
          <w:trHeight w:val="211"/>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recorded: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87,642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59,432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687</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recorded: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130,016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354,695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130,226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453,242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123</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Corporate/Partnership</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28,301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21,876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w:t>
            </w:r>
          </w:p>
        </w:tc>
      </w:tr>
      <w:tr>
        <w:trPr>
          <w:trHeight w:val="237"/>
        </w:trPr>
        <w:tc>
          <w:tcPr>
            <w:tcW w:w="19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158,317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417,837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152,102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528,362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240</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130,016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442,337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130,226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512,674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810</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Corporate/Partnership</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28,301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21,876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w:t>
            </w:r>
          </w:p>
        </w:tc>
      </w:tr>
      <w:tr>
        <w:trPr>
          <w:trHeight w:val="257"/>
        </w:trPr>
        <w:tc>
          <w:tcPr>
            <w:tcW w:w="196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158,317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505,479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152,102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587,794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927</w:t>
            </w:r>
          </w:p>
        </w:tc>
      </w:tr>
      <w:tr>
        <w:trPr>
          <w:trHeight w:val="20"/>
        </w:trPr>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Troubled Debt Restructurings</w:t>
      </w:r>
      <w:r>
        <w:rPr>
          <w:rFonts w:ascii="Arial" w:cs="Arial" w:eastAsia="Arial" w:hAnsi="Arial"/>
          <w:sz w:val="18"/>
          <w:szCs w:val="18"/>
          <w:color w:val="auto"/>
        </w:rPr>
        <w:t>—During the six months ended June 30, 2015 and 2014, the Company did not modify any loans that were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troubled debt restructurings.</w:t>
      </w:r>
    </w:p>
    <w:p>
      <w:pPr>
        <w:spacing w:after="0" w:line="11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June 30, 2015, there were no unfunded commitments associated with modified loans considered troubled debt restructurings.</w:t>
      </w:r>
    </w:p>
    <w:p>
      <w:pPr>
        <w:sectPr>
          <w:pgSz w:w="11900" w:h="16838" w:orient="portrait"/>
          <w:cols w:equalWidth="0" w:num="1">
            <w:col w:w="11420"/>
          </w:cols>
          <w:pgMar w:left="240" w:top="122"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includes the following ($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Face Value</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Net Unrealized Gain</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3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(Loss)</w:t>
            </w:r>
          </w:p>
        </w:tc>
        <w:tc>
          <w:tcPr>
            <w:tcW w:w="1480" w:type="dxa"/>
            <w:vAlign w:val="bottom"/>
            <w:gridSpan w:val="3"/>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164,587</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153,586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165,597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169,774</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165,687</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176,254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186,504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186,504</w:t>
            </w:r>
          </w:p>
        </w:tc>
        <w:tc>
          <w:tcPr>
            <w:tcW w:w="0" w:type="dxa"/>
            <w:vAlign w:val="bottom"/>
          </w:tcPr>
          <w:p>
            <w:pPr>
              <w:spacing w:after="0"/>
              <w:rPr>
                <w:sz w:val="1"/>
                <w:szCs w:val="1"/>
                <w:color w:val="auto"/>
              </w:rPr>
            </w:pPr>
          </w:p>
        </w:tc>
      </w:tr>
      <w:tr>
        <w:trPr>
          <w:trHeight w:val="257"/>
        </w:trPr>
        <w:tc>
          <w:tcPr>
            <w:tcW w:w="43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177,274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187,524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191,366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187,671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Equity in Earnings</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2280" w:type="dxa"/>
            <w:vAlign w:val="bottom"/>
            <w:gridSpan w:val="5"/>
          </w:tcPr>
          <w:p>
            <w:pPr>
              <w:ind w:left="100"/>
              <w:spacing w:after="0" w:line="153" w:lineRule="exact"/>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3"/>
                <w:szCs w:val="13"/>
                <w:color w:val="auto"/>
              </w:rPr>
            </w:pPr>
          </w:p>
        </w:tc>
        <w:tc>
          <w:tcPr>
            <w:tcW w:w="2120" w:type="dxa"/>
            <w:vAlign w:val="bottom"/>
            <w:gridSpan w:val="4"/>
          </w:tcPr>
          <w:p>
            <w:pPr>
              <w:jc w:val="right"/>
              <w:ind w:right="273"/>
              <w:spacing w:after="0" w:line="153" w:lineRule="exact"/>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Net Lease I LLC ("Net Lease Venture")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real estate equity investments</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84,119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88,848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investments(1)</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27,974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Madison Funds</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44,589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45,971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Marina Palms, LLC ("Marina Palms")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 other investments</w:t>
            </w: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289,500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354,119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8,785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24,093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15,332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and six months ended June 30, 2014, the Company recognized $23.4 million of earnings from equity method investments resulting from asset sales by one of its equity method investees.</w:t>
      </w:r>
    </w:p>
    <w:p>
      <w:pPr>
        <w:spacing w:after="0" w:line="12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b w:val="1"/>
          <w:bCs w:val="1"/>
          <w:color w:val="auto"/>
        </w:rPr>
        <w:t>Net Lease Venture</w:t>
      </w:r>
      <w:r>
        <w:rPr>
          <w:rFonts w:ascii="Arial" w:cs="Arial" w:eastAsia="Arial" w:hAnsi="Arial"/>
          <w:sz w:val="17"/>
          <w:szCs w:val="17"/>
          <w:color w:val="auto"/>
        </w:rPr>
        <w:t>—In February 2014, the Company partnered with a sovereign wealth fund to form a new unconsolidated entity in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a noncontrolling equity interest of approximately 51.9%. This entity is not a VIE and the Company does not have controlling interest due to the substantive participating rights of its partner.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officers whose time is substantially devoted to the net lease venture own a total of 0.6% equity ownership in the venture via co-investment. These officers are also entitled to an amount equal to 50% of any promote payment received based on the 47.5% partner's interest. During the six months ended June 30, 2014, the Company sold a net lease asset for net proceeds of $93.7 million, which approximated carrying value, to the venture. As of June 30, 2015 and December 31, 2014, the venture's carrying value of total assets was $382.2 million and $348.1 million, respectively. In June 2015, the venture placed ten year non-recourse financing of $120.0 million on one of its net lease assets. Net proceeds from the financing were distributed to its members of which the Company received approximately $61.2 million.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Marina Palms</w:t>
      </w:r>
      <w:r>
        <w:rPr>
          <w:rFonts w:ascii="Arial" w:cs="Arial" w:eastAsia="Arial" w:hAnsi="Arial"/>
          <w:sz w:val="16"/>
          <w:szCs w:val="16"/>
          <w:color w:val="auto"/>
        </w:rPr>
        <w:t>—As of June 30, 2015, the Company owned a 47.5% equity interest and a $10.0 million preferred partnership interest in Marina Palms.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and December 31, 2014, the venture's carrying value of total assets was $283.6 million and $265.7 million, respectively.</w:t>
      </w:r>
    </w:p>
    <w:p>
      <w:pPr>
        <w:spacing w:after="0" w:line="15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Other real estate equity investments</w:t>
      </w:r>
      <w:r>
        <w:rPr>
          <w:rFonts w:ascii="Arial" w:cs="Arial" w:eastAsia="Arial" w:hAnsi="Arial"/>
          <w:sz w:val="16"/>
          <w:szCs w:val="16"/>
          <w:color w:val="auto"/>
        </w:rPr>
        <w:t>—During the six months ended June 30, 2014, the Company contributed land to a newly formed unconsolidated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entity in which the Company received an initial equity interest of 85.7%. This entity is a VIE and the Company does not have controlling interest due to shared control of the entity with its partner. As of June 30, 2015 and December 31, 2014, the venture's carrying value of total assets was $8.3 million and $9.4 million, respectively. Additionally, the Company committed to provide $45.7 million of mezzanine financing to the entity. As of June 30, 2015, the loan balance was $31.2 million and was included in "Loans receivable and other lending investments, net" on the Company's Consolidated Balance Sheets.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2015, the Company's other real estate equity investments included equity interests in real estate ventures ranging from 16% to 76%, comprised of investments of $11.4 million in operating properties and $64.4 million in land assets. As of December 31, 2014, the Company's real estate equity investments included $13.2 million in operating properties and $66.1 million in land assets.</w:t>
      </w:r>
    </w:p>
    <w:p>
      <w:pPr>
        <w:spacing w:after="0" w:line="123"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June 30, 2015, the Company owned a 29.5% interest in Madison International Real Estate Fund II, LP ("MIRELF II"), a</w:t>
      </w:r>
      <w:r>
        <w:rPr>
          <w:rFonts w:ascii="Arial" w:cs="Arial" w:eastAsia="Arial" w:hAnsi="Arial"/>
          <w:sz w:val="18"/>
          <w:szCs w:val="18"/>
          <w:b w:val="1"/>
          <w:bCs w:val="1"/>
          <w:color w:val="auto"/>
        </w:rPr>
        <w:t xml:space="preserve"> </w:t>
      </w:r>
      <w:r>
        <w:rPr>
          <w:rFonts w:ascii="Arial" w:cs="Arial" w:eastAsia="Arial" w:hAnsi="Arial"/>
          <w:sz w:val="18"/>
          <w:szCs w:val="18"/>
          <w:color w:val="auto"/>
        </w:rPr>
        <w:t>32.9% interest in Madison International Real Estate Liquidity Fund III, LP ("MIRELF III"), a 32.9% interest in Madison International Real Estate Liquidity Fund III AIV, LP ("MIRELF III AIV") and a 29.5% interest in Madison GP1 Investors, LP (collectively, the "Madison Funds"). The Madison Funds invest in ownership positions of entities that own real estate assets. The Company determined that these entities are VIEs and that the Company is not the primary beneficiary.</w:t>
      </w:r>
    </w:p>
    <w:p>
      <w:pPr>
        <w:spacing w:after="0" w:line="13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—As of June 30, 2015, the Company also had smaller investments in real estate related funds and other strategic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entities that were accounted for under the equity method or cost method. During the six months ended June 30, 2015, the Company sold available-for-sale securities for proceeds of $7.3 million for realized gains of $2.5 million, which are included in "Other income" on the Company's Consolidated Statements of Operations. The amount reclassified out of accumulated other comprehensive income into earnings was determined based on the specific identification method.</w:t>
      </w:r>
    </w:p>
    <w:p>
      <w:pPr>
        <w:spacing w:after="0" w:line="278"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Summarized investee financial information</w:t>
      </w:r>
      <w:r>
        <w:rPr>
          <w:rFonts w:ascii="Arial" w:cs="Arial" w:eastAsia="Arial" w:hAnsi="Arial"/>
          <w:sz w:val="18"/>
          <w:szCs w:val="18"/>
          <w:color w:val="auto"/>
        </w:rPr>
        <w:t>—The following tables present the investee level summarized financial information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method investments, which were significant subsidiaries as of June 30, 2015 ($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41"/>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2"/>
                <w:szCs w:val="12"/>
                <w:color w:val="auto"/>
              </w:rPr>
            </w:pPr>
          </w:p>
        </w:tc>
        <w:tc>
          <w:tcPr>
            <w:tcW w:w="12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Attributable to</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w w:val="97"/>
              </w:rPr>
              <w:t>Parent Entities</w:t>
            </w:r>
          </w:p>
        </w:tc>
        <w:tc>
          <w:tcPr>
            <w:tcW w:w="0" w:type="dxa"/>
            <w:vAlign w:val="bottom"/>
          </w:tcPr>
          <w:p>
            <w:pPr>
              <w:spacing w:after="0"/>
              <w:rPr>
                <w:sz w:val="1"/>
                <w:szCs w:val="1"/>
                <w:color w:val="auto"/>
              </w:rPr>
            </w:pPr>
          </w:p>
        </w:tc>
      </w:tr>
      <w:tr>
        <w:trPr>
          <w:trHeight w:val="250"/>
        </w:trPr>
        <w:tc>
          <w:tcPr>
            <w:tcW w:w="4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2015</w:t>
            </w:r>
          </w:p>
        </w:tc>
        <w:tc>
          <w:tcPr>
            <w:tcW w:w="27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71,852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(45,523)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26,329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38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2014</w:t>
            </w:r>
          </w:p>
        </w:tc>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Marina Palms</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783"/>
        </w:trPr>
        <w:tc>
          <w:tcPr>
            <w:tcW w:w="4380" w:type="dxa"/>
            <w:vAlign w:val="bottom"/>
          </w:tcPr>
          <w:p>
            <w:pPr>
              <w:spacing w:after="0"/>
              <w:rPr>
                <w:sz w:val="24"/>
                <w:szCs w:val="24"/>
                <w:color w:val="auto"/>
              </w:rPr>
            </w:pPr>
          </w:p>
        </w:tc>
        <w:tc>
          <w:tcPr>
            <w:tcW w:w="2700" w:type="dxa"/>
            <w:vAlign w:val="bottom"/>
          </w:tcPr>
          <w:p>
            <w:pPr>
              <w:jc w:val="right"/>
              <w:ind w:right="119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4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13,115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fees, net(2)</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36,774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32,742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19,283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Leasing costs, net(3)</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20,031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furniture, fixtures and equipment, net(4)</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238,487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181,785</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63" w:lineRule="auto"/>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Intangible assets, net are primarily related to the acquisition of real estate assets. This balance also includes a lease incentive asset of $38.1 million (see Note 4). Accumulated amortization on intangible assets was $37.7 million and $45.1 million as of June 30, 2015 and December 31, 2014, respectively. The amortization of above market leases and lease incentive assets decreased operating lease income on the Company's Consolidated Statements of Operations by $1.4 million and $3.7 million for the three and six months ended June 30, 2015, respectively, and $1.6 million and $4.0 million for the three and six months ended June 30, 2014, respectively. These intangible lease assets are amortized over the term of the lease. The amortization expense for other intangible assets was $0.7 million and $2.2 million for the three and six months ended June 30, 2015, respectively, and $1.5 million and $3.8 million for the three and six months ended June 30, 2014, respectively. These amounts are included in "Depreciation and amortization" on the Company's Consolidated Statements of Operations.</w:t>
      </w:r>
    </w:p>
    <w:p>
      <w:pPr>
        <w:spacing w:after="0" w:line="1" w:lineRule="exact"/>
        <w:rPr>
          <w:rFonts w:ascii="Arial" w:cs="Arial" w:eastAsia="Arial" w:hAnsi="Arial"/>
          <w:sz w:val="13"/>
          <w:szCs w:val="13"/>
          <w:color w:val="auto"/>
        </w:rPr>
      </w:pP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$21.4 million and $15.4 million as of June 30, 2015 and December 31, 2014,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on leasing costs was $9.3 million and $9.0 million as of June 30, 2015 and December 31, 2014,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$7.5 million and $7.1 million as of June 30, 2015 and December 31, 2014, respectively.</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5"/>
              </w:rPr>
              <w:t>As of</w:t>
            </w:r>
          </w:p>
        </w:tc>
        <w:tc>
          <w:tcPr>
            <w:tcW w:w="14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66,957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57,895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liabilities, net(2)</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11,885</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183,606</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180,902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46"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June 30, 2015 and December 31, 2014, "Other liabilities" includes $12.4 million and $6.8 million, respectively, related to a profit sharing payable to a developer for residential units sold. As of June 30, 2015 and December 31, 2014, "Other liabilities" also includes $7.3 million and $7.7 million, respectively, related to tax increment financing ("TIF") bonds which were issued by a governmental entity to fund the installation of infrastructure within one of the Company's master planned community developments. The balance represents a special assessment associated with each individual land parcel, which will decrease as the Company sells parcels.</w:t>
      </w:r>
    </w:p>
    <w:p>
      <w:pPr>
        <w:jc w:val="both"/>
        <w:ind w:left="500" w:hanging="492"/>
        <w:spacing w:after="0" w:line="276" w:lineRule="auto"/>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Intangible liabilities, net are primarily related to the acquisition of real estate assets. Accumulated amortization on intangible liabilities was $5.9 million and $6.2 million as of June 30, 2015 and December 31, 2014, respectively. The amortization of intangible liabilities increased operating lease income on the Company's Consolidated Statements of Operations by $0.4 million and $0.7 million for the three and six months ended June 30, 2015, respectively, and $0.9 million and $1.6 million for the three and six months ended June 30, 2014,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2"/>
                <w:szCs w:val="22"/>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assets(1)</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(64,793)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(54,318)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57"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Deferred tax assets as of June 30, 2015 include timing differences related primarily to real estate basis of $42.4 million, investment basis of $8.5 million, deferred expenses of $7.4 million, and net operating loss carryforwards of $4.2 million. Deferred tax assets as of December 31, 2014, include timing differences related primarily to real estate basis of $39.3 million, investment basis of $5.9 million, net operating loss carryforwards of $4.1 million, and deferred expenses of $2.7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8—Loan Participations Payable, net</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six months ended June 30, 2015, the Company transferred to a third party a $100.0 million junior loan participation in a $250.0 million mezzanine loan commitment that it had previously originated. The Company had funded $38.9 million of the junior loan prior to transfer and received proceeds of $38.9 million upon transfer. The transferee is responsible for funding the remaining $61.1 million under the junior loan commitment, which bears interest at a rate of 5.90%. The Company will fund these commitments if the transferee defaults. As of June 30, 2015, the transferee funded an additional $3.4 million directly to the borrower.</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six months ended June 30, 2015, the Company transferred to a third party a $100.0 million senior loan participation in a $220.2 million senior loan commitment that it had previously originated. The transferred participation bears interest at a rate of LIBOR+ 3.50% with a LIBOR floor of 0.25%. The Company had fully funded the $100.0 million transferred participation prior to transfer and received net proceeds of $99.2 million.</w:t>
      </w:r>
    </w:p>
    <w:p>
      <w:pPr>
        <w:spacing w:after="0" w:line="1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These transfers of financial assets did not meet the sales criteria established under ASC Topic 860 and have been accounted for as loan participations payable as of June 30, 2015, with a balance of $141.5 million, net of a discount. As of June 30, 2015, the corresponding loan receivable balances were $142.3 million and are included in "Loans receivable and other lending investments, net" on the Company's Consolidated Balance Sheets. The principal and interest due on these participations are paid from cash flows of the corresponding loans receivable, which serve as collateral for the participations.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2015 and December 31, 2014, the Company's debt obligations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w:t>
            </w:r>
          </w:p>
        </w:tc>
        <w:tc>
          <w:tcPr>
            <w:tcW w:w="44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Scheduled</w:t>
            </w:r>
          </w:p>
        </w:tc>
        <w:tc>
          <w:tcPr>
            <w:tcW w:w="0" w:type="dxa"/>
            <w:vAlign w:val="bottom"/>
          </w:tcPr>
          <w:p>
            <w:pPr>
              <w:spacing w:after="0"/>
              <w:rPr>
                <w:sz w:val="1"/>
                <w:szCs w:val="1"/>
                <w:color w:val="auto"/>
              </w:rPr>
            </w:pPr>
          </w:p>
        </w:tc>
      </w:tr>
      <w:tr>
        <w:trPr>
          <w:trHeight w:val="71"/>
        </w:trPr>
        <w:tc>
          <w:tcPr>
            <w:tcW w:w="4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6"/>
                <w:szCs w:val="6"/>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c>
          <w:tcPr>
            <w:tcW w:w="10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 Rates</w:t>
            </w:r>
          </w:p>
        </w:tc>
        <w:tc>
          <w:tcPr>
            <w:tcW w:w="4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credit facilities and term loans: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2012 Tranche A-2 Facility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345,048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358,504</w:t>
            </w:r>
          </w:p>
        </w:tc>
        <w:tc>
          <w:tcPr>
            <w:tcW w:w="100" w:type="dxa"/>
            <w:vAlign w:val="bottom"/>
          </w:tcPr>
          <w:p>
            <w:pPr>
              <w:spacing w:after="0"/>
              <w:rPr>
                <w:sz w:val="21"/>
                <w:szCs w:val="21"/>
                <w:color w:val="auto"/>
              </w:rPr>
            </w:pPr>
          </w:p>
        </w:tc>
        <w:tc>
          <w:tcPr>
            <w:tcW w:w="1800" w:type="dxa"/>
            <w:vAlign w:val="bottom"/>
          </w:tcPr>
          <w:p>
            <w:pPr>
              <w:jc w:val="right"/>
              <w:ind w:right="117"/>
              <w:spacing w:after="0"/>
              <w:rPr>
                <w:sz w:val="20"/>
                <w:szCs w:val="20"/>
                <w:color w:val="auto"/>
              </w:rPr>
            </w:pPr>
            <w:r>
              <w:rPr>
                <w:rFonts w:ascii="Arial" w:cs="Arial" w:eastAsia="Arial" w:hAnsi="Arial"/>
                <w:sz w:val="18"/>
                <w:szCs w:val="18"/>
                <w:color w:val="auto"/>
              </w:rPr>
              <w:t>LIBOR + 5.75%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2018</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Term loans collateralized by net lease assets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244,623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248,955</w:t>
            </w:r>
          </w:p>
        </w:tc>
        <w:tc>
          <w:tcPr>
            <w:tcW w:w="1900" w:type="dxa"/>
            <w:vAlign w:val="bottom"/>
            <w:gridSpan w:val="2"/>
          </w:tcPr>
          <w:p>
            <w:pPr>
              <w:jc w:val="right"/>
              <w:ind w:right="117"/>
              <w:spacing w:after="0"/>
              <w:rPr>
                <w:sz w:val="20"/>
                <w:szCs w:val="20"/>
                <w:color w:val="auto"/>
              </w:rPr>
            </w:pPr>
            <w:r>
              <w:rPr>
                <w:rFonts w:ascii="Arial" w:cs="Arial" w:eastAsia="Arial" w:hAnsi="Arial"/>
                <w:sz w:val="18"/>
                <w:szCs w:val="18"/>
                <w:color w:val="auto"/>
              </w:rPr>
              <w:t>4.851% - 7.26%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secured credit facilities and 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607,459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Unsecured notes: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6.05%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105,765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2015</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5.875% senior notes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261,403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261,403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3.875%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2016</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3.0% senior convertible notes(4)</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November 2016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1.50% senior convertible notes(5)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2016</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5.85% senior notes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99,722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March 2017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4.00% senior notes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November 2017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7.125%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4.875% senior notes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5.00% senior notes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2019</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Total unsecured notes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3,221,125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3,326,890</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Other debt obligations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0" w:type="dxa"/>
            <w:vAlign w:val="bottom"/>
          </w:tcPr>
          <w:p>
            <w:pPr>
              <w:jc w:val="right"/>
              <w:ind w:right="117"/>
              <w:spacing w:after="0"/>
              <w:rPr>
                <w:sz w:val="20"/>
                <w:szCs w:val="20"/>
                <w:color w:val="auto"/>
              </w:rPr>
            </w:pPr>
            <w:r>
              <w:rPr>
                <w:rFonts w:ascii="Arial" w:cs="Arial" w:eastAsia="Arial" w:hAnsi="Arial"/>
                <w:sz w:val="18"/>
                <w:szCs w:val="18"/>
                <w:color w:val="auto"/>
              </w:rPr>
              <w:t>LIBOR + 1.50%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2035</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4,160,796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4,034,349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Debt discounts, net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(11,665)</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obligations, net(6)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4,151,653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4,022,684</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loan has a LIBOR floor of 1.25%. As of June 30, 2015, inclusive of the floor, the 2012 Tranche A-2 Facility loan incurred interest at a rate of 7.00%.</w:t>
      </w:r>
    </w:p>
    <w:p>
      <w:pPr>
        <w:spacing w:after="0" w:line="13"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1.00% and subject to a margin ranging from 1.25% to 1.75%, or (ii) LIBOR subject to a margin ranging from 2.25% to 2.75%. At maturity, the Company may convert outstanding borrowings to a one year term loan which matures in quarterly installments through March 2019.</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As of June 30, 2015 and December 31, 2014, includes a loan with a floating rate of LIBOR plus 2.00%. As of June 30, 2015, the weighted average interest rate of these loans is 5.3%.</w:t>
      </w:r>
    </w:p>
    <w:p>
      <w:pPr>
        <w:spacing w:after="0" w:line="12" w:lineRule="exact"/>
        <w:rPr>
          <w:rFonts w:ascii="Arial" w:cs="Arial" w:eastAsia="Arial" w:hAnsi="Arial"/>
          <w:sz w:val="13"/>
          <w:szCs w:val="13"/>
          <w:color w:val="auto"/>
        </w:rPr>
      </w:pPr>
    </w:p>
    <w:p>
      <w:pPr>
        <w:ind w:left="500" w:hanging="492"/>
        <w:spacing w:after="0" w:line="241"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3.0% senior convertible fixed rate notes due November 2016 ("3.0% Convertible Notes") are convertible at the option of the holders, into 85.0 shares per $1,000 principal amount of 3.0% Convertible Notes, at $11.77 per share at any time prior to the close of business on November 14, 2016.</w:t>
      </w:r>
    </w:p>
    <w:p>
      <w:pPr>
        <w:ind w:left="500" w:hanging="492"/>
        <w:spacing w:after="0" w:line="241"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are convertible at the option of the holders, into 57.8 shares per $1,000 principal amount of 1.50% Convertible Notes, at $17.29 per share at any time prior to the close of business on November 14, 2016.</w:t>
      </w:r>
    </w:p>
    <w:p>
      <w:pPr>
        <w:ind w:left="500" w:hanging="492"/>
        <w:spacing w:after="0" w:line="255" w:lineRule="auto"/>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capitalized interest relating to development activities of $1.2 million and $2.6 million for the three and six months ended June 30, 2015 and $1.0 million and $1.9 million for the three and six months ended June 30, 2014.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June 30, 2015, future scheduled maturities of outstanding long-term debt obligations are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 (remaining six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926,403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926,403</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1,269,770</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264,282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864,282</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801,562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198,779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298,779</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839,671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4,160,796</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Unamortized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(9,143)</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3,314,163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837,490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4,151,653</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color w:val="auto"/>
        </w:rPr>
        <w:t>2015 Revolving Credit Facility</w:t>
      </w:r>
      <w:r>
        <w:rPr>
          <w:rFonts w:ascii="Arial" w:cs="Arial" w:eastAsia="Arial" w:hAnsi="Arial"/>
          <w:sz w:val="16"/>
          <w:szCs w:val="16"/>
          <w:color w:val="auto"/>
        </w:rPr>
        <w:t>—On March 27, 2015, the Company entered into a secured revolving credit facility with a maximum capacity of $250.0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(the "2015 Revolving Credit Facility"). Borrowings under this credit facility bear interest at a floating rate indexed to one of several base rates plus a margin which adjusts upward or downward based upon the Company's corporate credit rating. An undrawn credit facility commitment fee ranges from 0.375% to 0.5%, based on average utilization each quarter. During the three months ended June 30, 2015, the weighted average cost of the credit facility was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3.25%. Commitments under the revolving facility mature in March 2018. At maturity, the Company may convert outstanding borrowings to a one year term loan which matures in quarterly installments through March 2019. The facility is secured by a borrowing base of assets and there is no requirement that proceeds from the borrowing base be used to pay down outstanding borrowings.</w:t>
      </w:r>
    </w:p>
    <w:p>
      <w:pPr>
        <w:spacing w:after="0" w:line="14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2012 Secured Credit Facilities</w:t>
      </w:r>
      <w:r>
        <w:rPr>
          <w:rFonts w:ascii="Arial" w:cs="Arial" w:eastAsia="Arial" w:hAnsi="Arial"/>
          <w:sz w:val="18"/>
          <w:szCs w:val="18"/>
          <w:color w:val="auto"/>
        </w:rPr>
        <w:t>—In March 2012, the Company entered into an $880.0 million senior secured credit agreement providing for two</w:t>
      </w:r>
      <w:r>
        <w:rPr>
          <w:rFonts w:ascii="Arial" w:cs="Arial" w:eastAsia="Arial" w:hAnsi="Arial"/>
          <w:sz w:val="18"/>
          <w:szCs w:val="18"/>
          <w:b w:val="1"/>
          <w:bCs w:val="1"/>
          <w:color w:val="auto"/>
        </w:rPr>
        <w:t xml:space="preserve"> </w:t>
      </w:r>
      <w:r>
        <w:rPr>
          <w:rFonts w:ascii="Arial" w:cs="Arial" w:eastAsia="Arial" w:hAnsi="Arial"/>
          <w:sz w:val="18"/>
          <w:szCs w:val="18"/>
          <w:color w:val="auto"/>
        </w:rPr>
        <w:t>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together with cash on hand, were used to repurchase and repay other outstanding debt.</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2012 Secured Credit Facilities are collateralized by a first lien on a fixed pool of assets. Proceeds from principal repayments and sales of collateral are applied to amortize the 2012 Secured Credit Facilities. Proceeds received for interest, rent, lease payments and fee income are retained by the Company. The Company may also make optional prepayments, subject to prepayment fees. The 2012 Tranche A-1 Facility was fully repaid in August 2013. Additionally, through June 30, 2015, the Company made cumulative amortization repayments of $125.0 million on the 2012 Tranche A-2 Facility. For the three and six months ended June 30, 2015, repayments of the 2012 Tranche A-2 Facility prior to maturity resulted in losses on early extinguishment of debt of $0.1 million and $0.2 million, respectively, related to the accelerated amortization of discounts and unamortized deferred financing fees on the portion of the facility that was repaid. These amounts were included in "Loss on early extinguishment of debt, net" on the Company's Consolidated Statements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June 2014, the Company issued $550.0 million aggregate principal amount of 4.00% senior unsecured notes due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2017 and $770.0 million aggregate principal amount of 5.00% senior unsecured notes due July 2019. Net proceeds from these transactions, together with cash on hand, were used to fully repay and terminate the February 2013 Secured Credit Facility which had an outstanding balance of $1.32 billion. In connection with the repayment and termination of the facility in 2014, we recorded a loss on early extinguishment of debt of $22.8 million related to unamortized discounts and financing fees at the time of refinancing. These amounts were included in "Loss on early extinguishment of debt, net" on our Consolidated Statements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June 30, 2015 and December 31, 2014, the carrying value of the Company's encumbered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5"/>
              </w:rPr>
              <w:t>As of</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880,745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1,658,071</w:t>
            </w:r>
          </w:p>
        </w:tc>
        <w:tc>
          <w:tcPr>
            <w:tcW w:w="62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2,056,336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277,525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275,486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net(1)(2)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1,364,828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270,991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336,411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989,730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768,475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1,011,968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4,546,193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695,097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4,801,536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June 30, 2015 and December 31, 2014, the amounts presented exclude general reserves for loan losses of $27.1 million and $33.5 million, respectively.</w:t>
      </w:r>
    </w:p>
    <w:p>
      <w:pPr>
        <w:spacing w:after="0" w:line="13" w:lineRule="exact"/>
        <w:rPr>
          <w:rFonts w:ascii="Arial" w:cs="Arial" w:eastAsia="Arial" w:hAnsi="Arial"/>
          <w:sz w:val="14"/>
          <w:szCs w:val="14"/>
          <w:color w:val="auto"/>
        </w:rPr>
      </w:pP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June 30, 2015 and December 31, 2014, the amounts presented exclude loan participations payable of $142.3 million and $0.0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of at least 1.2x and a covenant not to incur new indebtedness, if on a pro forma basis, the Company's fixed charge coverage ratio is 1.5x or lower, except for incurrences of permitted debt. If any of the Company's covenants are breached and not cured within applicable cure periods, the breach could result in acceleration of its debt securities unless a waiver or modification is agreed upon with the requisite percentage of the bondholders.</w:t>
      </w:r>
    </w:p>
    <w:p>
      <w:pPr>
        <w:spacing w:after="0" w:line="15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Company's 2012 Secured Credit Facilities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2012 Secured Credit Facilities require the Company to maintain collateral coverage of at least 1.25x outstanding borrowings on the facilities. The 2015 Revolving Credit Facility requires the Company to maintain both collateral coverage of at least 1.5x outstanding borrowings on the facility and a consolidated ratio of cash flow to fixed charges of at least 1.5x. In addition, for so long as the Company maintains its qualification as a REIT, the 2012 Secured Credit Facilities and the 2015 Revolving Credit Facility permit the Company to distribute 100% of its REIT taxable income on an annual basis (prior to deducting certain cumulative net operating loss carryforwards in the case of the 2015 Revolving Credit Facility). The Company may not pay common dividends if it ceases to qualify as a REIT.</w:t>
      </w:r>
    </w:p>
    <w:p>
      <w:pPr>
        <w:spacing w:after="0" w:line="1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2012 Secured Credit Facilities and the 2015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net lease assets over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2015,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340" w:type="dxa"/>
            <w:vAlign w:val="bottom"/>
          </w:tcPr>
          <w:p>
            <w:pPr>
              <w:spacing w:after="0"/>
              <w:rPr>
                <w:sz w:val="14"/>
                <w:szCs w:val="14"/>
                <w:color w:val="auto"/>
              </w:rPr>
            </w:pP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Real Estate</w:t>
            </w:r>
          </w:p>
        </w:tc>
        <w:tc>
          <w:tcPr>
            <w:tcW w:w="34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4"/>
                <w:szCs w:val="14"/>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Investments</w:t>
            </w:r>
          </w:p>
        </w:tc>
        <w:tc>
          <w:tcPr>
            <w:tcW w:w="3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660,147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727,693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46,076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46,076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16,469</w:t>
            </w:r>
          </w:p>
        </w:tc>
        <w:tc>
          <w:tcPr>
            <w:tcW w:w="0" w:type="dxa"/>
            <w:vAlign w:val="bottom"/>
          </w:tcPr>
          <w:p>
            <w:pPr>
              <w:spacing w:after="0"/>
              <w:rPr>
                <w:sz w:val="1"/>
                <w:szCs w:val="1"/>
                <w:color w:val="auto"/>
              </w:rPr>
            </w:pP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676,616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13,069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100,553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790,238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March 7, 2014, a shareholder action purporting to assert derivative, class and individual claims was filed in the Circuit Court for Baltimore City, Maryland naming the Company, a number of its current and former senior executives (including its chief executive officer) and current and former directors as defendants. The complaint sought unspecified damages and other relief and alleged breach of fiduciary duty, breach of contract and other causes of action arising out of shares of common stock issued by the Company to its senior executives pursuant to restricted stock unit awards granted in December 2008 and modified in July 2011. On October 30, 2014, the Court granted the defendants’ Motions to Dismiss and plaintiffs’ claims against all of the defendants in this action were dismissed. Plaintiffs have filed a notice of appeal. A briefing schedule has been established and oral argument has been scheduled for November 2015.</w:t>
      </w:r>
    </w:p>
    <w:p>
      <w:pPr>
        <w:spacing w:after="0" w:line="18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January 22, 2015, the United States District Court for the District of Maryland (the "Court") entered a judgment in favor of the Company in the matter of U.S. Home Corporation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w:t>
      </w:r>
    </w:p>
    <w:p>
      <w:pPr>
        <w:spacing w:after="0" w:line="2" w:lineRule="exact"/>
        <w:rPr>
          <w:sz w:val="20"/>
          <w:szCs w:val="20"/>
          <w:color w:val="auto"/>
        </w:rPr>
      </w:pPr>
    </w:p>
    <w:p>
      <w:pPr>
        <w:jc w:val="both"/>
        <w:ind w:firstLine="8"/>
        <w:spacing w:after="0" w:line="270"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A third party is entitled to a 15% participation interest in all proceeds. Lennar has appealed the Court's judgment. The Court has granted Lennar's motion to stay the judgment pending appeal, subject to Lennar posting a required appeal bond, which has been posted. The Court also clarified the judgment that the unpaid amount will accrue simple interest at a rate of 12% annually, including while the appeal is pending. There can be no assurance as to the timing or actual receipt by the Company of amounts awarded by the Court or to the outcome of any appeal.</w:t>
      </w:r>
    </w:p>
    <w:p>
      <w:pPr>
        <w:spacing w:after="0" w:line="17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a quarterly basis, 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June 30, 2015 and December 31, 2014 ($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Derivative Assets as of</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2"/>
              </w:rPr>
              <w:t>June 30, 2015</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December 31, 2014</w:t>
            </w:r>
          </w:p>
        </w:tc>
      </w:tr>
      <w:tr>
        <w:trPr>
          <w:trHeight w:val="152"/>
        </w:trPr>
        <w:tc>
          <w:tcPr>
            <w:tcW w:w="19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72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40" w:type="dxa"/>
            <w:vAlign w:val="bottom"/>
          </w:tcPr>
          <w:p>
            <w:pPr>
              <w:spacing w:after="0"/>
              <w:rPr>
                <w:sz w:val="13"/>
                <w:szCs w:val="13"/>
                <w:color w:val="auto"/>
              </w:rPr>
            </w:pPr>
          </w:p>
        </w:tc>
        <w:tc>
          <w:tcPr>
            <w:tcW w:w="6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r>
      <w:tr>
        <w:trPr>
          <w:trHeight w:val="27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478</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97"/>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478</w:t>
            </w:r>
          </w:p>
        </w:tc>
      </w:tr>
      <w:tr>
        <w:trPr>
          <w:trHeight w:val="271"/>
        </w:trPr>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33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Derivatives not Designated in Hedging Relationships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Interest rate cap</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1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6,309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tables below present the effect of the Company's derivative financial instruments on the Consolidated Statements of Operations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(Loss) for the three and six months ended June 30, 2015 and 2014 ($ in thousands):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2"/>
              </w:rPr>
              <w:t>Amount of Gain (Loss)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center"/>
              <w:ind w:left="283"/>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500" w:type="dxa"/>
            <w:vAlign w:val="bottom"/>
            <w:gridSpan w:val="6"/>
            <w:vMerge w:val="restart"/>
          </w:tcPr>
          <w:p>
            <w:pPr>
              <w:ind w:left="500"/>
              <w:spacing w:after="0"/>
              <w:rPr>
                <w:sz w:val="20"/>
                <w:szCs w:val="20"/>
                <w:color w:val="auto"/>
              </w:rPr>
            </w:pPr>
            <w:r>
              <w:rPr>
                <w:rFonts w:ascii="Arial" w:cs="Arial" w:eastAsia="Arial" w:hAnsi="Arial"/>
                <w:sz w:val="14"/>
                <w:szCs w:val="14"/>
                <w:b w:val="1"/>
                <w:bCs w:val="1"/>
                <w:color w:val="auto"/>
              </w:rPr>
              <w:t>Location of Gain (Loss)</w:t>
            </w:r>
          </w:p>
        </w:tc>
        <w:tc>
          <w:tcPr>
            <w:tcW w:w="18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Recognized in 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Derivatives Designated in Hedging Relationships</w:t>
            </w:r>
          </w:p>
        </w:tc>
        <w:tc>
          <w:tcPr>
            <w:tcW w:w="2500" w:type="dxa"/>
            <w:vAlign w:val="bottom"/>
            <w:gridSpan w:val="6"/>
            <w:vMerge w:val="continue"/>
          </w:tcPr>
          <w:p>
            <w:pPr>
              <w:spacing w:after="0"/>
              <w:rPr>
                <w:sz w:val="12"/>
                <w:szCs w:val="12"/>
                <w:color w:val="auto"/>
              </w:rPr>
            </w:pPr>
          </w:p>
        </w:tc>
        <w:tc>
          <w:tcPr>
            <w:tcW w:w="18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260" w:type="dxa"/>
            <w:vAlign w:val="bottom"/>
            <w:gridSpan w:val="2"/>
            <w:vMerge w:val="continue"/>
          </w:tcPr>
          <w:p>
            <w:pPr>
              <w:spacing w:after="0"/>
              <w:rPr>
                <w:sz w:val="16"/>
                <w:szCs w:val="16"/>
                <w:color w:val="auto"/>
              </w:rPr>
            </w:pPr>
          </w:p>
        </w:tc>
        <w:tc>
          <w:tcPr>
            <w:tcW w:w="2500" w:type="dxa"/>
            <w:vAlign w:val="bottom"/>
            <w:gridSpan w:val="6"/>
          </w:tcPr>
          <w:p>
            <w:pPr>
              <w:ind w:left="540"/>
              <w:spacing w:after="0"/>
              <w:rPr>
                <w:sz w:val="20"/>
                <w:szCs w:val="20"/>
                <w:color w:val="auto"/>
              </w:rPr>
            </w:pPr>
            <w:r>
              <w:rPr>
                <w:rFonts w:ascii="Arial" w:cs="Arial" w:eastAsia="Arial" w:hAnsi="Arial"/>
                <w:sz w:val="14"/>
                <w:szCs w:val="14"/>
                <w:b w:val="1"/>
                <w:bCs w:val="1"/>
                <w:color w:val="auto"/>
              </w:rPr>
              <w:t>Recognized in Income</w:t>
            </w:r>
          </w:p>
        </w:tc>
        <w:tc>
          <w:tcPr>
            <w:tcW w:w="1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Income (Effective Portion)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4740" w:type="dxa"/>
            <w:vAlign w:val="bottom"/>
            <w:tcBorders>
              <w:top w:val="single" w:sz="8" w:color="auto"/>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2015</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Interest rate cap</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0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ind w:right="1023"/>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5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Earnings from equity method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5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Earnings from equity method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500" w:type="dxa"/>
            <w:vAlign w:val="bottom"/>
            <w:gridSpan w:val="6"/>
          </w:tcPr>
          <w:p>
            <w:pPr>
              <w:ind w:left="100"/>
              <w:spacing w:after="0"/>
              <w:rPr>
                <w:sz w:val="20"/>
                <w:szCs w:val="20"/>
                <w:color w:val="auto"/>
              </w:rPr>
            </w:pPr>
            <w:r>
              <w:rPr>
                <w:rFonts w:ascii="Arial" w:cs="Arial" w:eastAsia="Arial" w:hAnsi="Arial"/>
                <w:sz w:val="18"/>
                <w:szCs w:val="18"/>
                <w:color w:val="auto"/>
              </w:rPr>
              <w:t>Earnings from equity method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investments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2014</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Interest rate cap</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Other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w w:val="98"/>
              </w:rPr>
              <w:t>(3,634)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4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Other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2"/>
              </w:rPr>
              <w:t>For the Six Months Ended June 30, 2015</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Interest rate cap</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202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5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Earnings from equity method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4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Interest rate swaps</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25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Earnings from equity method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4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500" w:type="dxa"/>
            <w:vAlign w:val="bottom"/>
            <w:gridSpan w:val="6"/>
          </w:tcPr>
          <w:p>
            <w:pPr>
              <w:ind w:left="100"/>
              <w:spacing w:after="0"/>
              <w:rPr>
                <w:sz w:val="20"/>
                <w:szCs w:val="20"/>
                <w:color w:val="auto"/>
              </w:rPr>
            </w:pPr>
            <w:r>
              <w:rPr>
                <w:rFonts w:ascii="Arial" w:cs="Arial" w:eastAsia="Arial" w:hAnsi="Arial"/>
                <w:sz w:val="18"/>
                <w:szCs w:val="18"/>
                <w:color w:val="auto"/>
              </w:rPr>
              <w:t>Earnings from equity method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investments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2"/>
              </w:rPr>
              <w:t>For the Six Months Ended June 30, 2014</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Interest rate cap</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Other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w w:val="98"/>
              </w:rPr>
              <w:t>(3,634)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4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Other Expense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90"/>
        </w:trPr>
        <w:tc>
          <w:tcPr>
            <w:tcW w:w="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Amount of Gain or (Loss)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Recognized in Income</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4"/>
            <w:vMerge w:val="restart"/>
          </w:tcPr>
          <w:p>
            <w:pPr>
              <w:jc w:val="center"/>
              <w:ind w:left="179"/>
              <w:spacing w:after="0"/>
              <w:rPr>
                <w:sz w:val="20"/>
                <w:szCs w:val="20"/>
                <w:color w:val="auto"/>
              </w:rPr>
            </w:pPr>
            <w:r>
              <w:rPr>
                <w:rFonts w:ascii="Arial" w:cs="Arial" w:eastAsia="Arial" w:hAnsi="Arial"/>
                <w:sz w:val="14"/>
                <w:szCs w:val="14"/>
                <w:b w:val="1"/>
                <w:bCs w:val="1"/>
                <w:color w:val="auto"/>
                <w:w w:val="95"/>
              </w:rPr>
              <w:t>Location of Gain or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3"/>
                <w:szCs w:val="13"/>
                <w:color w:val="auto"/>
              </w:rPr>
            </w:pPr>
          </w:p>
        </w:tc>
        <w:tc>
          <w:tcPr>
            <w:tcW w:w="2300" w:type="dxa"/>
            <w:vAlign w:val="bottom"/>
            <w:gridSpan w:val="9"/>
          </w:tcPr>
          <w:p>
            <w:pPr>
              <w:spacing w:after="0" w:line="153" w:lineRule="exact"/>
              <w:rPr>
                <w:sz w:val="20"/>
                <w:szCs w:val="20"/>
                <w:color w:val="auto"/>
              </w:rPr>
            </w:pPr>
            <w:r>
              <w:rPr>
                <w:rFonts w:ascii="Arial" w:cs="Arial" w:eastAsia="Arial" w:hAnsi="Arial"/>
                <w:sz w:val="14"/>
                <w:szCs w:val="14"/>
                <w:b w:val="1"/>
                <w:bCs w:val="1"/>
                <w:color w:val="auto"/>
              </w:rPr>
              <w:t>For the Six Months Ended June</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3"/>
          </w:tcPr>
          <w:p>
            <w:pPr>
              <w:jc w:val="right"/>
              <w:ind w:right="20"/>
              <w:spacing w:after="0" w:line="145" w:lineRule="exact"/>
              <w:rPr>
                <w:sz w:val="20"/>
                <w:szCs w:val="20"/>
                <w:color w:val="auto"/>
              </w:rPr>
            </w:pPr>
            <w:r>
              <w:rPr>
                <w:rFonts w:ascii="Arial" w:cs="Arial" w:eastAsia="Arial" w:hAnsi="Arial"/>
                <w:sz w:val="14"/>
                <w:szCs w:val="14"/>
                <w:b w:val="1"/>
                <w:bCs w:val="1"/>
                <w:color w:val="auto"/>
              </w:rPr>
              <w:t>30,</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1860" w:type="dxa"/>
            <w:vAlign w:val="bottom"/>
            <w:gridSpan w:val="6"/>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6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restart"/>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3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Derivatives not Designated in Hedging Relationships</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cap</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8"/>
                <w:szCs w:val="18"/>
                <w:color w:val="auto"/>
                <w:w w:val="88"/>
              </w:rPr>
              <w:t>1,587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12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w:t>
      </w:r>
    </w:p>
    <w:p>
      <w:pPr>
        <w:sectPr>
          <w:pgSz w:w="11900" w:h="16838" w:orient="portrait"/>
          <w:cols w:equalWidth="0" w:num="1">
            <w:col w:w="11420"/>
          </w:cols>
          <w:pgMar w:left="240" w:top="121"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Comprehensive Income into earnings when the hedged foreign entity is either sold or substantially liquidated. As of June 30, 2015, the Company had the following outstanding foreign currency derivatives that were used to hedge its net investments in foreign operations that were designated ($ and Rs in thousands):</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Notional</w:t>
            </w:r>
          </w:p>
        </w:tc>
        <w:tc>
          <w:tcPr>
            <w:tcW w:w="15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(USD Equivalent)</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Indian rupee ("INR")/Buys USD Forward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456,000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6,553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December 2016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Company's Consolidated Statements of Operations within "Other Expense." As of June 30, 2015, the Company had the following outstanding foreign currency derivatives that were used to hedge its net investments in foreign operations that were not designated ($, €, £ and C$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0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0"/>
              </w:rPr>
              <w:t>July 2015</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21"/>
                <w:szCs w:val="21"/>
                <w:color w:val="auto"/>
              </w:rPr>
            </w:pPr>
          </w:p>
        </w:tc>
        <w:tc>
          <w:tcPr>
            <w:tcW w:w="1360" w:type="dxa"/>
            <w:vAlign w:val="bottom"/>
          </w:tcPr>
          <w:p>
            <w:pPr>
              <w:ind w:left="640"/>
              <w:spacing w:after="0"/>
              <w:rPr>
                <w:sz w:val="20"/>
                <w:szCs w:val="20"/>
                <w:color w:val="auto"/>
              </w:rPr>
            </w:pPr>
            <w:r>
              <w:rPr>
                <w:rFonts w:ascii="Arial" w:cs="Arial" w:eastAsia="Arial" w:hAnsi="Arial"/>
                <w:sz w:val="18"/>
                <w:szCs w:val="18"/>
                <w:color w:val="auto"/>
                <w:w w:val="90"/>
              </w:rPr>
              <w:t>July 2015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Canadian dollar ("CAD")/Buys USD Forward</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8,292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July 2015</w:t>
            </w:r>
          </w:p>
        </w:tc>
        <w:tc>
          <w:tcPr>
            <w:tcW w:w="0" w:type="dxa"/>
            <w:vAlign w:val="bottom"/>
          </w:tcPr>
          <w:p>
            <w:pPr>
              <w:spacing w:after="0"/>
              <w:rPr>
                <w:sz w:val="1"/>
                <w:szCs w:val="1"/>
                <w:color w:val="auto"/>
              </w:rPr>
            </w:pPr>
          </w:p>
        </w:tc>
      </w:tr>
      <w:tr>
        <w:trPr>
          <w:trHeight w:val="27"/>
        </w:trPr>
        <w:tc>
          <w:tcPr>
            <w:tcW w:w="6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marks its foreign investments each quarter based on current exchange rates and records the gain or loss through "Other expense" on its Consolidated Statements of Operations for loan investments or "Accumulated other comprehensive income (loss)," on its Consolidated Balance Sheets for net investments in foreign subsidiaries. The Company recorded net gains (losses) related to foreign investments of $(0.1) million and $(0.1) million during the three and six months ended June 30, 2015, respectively, and $0.0 million and $0.4 million during the three and six months ended June 30, 2014, respectively, in its Consolidated Statements of Operations.</w:t>
      </w:r>
    </w:p>
    <w:p>
      <w:pPr>
        <w:spacing w:after="0" w:line="14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Interest Rate Hedges</w:t>
      </w:r>
      <w:r>
        <w:rPr>
          <w:rFonts w:ascii="Arial" w:cs="Arial" w:eastAsia="Arial" w:hAnsi="Arial"/>
          <w:sz w:val="18"/>
          <w:szCs w:val="18"/>
          <w:color w:val="auto"/>
        </w:rPr>
        <w:t>—For derivatives designated as interest rate hedges, the effective portion of changes in the fair value of the derivatives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Accumulated Other Comprehensive Income (Loss). The ineffective portion of the change in fair value of the derivatives is recognized directly within the Company's Consolidated Statements of Operations. As of June 30, 2015, the Company had the following outstanding interest rate swap that was used to hedge its variable rate debt that was designated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27,196</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derivatives not designated as interest rate hedges, the changes in the fair value of the derivatives are reported in the Company's Consolidated Statements of Operations within "Other Expense." As of June 30, 2015, the Company had the following outstanding interest rate cap that was used to hedge its variable rate debt that was not designated ($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Over the next 12 months, the Company expects that $0.2 million related to terminated cash flow hedges will be reclassified from "Accumulated other comprehensive income (loss)" into interest expense and $0.7 million relating to other cash flow hedges will be reclassified from "Accumulated other comprehensive income (loss)" into earnings.</w:t>
      </w:r>
    </w:p>
    <w:p>
      <w:pPr>
        <w:spacing w:after="0" w:line="17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reports our derivative instruments on a gross basis on our consolidated financial statements. In connection with its foreign currency derivatives which were in a liability position as of June 30, 2015, the Company has posted collateral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$3.0 million and $3.0 million, respectively, as of June 30, 2015 and December 31, 2014, which is included in "Restricted cash" on the Company's Consolidated Balance Sheets. The Company's net exposure under these contracts was $0 as of June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December 31, 2014:</w:t>
      </w:r>
    </w:p>
    <w:p>
      <w:pPr>
        <w:spacing w:after="0" w:line="13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Cumulative Preferential Cash</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Dividends(1)(2)</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Liquidation Preference</w:t>
            </w: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Rate per Annum</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D</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G</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44"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500" w:hanging="492"/>
        <w:spacing w:after="0" w:line="246" w:lineRule="auto"/>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declared and paid dividends of $4.0 million, $5.5 million, $3.9 million, $3.1 million and $4.7 million on its Series D, E, F, G and I Cumulative Redeemable Preferred Stock during the six months ended June 30, 2015 and 2014. The Company declared and paid dividends of $4.5 million on its Series J Convertible Perpetual Preferred Stock during the six months ended June 30, 2015 and 2014. All of the dividends qualified as return of capital for tax reporting purposes. There are no dividend arrearages on any of the preferred shares currently outstanding.</w:t>
      </w:r>
    </w:p>
    <w:p>
      <w:pPr>
        <w:spacing w:after="0" w:line="19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—In order to maintain its election to qualify as a REIT, the Company must currently distribute, at a minimum, an amount equal to 90% of its</w:t>
      </w:r>
      <w:r>
        <w:rPr>
          <w:rFonts w:ascii="Arial" w:cs="Arial" w:eastAsia="Arial" w:hAnsi="Arial"/>
          <w:sz w:val="16"/>
          <w:szCs w:val="16"/>
          <w:b w:val="1"/>
          <w:bCs w:val="1"/>
          <w:color w:val="auto"/>
        </w:rPr>
        <w:t xml:space="preserve"> </w:t>
      </w:r>
      <w:r>
        <w:rPr>
          <w:rFonts w:ascii="Arial" w:cs="Arial" w:eastAsia="Arial" w:hAnsi="Arial"/>
          <w:sz w:val="16"/>
          <w:szCs w:val="16"/>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2013, the Company had $759.8 million of net operating loss carryforwards at the corporate REIT level that can generally be used to offset both ordinary and capital taxable income in future years and will expire through 2033 if unused. The amount of net operating loss carryforwards as of December 31, 2014 will be determined upon finalization of the Company's 2014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2012 Tranche A-2 Facility and 2015 Revolving Credit Facility permit the Company to distribute 100% of its REIT taxable income on an annual basis (prior to deducting certain cumulative net operating loss carryforwards in the case of the 2015 Revolving Credit Facility), for so long as the Company maintains its qualification as a REIT. The 2012 Tranche A-2 Facility and 2015 Revolving Credit Facility restrict the Company from paying any common dividends if it ceases to qualify as a REIT. The Company did not declare or pay any Common Stock dividends for the six months ended June 30, 2015 and 2014.</w:t>
      </w:r>
    </w:p>
    <w:p>
      <w:pPr>
        <w:spacing w:after="0" w:line="16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—In September 2013, the Company's Board of Directors approved an increase in the repurchase limit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previously approved stock repurchase program to $50.0 million. The program authorizes the repurchase of Common Stock from time to time in open market and privately negotiated purchases, including pursuant to one or more trading plans. During the six months ended June 30, 2015, the Company repurchased 44,235 shares of its outstanding Common Stock for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$0.6 million, at an average cost of $12.66 per share. As of June 30, 2015, the Company had up to $28.5 million of Common Stock available to repurchase under its Board authorized stock repurchase program.</w:t>
      </w:r>
    </w:p>
    <w:p>
      <w:pPr>
        <w:spacing w:after="0" w:line="166"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HPU Repurchase</w:t>
      </w:r>
      <w:r>
        <w:rPr>
          <w:rFonts w:ascii="Arial" w:cs="Arial" w:eastAsia="Arial" w:hAnsi="Arial"/>
          <w:sz w:val="16"/>
          <w:szCs w:val="16"/>
          <w:color w:val="auto"/>
        </w:rPr>
        <w:t>—The Company launched a tender offer for its outstanding high performance units during the quarter, which is scheduled to expire</w:t>
      </w:r>
      <w:r>
        <w:rPr>
          <w:rFonts w:ascii="Arial" w:cs="Arial" w:eastAsia="Arial" w:hAnsi="Arial"/>
          <w:sz w:val="16"/>
          <w:szCs w:val="16"/>
          <w:b w:val="1"/>
          <w:bCs w:val="1"/>
          <w:color w:val="auto"/>
        </w:rPr>
        <w:t xml:space="preserve"> </w:t>
      </w:r>
      <w:r>
        <w:rPr>
          <w:rFonts w:ascii="Arial" w:cs="Arial" w:eastAsia="Arial" w:hAnsi="Arial"/>
          <w:sz w:val="16"/>
          <w:szCs w:val="16"/>
          <w:color w:val="auto"/>
        </w:rPr>
        <w:t>on August 12, 2015. Under the current terms, HPU holders can elect to receive $9.30 in cash, 0.7 shares of iStar common stock or a combination thereof for each common stock equivalent underlying their HPUs. The Company has binding commitments from holders representing approximately 61% of the HPUs to tender and not withdraw their units, and an additional 25% of the HPUs have been tendered as of July 30, 2015, but remain subject to withdrawal.</w:t>
      </w:r>
    </w:p>
    <w:p>
      <w:pPr>
        <w:spacing w:after="0" w:line="111"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 Plans and Employee Benefits</w:t>
      </w:r>
    </w:p>
    <w:p>
      <w:pPr>
        <w:spacing w:after="0" w:line="225"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recorded stock-based compensation expense for our Performance Incentive Plans, Long-Term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Plans and Directors' Awards of $3.9 million and $7.2 million for the three and six months ended June 30, 2015, respectively, and $3.2 million and $5.3 million for the three and six months ended June 30, 2014, respectively, in "General and administrative" on the Company's Consolidated Statements of Operations. As of June 30, 2015, there was $2.8 million of total unrecognized compensation cost related to all unvested restricted stock units ("Units") that are expected to be recognized over a weighted average remaining vesting/service period of 1.33 years. As of June 30, 2015, approximately $13.8 million of stock-based compensation was included in "Accounts payable, accrued expenses and other liabilities" on the Company's Consolidated Balance Sheets.</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2015, an aggregate of 3.7 million shares remain available for issuance pursuant to future awards under the Company's 2006 and 2009 Long-Term Incentive Plans.</w:t>
      </w:r>
    </w:p>
    <w:p>
      <w:pPr>
        <w:spacing w:after="0" w:line="12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Performance Incentive Plans</w:t>
      </w:r>
      <w:r>
        <w:rPr>
          <w:rFonts w:ascii="Arial" w:cs="Arial" w:eastAsia="Arial" w:hAnsi="Arial"/>
          <w:sz w:val="18"/>
          <w:szCs w:val="18"/>
          <w:color w:val="auto"/>
        </w:rPr>
        <w:t>—The Company's Performance Incentive Plan ("iPIP") is designed to provide, primarily to senior executives and select</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professionals engaged in the Company's investment activities, long-term compensation which has a direct relationship to the realized returns on investments included in the plan. In May 2014, the Company granted 73 iPIP points for the initial 2013-2014 investment pool and in February 2015, the Company granted an additional 10 points for the 2013-2014 investment pool and 34 iPIP points for the 2015-2016 investment pool. The fair value of points are determined using a model that forecasts the Company's projected investment performance. iPIP is a liability-classified award which will be remeasured each reporting period at fair value until the awards are settled.</w:t>
      </w:r>
    </w:p>
    <w:p>
      <w:pPr>
        <w:spacing w:after="0" w:line="147"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Long-Term Incentive Plans</w:t>
      </w:r>
      <w:r>
        <w:rPr>
          <w:rFonts w:ascii="Arial" w:cs="Arial" w:eastAsia="Arial" w:hAnsi="Arial"/>
          <w:sz w:val="16"/>
          <w:szCs w:val="16"/>
          <w:color w:val="auto"/>
        </w:rPr>
        <w:t>—During the six months ended June 30, 2015, the Company granted 318,482 shares of our Common Stock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as part of annual incentive awards that included a mix of cash and equity awards. The shares are fully-vested and 189,241 shares were issued net of statutory minimum required tax withholdings. The employees are restricted from selling these shares for up to two years from the date of grant.</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2015, the Company granted new stock-based compensation awards to certain employees in the form of long-term incentive awards, comprised of the following:</w:t>
      </w:r>
    </w:p>
    <w:p>
      <w:pPr>
        <w:spacing w:after="0" w:line="130" w:lineRule="exact"/>
        <w:rPr>
          <w:sz w:val="20"/>
          <w:szCs w:val="20"/>
          <w:color w:val="auto"/>
        </w:rPr>
      </w:pPr>
    </w:p>
    <w:p>
      <w:pPr>
        <w:jc w:val="both"/>
        <w:ind w:left="660" w:hanging="247"/>
        <w:spacing w:after="0" w:line="27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64,196 service-based Units were granted on January 30, 2015, representing the right to receive an equivalent number of shares of our Common Stock (after deducting shares for minimum required statutory withholdings) if and when the Units vest. The Units will cliff vest in one installment on December 31, 2017,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June 30, 2015, 62,854 of such service-based Units were outstanding.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60" w:hanging="247"/>
        <w:spacing w:after="0" w:line="28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49,650 target amount of performance-based Units were granted on January 30, 2015. The performance is based on the Company's total shareholder return, or TSR, measured over a performance period ending on December 31, 2017, which is the date the awards cliff vest. Vesting will range from 0% to 200% of the target amount of the award, depending on the Company's TSR performance relative to the NAREIT All REITs Index (one-half of the target amount of the award) and the Russell 2000 Index (one-half of the target amount of the award) during the performance period.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0.75% for risk-free interest rate and 28.14% for expected stock price volatility. As of June 30, 2015, 49,075 of such performance-based Units were outstanding.</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2015, the Company had the following additional stock-based compensation awards outstanding:</w:t>
      </w:r>
    </w:p>
    <w:p>
      <w:pPr>
        <w:spacing w:after="0" w:line="225" w:lineRule="exact"/>
        <w:rPr>
          <w:sz w:val="20"/>
          <w:szCs w:val="20"/>
          <w:color w:val="auto"/>
        </w:rPr>
      </w:pPr>
    </w:p>
    <w:p>
      <w:pPr>
        <w:jc w:val="both"/>
        <w:ind w:left="660" w:hanging="247"/>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63,378 service-based Units, granted on January 10, 2014, representing the right to receive an equivalent number of shares of the Company's Common Stock (after deducting shares for minimum required statutory withholdings) if and when the Units vest. The Units will cliff vest in one installment on December 31, 2016,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8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49,613 target amount of performance-based Units, granted on January 10, 2014 representing the right to receive an equivalent number of shares of the Company's Common Stock (after deducting shares for minimum required statutory withholdings) if and when the Units vest based on the Company’s TSR measured over a performance period ending on December 31, 2016, which is the date the awards cliff vest. Vesting will range from 0% to 200% of the target amount of the awards, depending on the Company’s TSR performance relative to the NAREIT All REITs Index (one-half of the target amount of the award) and the Russell 2000 Index (one-half of the target amount of the award). The Company, as well as any companies not included in the index at the beginning and end of the performance period, are excluded from calculation of the performance of such index. To the extent these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0.76% for risk-free interest rate and 44.84% for expected stock price volatility.</w:t>
      </w:r>
    </w:p>
    <w:p>
      <w:pPr>
        <w:spacing w:after="0" w:line="128" w:lineRule="exact"/>
        <w:rPr>
          <w:rFonts w:ascii="Arial" w:cs="Arial" w:eastAsia="Arial" w:hAnsi="Arial"/>
          <w:sz w:val="16"/>
          <w:szCs w:val="16"/>
          <w:color w:val="auto"/>
        </w:rPr>
      </w:pPr>
    </w:p>
    <w:p>
      <w:pPr>
        <w:jc w:val="both"/>
        <w:ind w:left="660" w:hanging="247"/>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194,582 service-based Units, granted on February 1, 2013, representing the right to receive an equivalent number of shares of the Company's Common Stock (after deducting shares for minimum required statutory withholdings) if and when the Units vest. The Units will cliff vest in one installment on February 1, 2016,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10,666 service-based Units granted on various dates to employees with an original vesting term of three years. Upon vesting of these units, holders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4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—During the six months ended June 30, 2015, the Company awarded to non-employee Directors 50,360 common stock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("CSEs") and restricted shares at a fair value per share of $14.40 at the time of grant. These CSEs and restricted shares have a one year vesting period and pay dividends, if any, in an amount equal to the dividends paid on the equivalent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number of shares of the Company's Common Stock from the date of grant, as and when dividends are paid on Common Stock. As of June 30, 2015, a total of 280,659 common stock equivalents ("CSEs") and restricted shares of our Common Stock granted to members of the Company's Board of Directors remained outstanding under the Company's Non-Employee Directors Deferral Plan, with an aggregate intrinsic value of $3.7 million.</w:t>
      </w:r>
    </w:p>
    <w:p>
      <w:pPr>
        <w:spacing w:after="0" w:line="162"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$0.1 million and $0.8 million for the three and six months ended June 30, 2015,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and $0.1 million and $0.7 million for the three and six months ended June 30, 2014,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These HPU units are treated as a separate class of common stock.</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earnings per share calculations ($ in thousands, except for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w w:val="97"/>
              </w:rPr>
              <w:t>For the Three Months Ended June 30,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56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(38,131)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(71,599)</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(51,445)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18,355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17,180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39,511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33,674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(12,830)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(12,830)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(25,660)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(25,660)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82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Income (loss) from continuing operations attributable to iStar Financial Inc. and</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allocable to common shareholders, HPU holders and Participating Security</w:t>
            </w:r>
          </w:p>
        </w:tc>
        <w:tc>
          <w:tcPr>
            <w:tcW w:w="140" w:type="dxa"/>
            <w:vAlign w:val="bottom"/>
            <w:shd w:val="clear" w:color="auto" w:fill="CCEEFF"/>
          </w:tcPr>
          <w:p>
            <w:pPr>
              <w:spacing w:after="0"/>
              <w:rPr>
                <w:sz w:val="18"/>
                <w:szCs w:val="18"/>
                <w:color w:val="auto"/>
              </w:rPr>
            </w:pPr>
          </w:p>
        </w:tc>
        <w:tc>
          <w:tcPr>
            <w:tcW w:w="60" w:type="dxa"/>
            <w:vAlign w:val="bottom"/>
            <w:vMerge w:val="restart"/>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(31,977)</w:t>
            </w:r>
          </w:p>
        </w:tc>
        <w:tc>
          <w:tcPr>
            <w:tcW w:w="4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(16,749)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(55,278)</w:t>
            </w:r>
          </w:p>
        </w:tc>
        <w:tc>
          <w:tcPr>
            <w:tcW w:w="4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(44,210)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gridSpan w:val="3"/>
            <w:vMerge w:val="continue"/>
            <w:shd w:val="clear" w:color="auto" w:fill="CCEEFF"/>
          </w:tcPr>
          <w:p>
            <w:pPr>
              <w:spacing w:after="0"/>
              <w:rPr>
                <w:sz w:val="20"/>
                <w:szCs w:val="20"/>
                <w:color w:val="auto"/>
              </w:rPr>
            </w:pPr>
          </w:p>
        </w:tc>
        <w:tc>
          <w:tcPr>
            <w:tcW w:w="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gridSpan w:val="3"/>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11"/>
          </w:tcPr>
          <w:p>
            <w:pPr>
              <w:jc w:val="right"/>
              <w:ind w:right="220"/>
              <w:spacing w:after="0"/>
              <w:rPr>
                <w:sz w:val="20"/>
                <w:szCs w:val="20"/>
                <w:color w:val="auto"/>
              </w:rPr>
            </w:pPr>
            <w:r>
              <w:rPr>
                <w:rFonts w:ascii="Arial" w:cs="Arial" w:eastAsia="Arial" w:hAnsi="Arial"/>
                <w:sz w:val="14"/>
                <w:szCs w:val="14"/>
                <w:b w:val="1"/>
                <w:bCs w:val="1"/>
                <w:color w:val="auto"/>
                <w:w w:val="92"/>
              </w:rPr>
              <w:t>For the Three Months Ended 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8"/>
          </w:tcPr>
          <w:p>
            <w:pPr>
              <w:ind w:left="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tcPr>
          <w:p>
            <w:pPr>
              <w:spacing w:after="0"/>
              <w:rPr>
                <w:sz w:val="22"/>
                <w:szCs w:val="22"/>
                <w:color w:val="auto"/>
              </w:rPr>
            </w:pPr>
          </w:p>
        </w:tc>
        <w:tc>
          <w:tcPr>
            <w:tcW w:w="56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Net income (loss) attributable to iStar Financial Inc. and allocable to common</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Weighted average common shares outstanding for basic and diluted earnings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 common share</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85,541</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84,916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85,519</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Basic and diluted earnings per common share: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Net income (loss) attributable to iStar Financial Inc. and allocable to common</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5900" w:type="dxa"/>
            <w:vAlign w:val="bottom"/>
            <w:gridSpan w:val="2"/>
          </w:tcPr>
          <w:p>
            <w:pPr>
              <w:ind w:left="56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160" w:type="dxa"/>
            <w:vAlign w:val="bottom"/>
          </w:tcPr>
          <w:p>
            <w:pPr>
              <w:spacing w:after="0"/>
              <w:rPr>
                <w:sz w:val="16"/>
                <w:szCs w:val="16"/>
                <w:color w:val="auto"/>
              </w:rPr>
            </w:pPr>
          </w:p>
        </w:tc>
        <w:tc>
          <w:tcPr>
            <w:tcW w:w="240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59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High Performance Units: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Net income (loss) attributable to iStar Financial Inc. and allocable to HPU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Weighted average High Performance Units outstanding for basic and diluted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Basic and diluted earnings per HPU share:</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Net income (loss) attributable to iStar Financial Inc. and allocable to HPU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r>
      <w:tr>
        <w:trPr>
          <w:trHeight w:val="27"/>
        </w:trPr>
        <w:tc>
          <w:tcPr>
            <w:tcW w:w="5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six months ended June 30, 2015 and 2014, the following shares were not included in the diluted EPS calculation because they were anti-dilutive (in thousands)(1):</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7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264"/>
        </w:trPr>
        <w:tc>
          <w:tcPr>
            <w:tcW w:w="62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Joint venture shares</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3.00% convertible senior unsecured notes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16,992</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16,992</w:t>
            </w: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16,992</w:t>
            </w:r>
          </w:p>
        </w:tc>
      </w:tr>
      <w:tr>
        <w:trPr>
          <w:trHeight w:val="27"/>
        </w:trPr>
        <w:tc>
          <w:tcPr>
            <w:tcW w:w="6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J convertible perpetual preferred stock</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1.50% convertible senior unsecured notes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11,567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the three and six months ended June 30, 2015 and 2014, the effect of the Company's unvested Units, performance-based Units, CSEs and restricted stock awards were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 Using</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180" w:type="dxa"/>
            <w:vAlign w:val="bottom"/>
          </w:tcPr>
          <w:p>
            <w:pPr>
              <w:spacing w:after="0"/>
              <w:rPr>
                <w:sz w:val="13"/>
                <w:szCs w:val="13"/>
                <w:color w:val="auto"/>
              </w:rPr>
            </w:pPr>
          </w:p>
        </w:tc>
        <w:tc>
          <w:tcPr>
            <w:tcW w:w="118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prices in</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1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2015</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Impaired loans(2)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32,200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Impaired real estate(3)</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Derivative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6,361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Impaired loans(4)</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37,169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Impaired real estate(5)</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fair value of the Company's available-for-sale securities are based upon third-party broker quotes.</w:t>
      </w:r>
    </w:p>
    <w:p>
      <w:pPr>
        <w:spacing w:after="0" w:line="55" w:lineRule="exact"/>
        <w:rPr>
          <w:rFonts w:ascii="Arial" w:cs="Arial" w:eastAsia="Arial" w:hAnsi="Arial"/>
          <w:sz w:val="14"/>
          <w:szCs w:val="14"/>
          <w:color w:val="auto"/>
        </w:rPr>
      </w:pPr>
    </w:p>
    <w:p>
      <w:pPr>
        <w:ind w:left="500" w:hanging="492"/>
        <w:spacing w:after="0" w:line="303"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 recorded a provision for loan losses on one loan with a fair value of $24.2 million based on the expected proceeds to be received from the borrower. The Company also recorded a provision for loan losses on one loan with a fair value of $8.0 million based on a discount rate of 12.6% using discounted cash flows over a six month term.</w:t>
      </w: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 recorded impairment on one real estate asset with a fair value of $1.2 million based on a discount rate of 11% using discounted cash flows over a six year hold period.</w:t>
      </w:r>
    </w:p>
    <w:p>
      <w:pPr>
        <w:spacing w:after="0" w:line="66" w:lineRule="exact"/>
        <w:rPr>
          <w:rFonts w:ascii="Arial" w:cs="Arial" w:eastAsia="Arial" w:hAnsi="Arial"/>
          <w:sz w:val="13"/>
          <w:szCs w:val="13"/>
          <w:color w:val="auto"/>
        </w:rPr>
      </w:pPr>
    </w:p>
    <w:p>
      <w:pPr>
        <w:jc w:val="both"/>
        <w:ind w:left="500" w:hanging="492"/>
        <w:spacing w:after="0" w:line="252"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Company recorded a recovery of loan losses on one loan with a fair value of $8.5 million based on the loan's remaining term of 1.5 years and interest rate of 4.7% using discounted cash flow analysis. The Company also recorded a provision for loan losses on one loan with a fair value of $5.2 million based on an appraisal. In addition, the Company recorded a provision for loan losses on one loan, collateralized by a land asset, with a fair value of $23.5 million based upon a foreclosure sale agreement. The land asset was acquired by an unconsolidated entity in which the Company is a partner.</w:t>
      </w:r>
    </w:p>
    <w:p>
      <w:pPr>
        <w:spacing w:after="0" w:line="26"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Company recorded impairment on one real estate asset with a fair value of $7.1 million based on a discount rate of 15.0% using discounted cash flows over a 10 year lease term.</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color w:val="auto"/>
        </w:rPr>
        <w:t>Fair values of financial instruments—</w:t>
      </w:r>
      <w:r>
        <w:rPr>
          <w:rFonts w:ascii="Arial" w:cs="Arial" w:eastAsia="Arial" w:hAnsi="Arial"/>
          <w:sz w:val="18"/>
          <w:szCs w:val="18"/>
          <w:color w:val="auto"/>
        </w:rPr>
        <w:t>The Company's estimated fair values of its loans receivable and other lending investments, debt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participations payable were $1.6 billion, $4.3 billion, and $0.1 billion, respectively, as of June 30, 2015 and $1.4 billion, $4.1 billion, and $0.0 billion, respectively, as of December 31, 2014.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determined that it has four reportable segments based on how management reviews and manages its business. These reportable segments include: Real Estate Finance, Net Lease, Operating Properties and Land &amp; Development.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all of the Company's activities and operations related to its commercial and residential properties. The Land &amp; Development segment includes the Company's activities related to its developable land portfolio. The Company evaluates performance based on the following financial measures for each segment. The Company's segment information is as follows ($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Land &amp;</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37,781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1,097</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2,358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18,355</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3,455</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136,325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16,614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9,607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(12,079)</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21,367</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19,151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19,151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50,983</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2014</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37,674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60,967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35,127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29,262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22,651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24,093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54,170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24,334</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171,116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(5,140)</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(56,530)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(23,427)</w:t>
            </w:r>
          </w:p>
        </w:tc>
        <w:tc>
          <w:tcPr>
            <w:tcW w:w="0" w:type="dxa"/>
            <w:vAlign w:val="bottom"/>
          </w:tcPr>
          <w:p>
            <w:pPr>
              <w:spacing w:after="0"/>
              <w:rPr>
                <w:sz w:val="1"/>
                <w:szCs w:val="1"/>
                <w:color w:val="auto"/>
              </w:rPr>
            </w:pPr>
          </w:p>
        </w:tc>
      </w:tr>
      <w:tr>
        <w:trPr>
          <w:trHeight w:val="257"/>
        </w:trPr>
        <w:tc>
          <w:tcPr>
            <w:tcW w:w="3700" w:type="dxa"/>
            <w:vAlign w:val="bottom"/>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33,565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8,309</w:t>
            </w:r>
          </w:p>
        </w:tc>
        <w:tc>
          <w:tcPr>
            <w:tcW w:w="140" w:type="dxa"/>
            <w:vAlign w:val="bottom"/>
            <w:tcBorders>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42,304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Land &amp;</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18,822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32,138</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2015:</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74,120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40,730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115,291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68,625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2,101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23,325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4,128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15,332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39,511</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86,197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91,887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6,229</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276,885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(75,989)</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(17,745)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(110,456)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(34,154)</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34,230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34,200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(25,818)</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41,133</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23,444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23,444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83,802</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2014</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76,555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46,118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123,075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63,041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2,762</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43,846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25,583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33,674</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78,436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101,280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28,345</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299,536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(83,167)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(11,116)</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(113,986)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Segment profit (loss)(3)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42,906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17,982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967</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49,067</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6,279</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37,435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4"/>
                <w:szCs w:val="14"/>
                <w:color w:val="auto"/>
              </w:rPr>
            </w:pPr>
          </w:p>
        </w:tc>
        <w:tc>
          <w:tcPr>
            <w:tcW w:w="9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Land &amp;</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Corporate/Other(1)</w:t>
            </w:r>
          </w:p>
        </w:tc>
        <w:tc>
          <w:tcPr>
            <w:tcW w:w="140" w:type="dxa"/>
            <w:vAlign w:val="bottom"/>
            <w:tcBorders>
              <w:right w:val="single" w:sz="8" w:color="auto"/>
            </w:tcBorders>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Finance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Development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59,048</w:t>
            </w:r>
          </w:p>
        </w:tc>
        <w:tc>
          <w:tcPr>
            <w:tcW w:w="0" w:type="dxa"/>
            <w:vAlign w:val="bottom"/>
          </w:tcPr>
          <w:p>
            <w:pPr>
              <w:spacing w:after="0"/>
              <w:rPr>
                <w:sz w:val="1"/>
                <w:szCs w:val="1"/>
                <w:color w:val="auto"/>
              </w:rPr>
            </w:pPr>
          </w:p>
        </w:tc>
      </w:tr>
      <w:tr>
        <w:trPr>
          <w:trHeight w:val="297"/>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2015</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1,163,350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2,538,816</w:t>
            </w: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138,187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147,126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288,021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648,653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2,826,837</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1,567,296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1,567,296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94,691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289,500</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1,567,296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1,236,467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660,044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1,125,135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94,691</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4,683,633</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989,730</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5,673,363</w:t>
            </w:r>
          </w:p>
        </w:tc>
        <w:tc>
          <w:tcPr>
            <w:tcW w:w="0" w:type="dxa"/>
            <w:vAlign w:val="bottom"/>
          </w:tcPr>
          <w:p>
            <w:pPr>
              <w:spacing w:after="0"/>
              <w:rPr>
                <w:sz w:val="1"/>
                <w:szCs w:val="1"/>
                <w:color w:val="auto"/>
              </w:rPr>
            </w:pPr>
          </w:p>
        </w:tc>
      </w:tr>
      <w:tr>
        <w:trPr>
          <w:trHeight w:val="284"/>
        </w:trPr>
        <w:tc>
          <w:tcPr>
            <w:tcW w:w="3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Real estate,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1,188,160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628,271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860,283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2,676,714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285,982</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1,192,681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791,053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978,962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2,962,696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1,377,843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1,377,843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109,384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354,119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1,377,843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1,318,041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804,273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1,085,117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109,384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4,694,658</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768,475</w:t>
            </w: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5,463,133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line="250"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500" w:hanging="492"/>
        <w:spacing w:after="0" w:line="241"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$3.9 million and $7.2 million for the three and six months ended June 30, 2015 and $3.2 million and $5.3 million for the three and six months ended June 30, 2014, respectively.</w:t>
      </w:r>
    </w:p>
    <w:p>
      <w:pPr>
        <w:ind w:left="500" w:hanging="49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to net income (loss) ($ in thousands):</w:t>
      </w: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4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r>
      <w:tr>
        <w:trPr>
          <w:trHeight w:val="25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21,367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49,067</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Less: (Provision for) recovery of loan losses</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(19,151)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2,792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(23,444)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6,192</w:t>
            </w:r>
          </w:p>
        </w:tc>
      </w:tr>
      <w:tr>
        <w:trPr>
          <w:trHeight w:val="2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(7,186)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(5,271)</w:t>
            </w:r>
          </w:p>
        </w:tc>
      </w:tr>
      <w:tr>
        <w:trPr>
          <w:trHeight w:val="2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(37,435)</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Less: Income tax (expense) benefit</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(6,688)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722</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(24,767)</w:t>
            </w:r>
          </w:p>
        </w:tc>
      </w:tr>
      <w:tr>
        <w:trPr>
          <w:trHeight w:val="243"/>
        </w:trPr>
        <w:tc>
          <w:tcPr>
            <w:tcW w:w="41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(32,088)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(17,771)</w:t>
            </w:r>
          </w:p>
        </w:tc>
      </w:tr>
      <w:tr>
        <w:trPr>
          <w:trHeight w:val="20"/>
        </w:trPr>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2014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2014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Financial Inc., doing business as "iStar", finances, invests in and develops real estate and real estate related projects as part of its fully-integrated investment platform. The Company has invested more than $35 billion over the past two decades and is structured as a real estate investment trust, or "REIT", with a diversified portfolio focused on larger assets located in major metropolitan markets. Our primary business segments are real estate finance, net lease, operating properties and land &amp; development.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conjunction with improving economic and commercial real estate market conditions, we have continued to make meaningful progress towards achieving a number of our strategic corporate objectives. We have continued to originate investments primarily within our core business segments of real estate finance and net lease, which we anticipate should drive future revenue growth. Through strategic ventures, we have partnered with other providers of capital within our net lease segment and with developers with specific product expertise within our land segment. In addition, we have made significant investments within our operating property and land portfolios in order to better position assets for sale.</w:t>
      </w:r>
    </w:p>
    <w:p>
      <w:pPr>
        <w:spacing w:after="0" w:line="13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Access to the capital markets has allowed us to extend our debt maturity profile, lower our cost of capital and become primarily an unsecured borrower. In 2014, we fully repaid our largest secured credit facility using proceeds from unsecured notes issuances. This repayment unencumbered $2.0 billion of collateral and provides us with additional liquidity as we now retain 100% of the proceeds from sales and repayments of these previously encumbered assets, rather than directing them to repay the facility. During the first quarter of 2015, we entered into a secured revolving credit facility with a maximum capacity of $250.0 million. At June 30, 2015, we had $637.1 million of cash, which we expect to be used primarily to fund future investment activities.</w:t>
      </w:r>
    </w:p>
    <w:p>
      <w:pPr>
        <w:spacing w:after="0" w:line="11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three months ended June 30, 2015,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assets in order to maximize their value. We intend to continue these efforts, with the objective of having these assets contribute positively to earnings in the future. For the three months ended June 30, 2015, we recorded net loss allocable to common shareholders of $(31.0) million, compared to a loss of $(16.2) million during the same period in the prior year. Adjusted income (loss) allocable to common shareholders for the quarter ended June 30, 2015 was $9.8 million, compared to $28.9 million during the same period in the prior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2015 compared to the Three Months Ended June 30, 2014</w:t>
      </w:r>
    </w:p>
    <w:p>
      <w:pPr>
        <w:spacing w:after="0" w:line="342"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13335</wp:posOffset>
            </wp:positionV>
            <wp:extent cx="1938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35,127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sales revenue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4,487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56,530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26,623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(recovery of)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21,943</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155,246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151,338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24,093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$56.2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2015 from $61.0 million for the same period in 2014.</w:t>
      </w:r>
    </w:p>
    <w:p>
      <w:pPr>
        <w:spacing w:after="0" w:line="1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Operating lease income from net lease assets increased to $37.8 million during the three months ended June 30, 2015 from $37.7 million for the same period in 2014. This increase was primarily due to the execution of a new lease within our portfolio. Our consolidated net lease assets generated an unleveraged yield of 7.69% for the three months ended June 30, 2015 as compared to 8.01% for the same period in 2014. Operating lease income for same store net lease assets, defined as net lease assets we owned on or prior to April 1, 2014 and were in service through June 30, 2015, increased to $36.3 million during the three months ended June 30, 2015 from $35.5 million for the same period in 2014. This increase was primarily due to an increase in rent per occupied square foot for same store net lease assets to $9.86 for the three months ended June 30, 2015 from $9.68 for the same period in 2014 and an increase in the occupancy rate for same store net lease assets to 95.4% at June 30, 2015 from 92.8% at June 30, 2014.</w:t>
      </w:r>
    </w:p>
    <w:p>
      <w:pPr>
        <w:spacing w:after="0" w:line="17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Operating lease income from commercial operating properties decreased to $18.0 million during the three months ended June 30, 2015 from $22.2 million for the same period in 2014. This decrease was primarily due to the sale of a leasehold interest in 2015 and the sale of a commercial operating property in 2014, offset by additional operating lease income from the acquisition of three commercial operating properties in 2014. Operating lease income for same store commercial operating properties, defined as commercial operating properties, excluding hotels, we owned on or prior to April 1, 2014 and were in service through June 30, 2015, decreased to $15.8 million during the three months ended June 30, 2015 from $15.9 million for the same period in 2014 due primarily to a decline in rent per occupied square foot for same store commercial operating properties, which was $22.99 for the three months ended June 30, 2015 and $24.30 for the same period in 2014. The decline was offset by an increase in occupancy rates for same store commercial operating properties, which increased to 63.6% at June 30, 2015 from 61.1% at June 30, 2014. Ancillary operating lease income for residential operating properties decreased by $0.9 million from the three months ended June 30, 2015 to the same period in 2014 due primarily to sales of residential units.</w:t>
      </w:r>
    </w:p>
    <w:p>
      <w:pPr>
        <w:spacing w:after="0" w:line="1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income decreased to $33.7 million during the three months ended June 30, 2015 as compared to $35.1 million for the same period in 2014. The decrease was due primarily to $5.0 million of income recognition related to the amortization of 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discount associated with the acquisition of a loan in 2014 and the classification of a performing loan to non-performing status offset by increases in the portfolio balance and interest rates on performing loans. New investment originations and additional fundings of existing loans increased our average balance of performing loans to $1.55 billion during the three months ended June 30, 2015 from $1.36 billion for the same period in 2014. The weighted average yield of our performing loans increased to 8.7% for the three months ended June 30, 2015 from 8.5% for the same period in 2014 due primarily to higher interest rates on new loan originations in 2014 and 2015 and payoffs of loans with lower interest rates.</w:t>
      </w:r>
    </w:p>
    <w:p>
      <w:pPr>
        <w:spacing w:after="0" w:line="13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Other income decreased to $12.8 million during the three months ended June 30, 2015 as compared to $29.3 million for the same period in 2014. The decrease was primarily due to gains on sales of non-performing loans of $19 million during the three months ended June 30, 2014. The decrease was offset in part by $2.6 million received on an operating property guarantor settlement during the three months ended June 30, 2015.</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Land development sales revenue and cost of sales</w:t>
      </w:r>
      <w:r>
        <w:rPr>
          <w:rFonts w:ascii="Arial" w:cs="Arial" w:eastAsia="Arial" w:hAnsi="Arial"/>
          <w:sz w:val="18"/>
          <w:szCs w:val="18"/>
          <w:color w:val="auto"/>
        </w:rPr>
        <w:t>—During the three months ended June 30, 2015, we sold residential lots from three of our master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planned community properties, condominium units from an infill property and residential lots from a waterfront property for proceeds of $6.5 million which had associated cost of sales of $5.3 million. During the three months ended June 30, 2014, we sold residential lots from two of our master planned community properties for proceeds of $4.5 million which had associated cost of sales of $3.6 million.</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to $55.8 million during the three months ended June 30, 2015 as compared to $56.5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2014 due to a lower weighted average cost of debt. The average outstanding balance of our debt obligations increased to $4.13 billion for the three months ended June 30, 2015 from $4.08 billion for the same period in 2014. Our weighted average effective cost of debt decreased to 5.39% for the three months ended June 30, 2015 from 5.48% for the same period in 2014.</w:t>
      </w:r>
    </w:p>
    <w:p>
      <w:pPr>
        <w:spacing w:after="0" w:line="14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Real estate expenses decreased to $36.4 million during the three months ended June 30, 2015 as compared to $40.6 million for the same period in 2014. Expenses for net lease assets were $5.5 million in the three months ended June 30, 2015 and 2014. During the three months ended June 30, 2015, expenses for same store net lease assets increased to $5.4 million from $5.2 million for the same period in 2014. Expenses for commercial operating properties decreased to $20.1 million during the three months ended June 30, 2015 from $21.1 million for the same period in 2014. This decrease was primarily due to the sale of a leasehold interest in an operating property during 2015, offset by the acquisition of three commercial operating properties during 2014. During the three months ended June 30, 2015, expenses for same store commercial operating properties, excluding hotels, increased to $10.6 million from $10.1 million for the same period in 2014 due primarily to an increase in non-recurring expenses at a property and repairs and maintenance at another property. Additionally, expenses for hotel properties were $5.5 million for the three months ended June 30, 2015 and 2014. Expenses associated with residential units decreased to $3.8 million during the three months ended June 30, 2015 from $7.8 million for the same period in 2014 due to the sale of residential units since June 30, 2014. Carry costs and other expenses on our land assets increased to $7.1 million during the three months ended June 30, 2015 as compared to $6.1 million for the same period in 2014, primarily due to an increase in costs incurred on certain land assets prior to development.</w:t>
      </w:r>
    </w:p>
    <w:p>
      <w:pPr>
        <w:spacing w:after="0" w:line="1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decreased to $15.5 million during the three months ended June 30, 2015 as compared to $18.8 million for the same period in 2014 primarily due to the sale of a leasehold interest of an operating property in the three months ended March 31, 2015 and accelerated depreciation related to terminated leases during the three months ended June 30, 2014.</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 and administrative expenses decreased to $20.6 million during the three months ended June 30, 2015 as compared to $26.6 million for the same period in 2014 primarily due to an expected decrease in compensation related costs pertaining to annual performance based bonuses based on performance to date.</w:t>
      </w:r>
    </w:p>
    <w:p>
      <w:pPr>
        <w:spacing w:after="0" w:line="14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net provision for loan losses was $19.2 million during the three months ended June 30, 2015 as compared to a net recovery of loan losses of $2.8 million for the same period in 2014. Included in the net provision for the three months ended June 30, 2015 were provisions for specific reserves of $30.0 million due primarily to a new non-performing loan, offset by a decrease of $10.9 million in the general reserve due to an overall improvement in the risk ratings of our loan portfolio. Included in the net recovery for the three months ended June 30, 2014 were recoveries of previously recorded loan loss reserves of $2.4 million and a reduction of $0.4 million in the general reserve due primarily to an overall improvement in risk ratings of our loans.</w:t>
      </w:r>
    </w:p>
    <w:p>
      <w:pPr>
        <w:spacing w:after="0" w:line="13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expense decreased to $0.9 million during the three months ended June 30, 2015 from $4.7 million for the same period in 2014. During the quarter ended June 30, 2014, in connection with the full repayment and termination of our February 2013 Secured Credit Facility, we realized $3.6 million of expense from other comprehensive loss as a portion of an interest rate cap related to our variable rate debt was no longer expected to be highly effective.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three months ended June 30, 2015, we recorded an impairment on a real estate asset totaling $1.7 million resulting from a change in business strategy for a commercial operating property. During the three months ended June 30, 2014, we recorded impairments on real estate assets totaling $3.3 million resulting from a change in business strategy for a residential property.</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Loss on early extinguishment of debt, net</w:t>
      </w:r>
      <w:r>
        <w:rPr>
          <w:rFonts w:ascii="Arial" w:cs="Arial" w:eastAsia="Arial" w:hAnsi="Arial"/>
          <w:sz w:val="17"/>
          <w:szCs w:val="17"/>
          <w:color w:val="auto"/>
        </w:rPr>
        <w:t>—During the three months ended June 30, 2015, we incurred $0.1 million of net losses on the early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extinguishment of debt primarily related to accelerated amortization of discounts and fees in connection with amortization payments of our October 2012 Secured Credit Facility. During the three months ended June 30, 2014, we incurred losses on early extinguishment of debt of $23.6 million, which were primarily associated with accelerated amortization of discount and fees related to the payoff of our February 2013 Secured Credit Facility.</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Earnings from equity method investments</w:t>
      </w:r>
      <w:r>
        <w:rPr>
          <w:rFonts w:ascii="Arial" w:cs="Arial" w:eastAsia="Arial" w:hAnsi="Arial"/>
          <w:sz w:val="16"/>
          <w:szCs w:val="16"/>
          <w:color w:val="auto"/>
        </w:rPr>
        <w:t>—Earnings from equity method investments decreased to $8.8 million during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2015 as compared to $24.1 million for the same period in 2014. During the three months ended June 30, 2015, $5.1 million related to sales activity on a land development venture and $1.7 million related to earnings from additional properties held within our Net Lease Venture. For the three months ended June 30, 2014, we recognized $23.4 million of earnings from equity method investments resulting from asset sales by one of our equity method investees.</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Income from sales of real estate</w:t>
      </w:r>
      <w:r>
        <w:rPr>
          <w:rFonts w:ascii="Arial" w:cs="Arial" w:eastAsia="Arial" w:hAnsi="Arial"/>
          <w:sz w:val="17"/>
          <w:szCs w:val="17"/>
          <w:color w:val="auto"/>
        </w:rPr>
        <w:t>—Income from sales of real estate increased to $18.4 million during the three months ended June 30, 2015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$17.2 million for the same period in 2014. During the three months ended June 30, 2015 and 2014, we sold residential condominiums for total net proceeds of $42.1 million and $47.1 million, respectively, that resulted in income of $13.2 million and $17.2 million, respectively. During the three months ended June 30, 2015, we also sold six net lease assets for total net proceeds of $20.7 million that resulted in a total gain of $5.1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2015 compared to the Six Months Ended June 30, 2014</w:t>
      </w:r>
    </w:p>
    <w:p>
      <w:pPr>
        <w:spacing w:after="0" w:line="342"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13335</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68,625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63,041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5,584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sales revenue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8,630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72 %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238,592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110,456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113,986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46,411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(recovery of) loan losses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29,636</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of assets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302,073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293,262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27,270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33,674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$115.3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2015 from $123.1 million for the same period in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Operating lease income from net lease assets decreased to $74.1 million during the six months ended June 30, 2015 from $76.6 million for the same period in 2014. This decrease was primarily due to the sale of assets to our Net Lease Venture and other asset sales, offset by the execution of new leases. Our consolidated net lease assets generated an unleveraged yield of 7.64% for the six months ended June 30, 2015 as compared to 7.85% for the same period in 2014. Operating lease income for same store net lease assets, defined as net lease assets we owned on or prior to January 1, 2014 and were in service through June 30, 2015, increased to $72.4 million during the six months ended June 30, 2015 from $70.9 million for the same period in 2014. This increase was primarily due to an increase in rent per occupied square foot for same store net lease assets to $9.82 for the six months ended June 30, 2015 from $9.66 for the same period in 2014 and an increase in the occupancy rate for same store net lease assets to 95.4% at June 30, 2015 from 92.8% at June 30, 2014.</w:t>
      </w:r>
    </w:p>
    <w:p>
      <w:pPr>
        <w:spacing w:after="0" w:line="16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Operating lease income from commercial operating properties decreased to $40.5 million during the six months ended June 30, 2015 from $43.9 million for the same period in 2014. This decrease was primarily due to the sale of a leasehold interest in an operating property, other asset sales and lease terminations, offset by additional operating lease income due to the acquisition of three commercial operating properties in 2014 and certain new leases in 2015. Operating lease income for same store commercial operating properties, defined as commercial operating properties, excluding hotels, we owned on or prior to January 1, 2014 and were in service through June 30, 2015, decreased to $31.5 million during the six months ended June 30, 2015 from $32.4 million for the same period in 2014 due primarily to a decline in rent per occupied square foot for same store commercial operating properties, which was $22.98 for the six months ended June 30, 2015 and $24.72 for the same period in 2014. The decline was partially offset by an increase in occupancy rates for same store commercial operating properties, which increased to 63.6% at June 30, 2015 from 61.1% at June 30, 2014. Ancillary operating lease income for residential operating properties decreased by $2.0 million from the six months ended June 30, 2015 as compared to the same period in 2014 due primarily to sales of residential units.</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Interest income increased to $68.6 million during the six months ended June 30, 2015 as compared to $63.0 million for the same period in 2014. The increase was due primarily to increases in the portfolio balance and interest rates on performing loans, offset by $5.0 million of income recognition related to the amortization of a discount associated with the acquisition of a loan in 2014. New investment originations and additional fundings of existing loans raised our average balance of performing loans to $1.52 billion during the six months ended June 30, 2015 from $1.33 billion for the same period in 2014. The weighted average yield of our performing loans increased to 9.1% for the six months ended June 30, 2015 from 8.6% for the same period in 2014 due primarily to higher interest rates for new loan originations in 2014 and 2015 and payoffs of loans with lower interest rates.</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income decreased to $23.3 million during the six months ended June 30, 2015 as compared to $43.8 million for the same period in 2014. The decrease was primarily due to gains on sales of non-performing loans of $19.0 million and $5.3 million of income related to a lease modification received during the six months ended June 30, 2014. The decrease was offset in part by $2.6 million received on an operating property guarantor settlement during the six months ended June 30, 2015 and an additional $2.1 million in ancillary income from commercial operating properties for which we acquired title during the six months ended June 30, 2014.</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Land development sales revenue and cost of sales</w:t>
      </w:r>
      <w:r>
        <w:rPr>
          <w:rFonts w:ascii="Arial" w:cs="Arial" w:eastAsia="Arial" w:hAnsi="Arial"/>
          <w:sz w:val="17"/>
          <w:szCs w:val="17"/>
          <w:color w:val="auto"/>
        </w:rPr>
        <w:t>—During the six months ended June 30, 2015, we sold residential lots from three of our master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planned community properties, condominium units from an infill property, residential lots from a waterfront property and residential lots from another infill property for proceeds of $14.8 million which had associated cost of sales of $12.1 million. During the six months ended June 30, 2014, we sold residential lots from two of our master planned community properties for proceeds of $8.6 million which had associated cost of sales of $7.3 million.</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to $110.5 million during the six months ended June 30, 2015 as compared to $114.0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2014 due to a lower weighted average cost of debt. The average outstanding balance of our debt was $4.08 billion for the six months ended June 30, 2015 and $4.10 billion for the same period in 2014. Our weighted average effective cost of debt decreased to 5.51% for the six months ended June 30, 2015 from 5.52% for the same period in 2014.</w:t>
      </w:r>
    </w:p>
    <w:p>
      <w:pPr>
        <w:spacing w:after="0" w:line="14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Real estate expenses decreased to $76.0 million during the six months ended June 30, 2015 as compared to $83.2 million for the same period in 2014. Expenses for net lease assets decreased to $10.8 million during the six months ended June 30, 2015 from $11.2 million for the same period in 2014. This decrease was primarily due to the sale of an asset to our Net Lease Venture during 2014. Expenses for same store net lease assets were $10.6 million during the six months ended June 30, 2015 and 2014. Expenses for commercial operating properties decreased to $42.7 million during the six months ended June 30, 2015 from $43.5 million for the same period in 2014. This decrease was primarily due to the sale of a leasehold interest in an operating property in 2015, the sale of a commercial operating property in 2014 and expense decreases at various properties, offset by additional expenses due to the acquisition of three commercial operating properties during 2014. During the six months ended June 30, 2015, expenses for same store commercial operating properties, excluding hotels, decreased to $21.3 million from $21.9 million for the same period in 2014 due primarily to lease terminations in 2014. Additionally, expenses for hotel properties decreased to $11.1</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million during the six months ended June 30, 2015 from $12.4 million for the same period in 2014 due primarily to the conversion of hotel rooms to residential units being sold at a hotel property. Expenses associated with residential units decreased to $8.7 million during the six months ended June 30, 2015 from $14.1 million for the same period in 2014 due to the sale of residential units since June 30, 2014, offset by increased marketing costs at a residential property. Carry costs and other expenses on our land assets decreased to $14.1 million during the six months ended June 30, 2015 as compared to $14.4 million for the same period in 2014, primarily related to a decrease in legal costs on two assets partially offset by a net increase in predevelopment costs at certain assets.</w:t>
      </w:r>
    </w:p>
    <w:p>
      <w:pPr>
        <w:spacing w:after="0" w:line="15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decreased to $34.0 million during the six months ended June 30, 2015 as compared to $37.4 million for the same period in 2014 primarily due to the sale of a leasehold interest in an operating property during the six months ended June 30, 2015 and accelerated depreciation related to terminated leases during the six months ended June 30, 2014.</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 and administrative expenses decreased to $41.3 million during the six months ended June 30, 2015 as compared to $46.4 million for the same period in 2014 primarily due to an expected decrease in compensation related costs pertaining to annual performance based bonuses based on performance to date.</w:t>
      </w:r>
    </w:p>
    <w:p>
      <w:pPr>
        <w:spacing w:after="0" w:line="14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net provision for loan losses was $23.4 million during the six months ended June 30, 2015 as compared to a net recovery of loan losses of $6.2 million for the same period in 2014. Included in the net provision for the six months ended June 30, 2015 were provisions for specific reserves of $29.8 million due primarily to a new non-performing loan, offset by a decrease of $6.4 million in the general reserve due to an overall improvement in the risk ratings of our loan portfolio. Included in the net recovery for the six months ended June 30, 2014 were recoveries of previously recorded loan loss reserves of $7.6 million offset by an increase of $1.4 million in the general reserve due primarily to new investment originations.</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expense decreased to $3.0 million during the six months ended June 30, 2015 from $4.9 million for the same period in 2014. During the six months ended June 30, 2015, we recognized $2.6 million of losses relating to a decrease in the fair value of an interest rate cap that is not designated as an interest rate hedge. During the six months ended June 30, 2014, in connection with the full repayment and termination of our February 2013 Secured Credit Facility, we realized $3.6 million of expense from other comprehensive loss as a portion of an interest rate cap related to our variable rate debt was no longer designated as an interest rate hedge.</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six months ended June 30, 2015, we recorded an impairment on a real estate asset totaling $1.7 million resulting from a change in business strategy for a commercial operating property. During the six months ended June 30, 2014, we recorded impairments on real estate assets totaling $6.3 million resulting from a change in business strategy for a residential property and resulting from the sale of a net lease asset.</w:t>
      </w:r>
    </w:p>
    <w:p>
      <w:pPr>
        <w:spacing w:after="0" w:line="16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Loss on early extinguishment of debt, net</w:t>
      </w:r>
      <w:r>
        <w:rPr>
          <w:rFonts w:ascii="Arial" w:cs="Arial" w:eastAsia="Arial" w:hAnsi="Arial"/>
          <w:sz w:val="17"/>
          <w:szCs w:val="17"/>
          <w:color w:val="auto"/>
        </w:rPr>
        <w:t>—During the six months ended June 30, 2015, we incurred $0.2 million of net losses on the early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extinguishment of debt primarily related to accelerated amortization of discounts and fees in connection with amortization payments of our October 2012 Secured Credit Facility. During the six months ended June 30, 2014, we incurred losses on early extinguishment of debt of $24.8 million which were primarily associated with accelerated amortization of discount and fees related to the payoff of our February 2013 Secured Credit Facility.</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Earnings from equity method investments</w:t>
      </w:r>
      <w:r>
        <w:rPr>
          <w:rFonts w:ascii="Arial" w:cs="Arial" w:eastAsia="Arial" w:hAnsi="Arial"/>
          <w:sz w:val="17"/>
          <w:szCs w:val="17"/>
          <w:color w:val="auto"/>
        </w:rPr>
        <w:t>—Earnings from equity method investments decreased to $15.3 million during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2015 as compared to $27.3 million for the same period in 2014. During the six months ended June 30, 2015, $9.6 million related to sales activity on a land development venture and $3.3 million related to leasing operations at our Net Lease Venture. For the six months ended June 30, 2014, we recognized $23.4 million of earnings from equity method investments resulting from asset sales by one of our equity method investees.</w:t>
      </w:r>
    </w:p>
    <w:p>
      <w:pPr>
        <w:spacing w:after="0" w:line="17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—Income taxes are primarily generated by assets held in our taxable REIT subsidiaries (“TRS”). Income tax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$6.7 million was recorded during the six months ended June 30, 2015 as compared to a net tax benefit of $0.7 million for the same period in 2014. The period to period difference was due primarily to an increase in gains from condominium sales and percentage of completion income on land development projects.</w:t>
      </w:r>
    </w:p>
    <w:p>
      <w:pPr>
        <w:spacing w:after="0" w:line="1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Income from sales of real estate</w:t>
      </w:r>
      <w:r>
        <w:rPr>
          <w:rFonts w:ascii="Arial" w:cs="Arial" w:eastAsia="Arial" w:hAnsi="Arial"/>
          <w:sz w:val="17"/>
          <w:szCs w:val="17"/>
          <w:color w:val="auto"/>
        </w:rPr>
        <w:t>—Income from sales of real estate increased to $39.5 million during the six months ended June 30, 2015 as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$33.7 million for the same period in 2014. During the six months ended June 30, 2015 and 2014, we sold residential condominiums for total net proceeds of $91.3 million and $94.8 million, respectively, that resulted in income of $30.9 million and $33.7 million, respectively. During the six months ended June 30, 2015, we also sold seven net lease assets for proceeds of $25.6 million resulting in a gain of $8.6 million.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to net income (loss), we use Adjusted income, a non-GAAP financial measure, to measure our operating performance. Adjusted income represents net income (loss) allocable to common shareholders, prior to the effect of depreciation and amortization, provision for (recovery of) loan losses, impairment of assets, stock-based compensation expense and the non-cash portion of gain (loss) on early extinguishment of debt.</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believe Adjusted income is a useful measure to consider, in addition to net income (loss), as it may help investors evaluate our core operating performance prior to certain non-cash items.</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Adjusted income should be examined in conjunction with net income (loss) as shown in our Consolidated Statements of Operations. Adjusted income should not be considered as an alternative to net income (loss) (determined in accordance with GAAP), as an indicator of our performance, or to cash flows from operating activities (determined in accordance with GAAP) as a measure of our liquidity, nor is Adjusted income indicative of funds available to fund our cash needs or available for distribution to shareholders. Rather, Adjusted income is an additional measure for us to use to analyze how our business is performing. It should be noted that our manner of calculating Adjusted income may differ from the calculations of similarly-titled measures by other companies.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6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6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Net income (loss) allocable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(53,502)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(42,779)</w:t>
            </w:r>
          </w:p>
        </w:tc>
      </w:tr>
      <w:tr>
        <w:trPr>
          <w:trHeight w:val="27"/>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amortization(1)</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38,187</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Add/Less: Provision for (recovery of) loan losses</w:t>
            </w:r>
          </w:p>
        </w:tc>
        <w:tc>
          <w:tcPr>
            <w:tcW w:w="1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(6,192)</w:t>
            </w:r>
          </w:p>
        </w:tc>
      </w:tr>
      <w:tr>
        <w:trPr>
          <w:trHeight w:val="27"/>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Impairment of assets(2)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6,279</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Add: Stock-based compensation expense</w:t>
            </w:r>
          </w:p>
        </w:tc>
        <w:tc>
          <w:tcPr>
            <w:tcW w:w="1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3,196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5,271</w:t>
            </w:r>
          </w:p>
        </w:tc>
      </w:tr>
      <w:tr>
        <w:trPr>
          <w:trHeight w:val="27"/>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Loss on early extinguishment of debt,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24,767</w:t>
            </w:r>
          </w:p>
        </w:tc>
      </w:tr>
      <w:tr>
        <w:trPr>
          <w:trHeight w:val="243"/>
        </w:trPr>
        <w:tc>
          <w:tcPr>
            <w:tcW w:w="6040" w:type="dxa"/>
            <w:vAlign w:val="bottom"/>
          </w:tcPr>
          <w:p>
            <w:pPr>
              <w:ind w:left="200"/>
              <w:spacing w:after="0"/>
              <w:rPr>
                <w:sz w:val="20"/>
                <w:szCs w:val="20"/>
                <w:color w:val="auto"/>
              </w:rPr>
            </w:pPr>
            <w:r>
              <w:rPr>
                <w:rFonts w:ascii="Arial" w:cs="Arial" w:eastAsia="Arial" w:hAnsi="Arial"/>
                <w:sz w:val="18"/>
                <w:szCs w:val="18"/>
                <w:color w:val="auto"/>
              </w:rPr>
              <w:t>Less: HPU/Participating Security allocation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7"/>
        </w:trPr>
        <w:tc>
          <w:tcPr>
            <w:tcW w:w="6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(loss) allocable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28,868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18,331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23,322</w:t>
            </w: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ind w:left="500" w:hanging="492"/>
        <w:spacing w:after="0" w:line="250"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Depreciation and amortization also includes our proportionate share of depreciation and amortization expense for equity method investments and excludes the portion of depreciation and amortization expense allocable to noncontrolling interests.</w:t>
      </w:r>
    </w:p>
    <w:p>
      <w:pPr>
        <w:ind w:left="500" w:hanging="492"/>
        <w:spacing w:after="0" w:line="255"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During the six months ended June 30, 2015, impairment of assets includes impairments on cost and equity method investments recorded in "Other income" and "Earnings from equity method investments", respectively, on our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Pr>
          <w:p>
            <w:pPr>
              <w:spacing w:after="0"/>
              <w:rPr>
                <w:sz w:val="22"/>
                <w:szCs w:val="22"/>
                <w:color w:val="auto"/>
              </w:rPr>
            </w:pPr>
          </w:p>
        </w:tc>
        <w:tc>
          <w:tcPr>
            <w:tcW w:w="156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Non-performing loans</w:t>
            </w: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Carrying value(1)</w:t>
            </w:r>
          </w:p>
        </w:tc>
        <w:tc>
          <w:tcPr>
            <w:tcW w:w="3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83,621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65,047</w:t>
            </w:r>
          </w:p>
        </w:tc>
      </w:tr>
      <w:tr>
        <w:trPr>
          <w:trHeight w:val="27"/>
        </w:trPr>
        <w:tc>
          <w:tcPr>
            <w:tcW w:w="4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2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w:t>
            </w:r>
          </w:p>
        </w:tc>
        <w:tc>
          <w:tcPr>
            <w:tcW w:w="2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Asset-specific reserves for loan losses</w:t>
            </w:r>
          </w:p>
        </w:tc>
        <w:tc>
          <w:tcPr>
            <w:tcW w:w="3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94,834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64,990</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As a percentage of gross carrying value of impaired loans</w:t>
            </w:r>
          </w:p>
        </w:tc>
        <w:tc>
          <w:tcPr>
            <w:tcW w:w="2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49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reserve for loan losses</w:t>
            </w:r>
          </w:p>
        </w:tc>
        <w:tc>
          <w:tcPr>
            <w:tcW w:w="3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121,934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98,490</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As a percentage of total loans before loan loss reserves</w:t>
            </w:r>
          </w:p>
        </w:tc>
        <w:tc>
          <w:tcPr>
            <w:tcW w:w="2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648"/>
        </w:trPr>
        <w:tc>
          <w:tcPr>
            <w:tcW w:w="4980" w:type="dxa"/>
            <w:vAlign w:val="bottom"/>
          </w:tcPr>
          <w:p>
            <w:pPr>
              <w:spacing w:after="0"/>
              <w:rPr>
                <w:sz w:val="24"/>
                <w:szCs w:val="24"/>
                <w:color w:val="auto"/>
              </w:rPr>
            </w:pPr>
          </w:p>
        </w:tc>
        <w:tc>
          <w:tcPr>
            <w:tcW w:w="2780" w:type="dxa"/>
            <w:vAlign w:val="bottom"/>
          </w:tcPr>
          <w:p>
            <w:pPr>
              <w:jc w:val="right"/>
              <w:ind w:right="187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of June 30, 2015 and December 31, 2014, carrying values of non-performing loans are net of asset-specific reserves for loan losses of $94.6 million and $64.2 million, respectively.</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June 30, 2015, we had non-performing loans with an aggregate carrying value of $83.6 million compared to non-performing loans of $65.0 million at December 31, 2014. We expect that our level of non-performing loans will fluctuate from period to period.</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was $121.9 million as of June 30, 2015, or 8.0% of total loans, compared to $98.5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7.6% at December 31, 2014. For the six months ended June 30, 2015, the provision for loan losses includes provisions for specific reserves of $29.8 million offset by a decrease of $6.4 million in the general reserve due primarily to an overall improvement in the weighted-average risk ratings of performing loans. We expect that our level of reserve for loan losses will fluctuate from period to period. Due to the volatility of the commercial real estate market, the process of estimating collateral values and reserves requires the use of significant judgment. We currently believe there are adequate collateral and reserves to support the carrying values of the loans.</w:t>
      </w:r>
    </w:p>
    <w:p>
      <w:pPr>
        <w:spacing w:after="0" w:line="1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June 30, 2015, asset-specific reserves increased to $94.8 million compared to $65.0 million at December 31, 2014, due to a new non-performing loan.</w:t>
      </w:r>
    </w:p>
    <w:p>
      <w:pPr>
        <w:spacing w:after="0" w:line="16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general reserve decreased to $27.1 million or 2.0% of performing loans as of June 30, 2015, compared to $33.5 million or 2.9% of performing loans at December 31, 2014. This decrease was primarily attributable to overall improvement in the weighted average risk ratings of our performing loans offset by an increase in the balance of performing loans, which was driven by new investment originations.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—As of June 30, 2015, based on current gross carrying values, the Company's total investment portfolio has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characteristics ($ in thousands)(1):</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Land &amp;</w:t>
            </w:r>
          </w:p>
        </w:tc>
        <w:tc>
          <w:tcPr>
            <w:tcW w:w="24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80" w:type="dxa"/>
            <w:vAlign w:val="bottom"/>
          </w:tcPr>
          <w:p>
            <w:pPr>
              <w:jc w:val="right"/>
              <w:ind w:right="43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Development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 Industrial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1,257,580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Land &amp; Development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1,134,282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1,162,088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479,087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726,564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Entertainment / Leisure</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505,921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505,921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497,774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236,081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134,087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370,168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Property Types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290,939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98,933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121,889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278,170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94,691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1,594,396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1,615,314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745,212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1,134,282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5,183,895</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line="20" w:lineRule="exact"/>
              <w:rPr>
                <w:sz w:val="1"/>
                <w:szCs w:val="1"/>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Land &amp;</w:t>
            </w: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line="20" w:lineRule="exact"/>
              <w:rPr>
                <w:sz w:val="1"/>
                <w:szCs w:val="1"/>
                <w:color w:val="auto"/>
              </w:rPr>
            </w:pPr>
          </w:p>
        </w:tc>
      </w:tr>
      <w:tr>
        <w:trPr>
          <w:trHeight w:val="592"/>
        </w:trPr>
        <w:tc>
          <w:tcPr>
            <w:tcW w:w="220" w:type="dxa"/>
            <w:vAlign w:val="bottom"/>
          </w:tcPr>
          <w:p>
            <w:pPr>
              <w:spacing w:after="0"/>
              <w:rPr>
                <w:sz w:val="24"/>
                <w:szCs w:val="24"/>
                <w:color w:val="auto"/>
              </w:rPr>
            </w:pPr>
          </w:p>
        </w:tc>
        <w:tc>
          <w:tcPr>
            <w:tcW w:w="2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2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Development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838,053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1,424,862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100" w:type="dxa"/>
            <w:vAlign w:val="bottom"/>
            <w:gridSpan w:val="3"/>
          </w:tcPr>
          <w:p>
            <w:pPr>
              <w:ind w:left="2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84,690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410,808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62,652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400,194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958,344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159,877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830,537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100" w:type="dxa"/>
            <w:vAlign w:val="bottom"/>
            <w:gridSpan w:val="3"/>
          </w:tcPr>
          <w:p>
            <w:pPr>
              <w:ind w:left="2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298,820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140,202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142,613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198,659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780,294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150,372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609,987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100" w:type="dxa"/>
            <w:vAlign w:val="bottom"/>
            <w:gridSpan w:val="3"/>
          </w:tcPr>
          <w:p>
            <w:pPr>
              <w:ind w:left="2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139,389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80,406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52,345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8,279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280,419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Various(2)</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204,761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100" w:type="dxa"/>
            <w:vAlign w:val="bottom"/>
            <w:gridSpan w:val="3"/>
          </w:tcPr>
          <w:p>
            <w:pPr>
              <w:ind w:left="20"/>
              <w:spacing w:after="0"/>
              <w:rPr>
                <w:sz w:val="20"/>
                <w:szCs w:val="20"/>
                <w:color w:val="auto"/>
              </w:rPr>
            </w:pPr>
            <w:r>
              <w:rPr>
                <w:rFonts w:ascii="Arial" w:cs="Arial" w:eastAsia="Arial" w:hAnsi="Arial"/>
                <w:sz w:val="18"/>
                <w:szCs w:val="18"/>
                <w:color w:val="auto"/>
              </w:rPr>
              <w:t>Strategic Investments(2)</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94,691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3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1,594,396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1,615,314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745,212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1,134,282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5,183,895</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3" w:lineRule="exact"/>
        <w:rPr>
          <w:rFonts w:ascii="Arial" w:cs="Arial" w:eastAsia="Arial" w:hAnsi="Arial"/>
          <w:sz w:val="14"/>
          <w:szCs w:val="14"/>
          <w:color w:val="auto"/>
        </w:rPr>
      </w:pPr>
    </w:p>
    <w:p>
      <w:pPr>
        <w:ind w:left="500" w:hanging="492"/>
        <w:spacing w:after="0" w:line="255"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Strategic investments include $13.5 million of international assets. Various includes $21.7 million of international assets. Combined, these categories include $16.0 million of European assets, including $14.1 million in the United Kingdom and $1.9 million in Germany.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three months ended June 30, 2015, we committed to new investments totaling $254.5 million. The Company funded a total of $126.0 million associated with new investments as well as ongoing developments and prior financing commitments during the quarter. Total fundings included $79.2 million in lending and other investments, $22.9 million to develop our land assets and $23.9 million of capital to reposition or redevelop our operating properties and invest in net lease assets. Also during the three months ended June 30, 2015, we generated $248.9 million of proceeds from loan repayments and asset sales within our portfolio, comprised of $178.1 million from real estate finance, $40.4 million from operating properties, $20.8 million from net lease assets, $7.3 million from land and $2.3 million from other investments. These amounts are inclusive of fundings and proceeds from both consolidated and equity method investments. As of June 30, 2015, we had unrestricted cash of $637.1 million.</w:t>
      </w:r>
    </w:p>
    <w:p>
      <w:pPr>
        <w:spacing w:after="0" w:line="1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outlines our capital expenditures on real estate assets reflected in our Consolidated Statements of Cash Flows for the six months ended June 30, 2015 and 2014, by segment ($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For the Six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&amp; Development</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Properties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30,404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26,753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4,573</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capital expenditures on real estate assets</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75,260</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61,446</w:t>
            </w: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primary cash uses over the next 12 months are expected to be funding of investments, repayments of debt, capital expenditures and funding ongoing business operations. We repaid the $105.8 million outstanding balance of our 6.05% senior notes due April 2015 at their maturity. We have other debt maturities of $261.4 million due before June 30, 2016. Over the next 12 months, we currently expect to fund in the range of approximately $225 million to $300 million of capital expenditures within our portfolio. The majority of these amounts relate to our operating properties, land, multifamily and residential development activities and are expected to include approximately $85.0 million associated with vertical construction. The amount spent will depend on the pace of our development activities as well as the extent to which we strategically partner with others to complete these projects. As of June 30, 2015, we also had approximately $790 million of maximum unfunded commitments associated with our investments, assuming borrowers and tenants meet all milestones and performance hurdles and all other conditions to fundings are met. See "Unfunded Commitments" below. Our capital sources to meet expected cash uses through the next 12 months will primarily include cash on hand, income from our portfolio, loan repayments from borrowers, proceeds from asset sales and capital raised through debt offerings or equity capital transactions.</w:t>
      </w:r>
    </w:p>
    <w:p>
      <w:pPr>
        <w:spacing w:after="0" w:line="1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continued to improve, it is not possible for us to predict whether the improving trends will continue or to quantify the impact of these or other trends on our financial results.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June 30, 2015 (see Note 8 of the Notes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Amounts Due By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3"/>
                <w:szCs w:val="13"/>
                <w:color w:val="auto"/>
              </w:rPr>
            </w:pPr>
          </w:p>
        </w:tc>
        <w:tc>
          <w:tcPr>
            <w:tcW w:w="9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5 - 10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Unsecured notes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3,221,125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261,403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1,889,722</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99"/>
              </w:rPr>
              <w:t>1,070,000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345,048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345,048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244,623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debt obligations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4,160,796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2,512,290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1,109,964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101,811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Interest Payable(1)</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654,241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203,990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309,699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99,412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22,034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Participations Payable(2)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142,302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28,889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10,181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6,914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4,986,228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479,977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2,932,170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1,258,592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193,843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121,646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Variable-rate debt assumes 1-month LIBOR rate of 0.19%, 3-month LIBOR rate of 0.28% and 6-month LIBOR rate of 0.40%.</w:t>
      </w:r>
    </w:p>
    <w:p>
      <w:pPr>
        <w:spacing w:after="0" w:line="13" w:lineRule="exact"/>
        <w:rPr>
          <w:rFonts w:ascii="Arial" w:cs="Arial" w:eastAsia="Arial" w:hAnsi="Arial"/>
          <w:sz w:val="14"/>
          <w:szCs w:val="14"/>
          <w:color w:val="auto"/>
        </w:rPr>
      </w:pP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Refer to Note 8 to the Consolidated Financial Statements.</w:t>
      </w:r>
    </w:p>
    <w:p>
      <w:pPr>
        <w:spacing w:after="0" w:line="1"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also have issued letters of credit totaling $3.7 million in connection with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color w:val="auto"/>
        </w:rPr>
        <w:t>2015 Revolving Credit Facility</w:t>
      </w:r>
      <w:r>
        <w:rPr>
          <w:rFonts w:ascii="Arial" w:cs="Arial" w:eastAsia="Arial" w:hAnsi="Arial"/>
          <w:sz w:val="18"/>
          <w:szCs w:val="18"/>
          <w:color w:val="auto"/>
        </w:rPr>
        <w:t>—On March 27, 2015, we entered into a secured revolving credit facility with a maximum capacity of $250.0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(the "2015 Revolving Credit Facility"). Borrowings under this credit facility bear interest at a floating rate indexed to one of several base rates plus a margin which adjusts upward or downward based upon our corporate credit rating. An undrawn credit facility commitment fee ranges from 0.375% to 0.5%, based on average utilization each quarter. During the three months ended June 30, 2015, the weighted average cost of the credit facility was 3.25%. Commitments under the revolving facility mature in March 2018. At maturity, we may convert outstanding borrowings to a one-year term loan which matures in quarterly installments through March 2019. The facility is secured by a borrowing base of assets and there is no requirement that proceeds from the borrowing base be used to pay down outstanding borrowings.</w:t>
      </w:r>
    </w:p>
    <w:p>
      <w:pPr>
        <w:spacing w:after="0" w:line="149"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2012 Secured Credit Facilities</w:t>
      </w:r>
      <w:r>
        <w:rPr>
          <w:rFonts w:ascii="Arial" w:cs="Arial" w:eastAsia="Arial" w:hAnsi="Arial"/>
          <w:sz w:val="16"/>
          <w:szCs w:val="16"/>
          <w:color w:val="auto"/>
        </w:rPr>
        <w:t>—In March 2012, we entered into an $880.0 million senior secured credit agreement providing for two tranches of term</w:t>
      </w:r>
      <w:r>
        <w:rPr>
          <w:rFonts w:ascii="Arial" w:cs="Arial" w:eastAsia="Arial" w:hAnsi="Arial"/>
          <w:sz w:val="16"/>
          <w:szCs w:val="16"/>
          <w:b w:val="1"/>
          <w:bCs w:val="1"/>
          <w:color w:val="auto"/>
        </w:rPr>
        <w:t xml:space="preserve"> </w:t>
      </w:r>
      <w:r>
        <w:rPr>
          <w:rFonts w:ascii="Arial" w:cs="Arial" w:eastAsia="Arial" w:hAnsi="Arial"/>
          <w:sz w:val="16"/>
          <w:szCs w:val="16"/>
          <w:color w:val="auto"/>
        </w:rPr>
        <w:t>loans: a $410.0 million 2012 A-1 tranche due March 2016, which bears interest at a rate of LIBOR + 4.00% (the "2012 Tranche A-1 Facility"), and a $470.0 million 2012 A-2 tranche due March 2017, which bears interest at a rate of LIBOR + 5.75% (the "2012 Tranche A-2 Facility," together the "2012 Secured Credit Facilities"). The 2012 A-1 and A-2 tranches were issued at 98.0% of par and 98.5% of par, respectively, and both tranches include a LIBOR floor of 1.25%. Proceeds from the 2012 Secured Credit Facilities, together with cash on hand, were used to repurchase and repay other outstanding debt.</w:t>
      </w:r>
    </w:p>
    <w:p>
      <w:pPr>
        <w:spacing w:after="0" w:line="11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2012 Secured Credit Facilities are collateralized by a first lien on a fixed pool of assets. Proceeds from principal repayments and sales of collateral are applied to amortize the 2012 Secured Credit Facilities. Proceeds received for interest, rent, lease payments and fee income are retained by us. We may also make optional prepayments, subject to prepayment fees. The 2012 Tranche A-1 Facility was fully repaid in August 2013. Additionally, through June 30, 2015, we made cumulative amortization repayments of $125.0 million on the 2012 Tranche A-2 Facility. For the six months ended June 30, 2015 and 2014, repayments of the 2012 Tranche A-2 Facility prior to maturity resulted in losses on early extinguishment of debt of $0.1 million and $0.2 million, respectively, related to the accelerated amortization of discounts and unamortized deferred financing fees on the portion of the facility that was repaid. These amounts were included in "Loss on early extinguishment of debt, net" on our Consolidated Statements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June 30, 2015 and December 31, 2014, the carrying value of our encumbered and unencumbered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w w:val="85"/>
              </w:rPr>
              <w:t>As of</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880,745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1,658,071</w:t>
            </w:r>
          </w:p>
        </w:tc>
        <w:tc>
          <w:tcPr>
            <w:tcW w:w="620" w:type="dxa"/>
            <w:vAlign w:val="bottom"/>
            <w:tcBorders>
              <w:bottom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2,056,336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277,525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275,486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net(1)(2)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1,364,828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270,991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336,411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989,730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768,475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1,011,968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4,546,193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695,097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4,801,536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of June 30, 2015 and December 31, 2014, the amounts presented exclude general reserves for loan losses of $27.1 million and $33.5 million, respectively.</w:t>
      </w:r>
    </w:p>
    <w:p>
      <w:pPr>
        <w:spacing w:after="0" w:line="13" w:lineRule="exact"/>
        <w:rPr>
          <w:rFonts w:ascii="Arial" w:cs="Arial" w:eastAsia="Arial" w:hAnsi="Arial"/>
          <w:sz w:val="14"/>
          <w:szCs w:val="14"/>
          <w:color w:val="auto"/>
        </w:rPr>
      </w:pPr>
    </w:p>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of June 30, 2015 and December 31, 2014, the amounts presented exclude loan participations payable of $142.3 million and $0.0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outstanding unsecured debt securities contain corporate level covenants that include a covenant to maintain a ratio of unencumbered assets to unsecured indebtedness of at least 1.2x and a covenant not to incur new indebtedness, if on a pro forma basis, our fixed charge coverage ratio is 1.5x or lower, except for incurrences of permitted debt. If any of our covenants are breached and not cured within applicable cure periods, the breach could result in acceleration of our debt securities unless a waiver or modification is agreed upon with the requisite percentage of the bondholders.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2012 Secured Credit Facilities and the 2015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2012 Secured Credit Facilities require us to maintain collateral coverage of at least 1.25x outstanding borrowings on the facilities. The 2015 Revolving Credit Facility requires us to maintain both collateral coverage of at least 1.5x outstanding borrowings on the facility and a consolidated ratio of cash flow to fixed charges of at least 1.5x. In addition, for so long as we maintain our qualification as a REIT, the 2012 Secured Credit Facilities and the 2015 Revolving Credit Facility permit us to distribute 100% of our REIT taxable income on an annual basis (prior to deducting certain cumulative net operating loss carryforwards in the case of the 2015 Revolving Credit Facility). We may not pay common dividends if we cease to qualify as a REIT.</w:t>
      </w:r>
    </w:p>
    <w:p>
      <w:pPr>
        <w:spacing w:after="0" w:line="1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2012 Secured Credit Facilities and the 2015 Revolving Credit Facility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2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See Note 11 of the Notes to the Consolidated Financial Statements.</w:t>
      </w:r>
    </w:p>
    <w:p>
      <w:pPr>
        <w:spacing w:after="0" w:line="17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—We are not dependent on the use of any off-balance sheet financing arrangements for liquidity. We have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various unconsolidated ventures. See Note 6 of the Notes to the Consolidated Financial Statements for further details of our unconsolidated investments. Our maximum exposure to loss from these investments is limited to the carrying value of our investments and any unfunded commitments (see below).</w:t>
      </w:r>
    </w:p>
    <w:p>
      <w:pPr>
        <w:spacing w:after="0" w:line="18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—We generally fund construction and development loans and build-outs of space in net lease assets over a period of time if</w:t>
      </w:r>
      <w:r>
        <w:rPr>
          <w:rFonts w:ascii="Arial" w:cs="Arial" w:eastAsia="Arial" w:hAnsi="Arial"/>
          <w:sz w:val="18"/>
          <w:szCs w:val="18"/>
          <w:b w:val="1"/>
          <w:bCs w:val="1"/>
          <w:color w:val="auto"/>
        </w:rPr>
        <w:t xml:space="preserve"> </w:t>
      </w:r>
      <w:r>
        <w:rPr>
          <w:rFonts w:ascii="Arial" w:cs="Arial" w:eastAsia="Arial" w:hAnsi="Arial"/>
          <w:sz w:val="18"/>
          <w:szCs w:val="18"/>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committed to invest capital in several real estate funds and other ventures. These arrangements are referred to as Strategic Investments. As of June 30, 2015,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Loans and Other</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Lending Investments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727,693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46,076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46,076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16,469</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676,616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13,069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100,553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790,238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—In September 2013, our Board of Directors approved an increase in the repurchase limit under our previously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repurchase program to $50.0 million. The program authorizes the repurchase of Common Stock from time to time in open market and privately negotiated purchases, including pursuant to one or more trading plans. During the six months ended June 30, 2015, we repurchased 44,235 shares of our outstanding Common Stock for $0.6 million, at an average cost of $12.66 per share. As of June 30, 2015, we had up to $28.5 million of Common Stock available to repurchase under our Board authorized stock repurchase program.</w:t>
      </w:r>
    </w:p>
    <w:p>
      <w:pPr>
        <w:spacing w:after="0" w:line="143"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HPU Repurchase</w:t>
      </w:r>
      <w:r>
        <w:rPr>
          <w:rFonts w:ascii="Arial" w:cs="Arial" w:eastAsia="Arial" w:hAnsi="Arial"/>
          <w:sz w:val="16"/>
          <w:szCs w:val="16"/>
          <w:color w:val="auto"/>
        </w:rPr>
        <w:t>—The Company launched a tender offer for its outstanding high performance units during the quarter, which is scheduled to expire</w:t>
      </w:r>
      <w:r>
        <w:rPr>
          <w:rFonts w:ascii="Arial" w:cs="Arial" w:eastAsia="Arial" w:hAnsi="Arial"/>
          <w:sz w:val="16"/>
          <w:szCs w:val="16"/>
          <w:b w:val="1"/>
          <w:bCs w:val="1"/>
          <w:color w:val="auto"/>
        </w:rPr>
        <w:t xml:space="preserve"> </w:t>
      </w:r>
      <w:r>
        <w:rPr>
          <w:rFonts w:ascii="Arial" w:cs="Arial" w:eastAsia="Arial" w:hAnsi="Arial"/>
          <w:sz w:val="16"/>
          <w:szCs w:val="16"/>
          <w:color w:val="auto"/>
        </w:rPr>
        <w:t>on August 12, 2015. Under the current terms, HPU holders can elect to receive $9.30 in cash, 0.7 shares of iStar common stock or a combination thereof for each common stock equivalent underlying their HPUs. The Company has binding commitments from holders representing approximately 61% of the HPUs to tender and not withdraw their units, and an additional 25% of the HPUs have been tendered as of July 30, 2015, but remain subject to withdrawal.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summary of our critical accounting estimates is included in our 2014 Annual Report in Management's Discussion and Analysis of Financial Condition. There have been no significant changes to our critical accounting estimates as of June 30, 2015.</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the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six months ended June 30, 2015 as compared to the disclosures included in our 2014 Annual Report. See discussion of quantitative and qualitative disclosures about market risk under Item 7a —"Quantitative and Qualitative Disclosures about Market Risk," included in our 2014 Annual Report.</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sought unspecified damages and other relief and alleged breach of fiduciary duty, breach of contract and other causes of action arising out of shares of our common stock issued by the Company to our senior executives pursuant to restricted stock unit awards granted in December 2008 and modified in July 2011. On October 30, 2014, the Court granted the defendants’ Motions to Dismiss and plaintiffs’ claims against all of the defendants in this action were dismissed. Plaintiffs have filed a notice of appeal. A briefing schedule has been established and oral argument has been scheduled for November 2015.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January 22, 2015, the United States District Court for the District of Maryland (the "Court") entered a judgment in favor of the Company in the matter of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 (iii) 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A third party is entitled to a 15% participation interest in all proceeds. Lennar has appealed the Court's judgment. The Court has granted Lennar's motion to stay the judgment pending appeal, subject to Lennar posting a required appeal bond, which has been posted. The Court also clarified the judgment that the unpaid amount will accrue simple interest at a rate of 12% annually, including while the appeal is pending. There can be no assurance as to the timing or actual receipt by the Company of amounts awarded by the Court or to the outcome of any appeal.</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Company's 2014 Annual Report.</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June 30, 2015.</w:t>
      </w:r>
    </w:p>
    <w:p>
      <w:pPr>
        <w:spacing w:after="0" w:line="29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80" w:type="dxa"/>
            <w:vAlign w:val="bottom"/>
          </w:tcPr>
          <w:p>
            <w:pPr>
              <w:spacing w:after="0"/>
              <w:rPr>
                <w:sz w:val="18"/>
                <w:szCs w:val="18"/>
                <w:color w:val="auto"/>
              </w:rPr>
            </w:pPr>
          </w:p>
        </w:tc>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Maximum Dollar Value of</w:t>
            </w:r>
          </w:p>
        </w:tc>
      </w:tr>
      <w:tr>
        <w:trPr>
          <w:trHeight w:val="216"/>
        </w:trPr>
        <w:tc>
          <w:tcPr>
            <w:tcW w:w="25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Purchased as Part of a</w:t>
            </w:r>
          </w:p>
        </w:tc>
        <w:tc>
          <w:tcPr>
            <w:tcW w:w="180" w:type="dxa"/>
            <w:vAlign w:val="bottom"/>
          </w:tcPr>
          <w:p>
            <w:pPr>
              <w:spacing w:after="0"/>
              <w:rPr>
                <w:sz w:val="18"/>
                <w:szCs w:val="18"/>
                <w:color w:val="auto"/>
              </w:rPr>
            </w:pPr>
          </w:p>
        </w:tc>
        <w:tc>
          <w:tcPr>
            <w:tcW w:w="2060" w:type="dxa"/>
            <w:vAlign w:val="bottom"/>
          </w:tcPr>
          <w:p>
            <w:pPr>
              <w:jc w:val="center"/>
              <w:ind w:right="50"/>
              <w:spacing w:after="0"/>
              <w:rPr>
                <w:sz w:val="20"/>
                <w:szCs w:val="20"/>
                <w:color w:val="auto"/>
              </w:rPr>
            </w:pPr>
            <w:r>
              <w:rPr>
                <w:rFonts w:ascii="Arial" w:cs="Arial" w:eastAsia="Arial" w:hAnsi="Arial"/>
                <w:sz w:val="18"/>
                <w:szCs w:val="18"/>
                <w:color w:val="auto"/>
                <w:w w:val="89"/>
              </w:rPr>
              <w:t>Shares that May Yet be</w:t>
            </w:r>
          </w:p>
        </w:tc>
      </w:tr>
      <w:tr>
        <w:trPr>
          <w:trHeight w:val="230"/>
        </w:trPr>
        <w:tc>
          <w:tcPr>
            <w:tcW w:w="25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w w:val="92"/>
              </w:rPr>
              <w:t>Average Price Paid per Share</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Publicly Announced Plan</w:t>
            </w: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89"/>
              </w:rPr>
              <w:t>Purchased Under the Plan(1)</w:t>
            </w:r>
          </w:p>
        </w:tc>
      </w:tr>
      <w:tr>
        <w:trPr>
          <w:trHeight w:val="27"/>
        </w:trPr>
        <w:tc>
          <w:tcPr>
            <w:tcW w:w="25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April 30, 2015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28,454,780</w:t>
            </w:r>
          </w:p>
        </w:tc>
      </w:tr>
      <w:tr>
        <w:trPr>
          <w:trHeight w:val="27"/>
        </w:trPr>
        <w:tc>
          <w:tcPr>
            <w:tcW w:w="25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500" w:hanging="492"/>
        <w:spacing w:after="0" w:line="257"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September 2013, the Company's Board of Directors approved an increase in the repurchase limit under the Company's previously approved stock repurchase program to $50.0 million. The program authorizes the repurchase of Common Stock from time to time in open market and privately negotiated purchases, including pursuant to one or more trading plans. There is no fixed expiration date to this stock repurchase program.</w:t>
      </w: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2"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122" w:right="239" w:bottom="1440" w:gutter="0" w:footer="0" w:header="0"/>
        </w:sect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4180"/>
        <w:spacing w:after="0"/>
        <w:rPr>
          <w:sz w:val="20"/>
          <w:szCs w:val="20"/>
          <w:color w:val="auto"/>
        </w:rPr>
      </w:pPr>
      <w:r>
        <w:rPr>
          <w:rFonts w:ascii="Arial" w:cs="Arial" w:eastAsia="Arial" w:hAnsi="Arial"/>
          <w:sz w:val="16"/>
          <w:szCs w:val="16"/>
          <w:b w:val="1"/>
          <w:bCs w:val="1"/>
          <w:color w:val="auto"/>
        </w:rPr>
        <w:t>Document Description</w:t>
      </w:r>
    </w:p>
    <w:p>
      <w:pPr>
        <w:spacing w:after="0" w:line="90" w:lineRule="exact"/>
        <w:rPr>
          <w:sz w:val="20"/>
          <w:szCs w:val="20"/>
          <w:color w:val="auto"/>
        </w:rPr>
      </w:pPr>
    </w:p>
    <w:p>
      <w:pPr>
        <w:sectPr>
          <w:pgSz w:w="11900" w:h="16838" w:orient="portrait"/>
          <w:cols w:equalWidth="0" w:num="2">
            <w:col w:w="4780" w:space="720"/>
            <w:col w:w="5920"/>
          </w:cols>
          <w:pgMar w:left="240" w:top="122" w:right="239" w:bottom="1440" w:gutter="0" w:footer="0" w:header="0"/>
          <w:type w:val="continuous"/>
        </w:sectPr>
      </w:pPr>
    </w:p>
    <w:p>
      <w:pPr>
        <w:ind w:left="780"/>
        <w:spacing w:after="0"/>
        <w:tabs>
          <w:tab w:leader="none" w:pos="16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Certifications pursuant to Section 302 of the Sarbanes-Oxley Act.</w:t>
      </w:r>
    </w:p>
    <w:p>
      <w:pPr>
        <w:spacing w:after="0" w:line="63" w:lineRule="exact"/>
        <w:rPr>
          <w:sz w:val="20"/>
          <w:szCs w:val="20"/>
          <w:color w:val="auto"/>
        </w:rPr>
      </w:pPr>
    </w:p>
    <w:p>
      <w:pPr>
        <w:ind w:left="780"/>
        <w:spacing w:after="0"/>
        <w:tabs>
          <w:tab w:leader="none" w:pos="160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Certifications pursuant to Section 906 of the Sarbanes-Oxley Act.</w:t>
      </w:r>
    </w:p>
    <w:p>
      <w:pPr>
        <w:sectPr>
          <w:pgSz w:w="11900" w:h="16838" w:orient="portrait"/>
          <w:cols w:equalWidth="0" w:num="1">
            <w:col w:w="11420"/>
          </w:cols>
          <w:pgMar w:left="240" w:top="122" w:right="239" w:bottom="1440" w:gutter="0" w:footer="0" w:header="0"/>
          <w:type w:val="continuous"/>
        </w:sectPr>
      </w:pPr>
    </w:p>
    <w:p>
      <w:pPr>
        <w:spacing w:after="0" w:line="63" w:lineRule="exact"/>
        <w:rPr>
          <w:sz w:val="20"/>
          <w:szCs w:val="20"/>
          <w:color w:val="auto"/>
        </w:rPr>
      </w:pPr>
    </w:p>
    <w:p>
      <w:pPr>
        <w:ind w:left="1620" w:right="320" w:hanging="808"/>
        <w:spacing w:after="0" w:line="272" w:lineRule="auto"/>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period ended June 30, 2015 is formatted in XBRL ("eXtensible Business Reporting Language"): (i) the Consolidated Balance Sheets (unaudited) as of June 30, 2015 and December 31, 2014, (ii) the Consolidated Statements of Operations (unaudited) for the three and six months ended June 30, 2015 and 2014, (iii) the Consolidated Statements of Comprehensive Income (Loss) (unaudited) for the three and six months ended June 30, 2015 and 2014, (iv) the Consolidated Statement of Changes in Equity (unaudited) for the six months ended June 30, 2015 and 2014, (v) the Consolidated Statements of Cash Flows (unaudited) for the six months ended June 30, 2015 and 2014 and (vi) the 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312" w:lineRule="auto"/>
        <w:tabs>
          <w:tab w:leader="none" w:pos="6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80" w:val="left"/>
        </w:tabs>
        <w:rPr>
          <w:sz w:val="20"/>
          <w:szCs w:val="20"/>
          <w:color w:val="auto"/>
        </w:rPr>
      </w:pPr>
      <w:r>
        <w:rPr>
          <w:rFonts w:ascii="Arial" w:cs="Arial" w:eastAsia="Arial" w:hAnsi="Arial"/>
          <w:sz w:val="18"/>
          <w:szCs w:val="18"/>
          <w:color w:val="auto"/>
        </w:rPr>
        <w:t>Date: August 4, 2015</w:t>
      </w:r>
      <w:r>
        <w:rPr>
          <w:sz w:val="20"/>
          <w:szCs w:val="20"/>
          <w:color w:val="auto"/>
        </w:rPr>
        <w:tab/>
      </w:r>
      <w:r>
        <w:rPr>
          <w:rFonts w:ascii="Arial" w:cs="Arial" w:eastAsia="Arial" w:hAnsi="Arial"/>
          <w:sz w:val="17"/>
          <w:szCs w:val="17"/>
          <w:color w:val="auto"/>
        </w:rPr>
        <w:t>/s/ DAVID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David DiStaso</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iStar Financial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2015</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iStar Financial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2015</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DAVID DISTASO</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DiStaso</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9"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June 30, 2015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2015</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 as adopted pursuant to Section 906 of The Sarbanes-Oxley Act of 2002, that the Quarterly Report on Form 10-Q for the quarter ended June 30, 2015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2015</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DAVID DISTASO</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DiStaso</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lowerRoman"/>
      <w:start w:val="3"/>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0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2019-12-29T16:41:45Z</dcterms:created>
  <dcterms:modified xsi:type="dcterms:W3CDTF">2019-12-29T16:41:45Z</dcterms:modified>
</cp:coreProperties>
</file>