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257415" cy="71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112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879"/>
        <w:spacing w:after="0"/>
        <w:rPr>
          <w:sz w:val="20"/>
          <w:szCs w:val="20"/>
          <w:color w:val="auto"/>
        </w:rPr>
      </w:pPr>
      <w:r>
        <w:rPr>
          <w:rFonts w:ascii="Arial" w:cs="Arial" w:eastAsia="Arial" w:hAnsi="Arial"/>
          <w:sz w:val="30"/>
          <w:szCs w:val="30"/>
          <w:b w:val="1"/>
          <w:bCs w:val="1"/>
          <w:color w:val="auto"/>
        </w:rPr>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879"/>
        <w:spacing w:after="0" w:line="234" w:lineRule="auto"/>
        <w:rPr>
          <w:sz w:val="20"/>
          <w:szCs w:val="20"/>
          <w:color w:val="auto"/>
        </w:rPr>
      </w:pPr>
      <w:r>
        <w:rPr>
          <w:rFonts w:ascii="Arial" w:cs="Arial" w:eastAsia="Arial" w:hAnsi="Arial"/>
          <w:sz w:val="17"/>
          <w:szCs w:val="17"/>
          <w:b w:val="1"/>
          <w:bCs w:val="1"/>
          <w:color w:val="auto"/>
        </w:rPr>
        <w:t>Washington, D.C. 20549</w:t>
      </w:r>
    </w:p>
    <w:p>
      <w:pPr>
        <w:ind w:left="3100"/>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03" w:lineRule="exact"/>
        <w:rPr>
          <w:sz w:val="24"/>
          <w:szCs w:val="24"/>
          <w:color w:val="auto"/>
        </w:rPr>
      </w:pPr>
    </w:p>
    <w:p>
      <w:pPr>
        <w:ind w:left="4900"/>
        <w:spacing w:after="0"/>
        <w:rPr>
          <w:sz w:val="20"/>
          <w:szCs w:val="20"/>
          <w:color w:val="auto"/>
        </w:rPr>
      </w:pPr>
      <w:r>
        <w:rPr>
          <w:rFonts w:ascii="Arial" w:cs="Arial" w:eastAsia="Arial" w:hAnsi="Arial"/>
          <w:sz w:val="30"/>
          <w:szCs w:val="30"/>
          <w:b w:val="1"/>
          <w:bCs w:val="1"/>
          <w:color w:val="auto"/>
        </w:rPr>
        <w:t>FORM 10-K</w:t>
      </w:r>
    </w:p>
    <w:p>
      <w:pPr>
        <w:spacing w:after="0" w:line="200" w:lineRule="exact"/>
        <w:rPr>
          <w:sz w:val="24"/>
          <w:szCs w:val="24"/>
          <w:color w:val="auto"/>
        </w:rPr>
      </w:pPr>
    </w:p>
    <w:p>
      <w:pPr>
        <w:spacing w:after="0" w:line="380" w:lineRule="exact"/>
        <w:rPr>
          <w:sz w:val="24"/>
          <w:szCs w:val="24"/>
          <w:color w:val="auto"/>
        </w:rPr>
      </w:pPr>
    </w:p>
    <w:p>
      <w:pPr>
        <w:ind w:left="180"/>
        <w:spacing w:after="0"/>
        <w:rPr>
          <w:sz w:val="20"/>
          <w:szCs w:val="20"/>
          <w:color w:val="auto"/>
        </w:rPr>
      </w:pPr>
      <w:r>
        <w:rPr>
          <w:rFonts w:ascii="Arial" w:cs="Arial" w:eastAsia="Arial" w:hAnsi="Arial"/>
          <w:sz w:val="13"/>
          <w:szCs w:val="13"/>
          <w:b w:val="1"/>
          <w:bCs w:val="1"/>
          <w:color w:val="auto"/>
        </w:rPr>
        <w:t>(Mark One)</w:t>
      </w:r>
    </w:p>
    <w:p>
      <w:pPr>
        <w:spacing w:after="0" w:line="32" w:lineRule="exact"/>
        <w:rPr>
          <w:sz w:val="24"/>
          <w:szCs w:val="24"/>
          <w:color w:val="auto"/>
        </w:rPr>
      </w:pPr>
    </w:p>
    <w:p>
      <w:pPr>
        <w:ind w:left="1420" w:hanging="986"/>
        <w:spacing w:after="0"/>
        <w:tabs>
          <w:tab w:leader="none" w:pos="14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w:t>
      </w:r>
    </w:p>
    <w:p>
      <w:pPr>
        <w:spacing w:after="0" w:line="15" w:lineRule="exact"/>
        <w:rPr>
          <w:sz w:val="24"/>
          <w:szCs w:val="24"/>
          <w:color w:val="auto"/>
        </w:rPr>
      </w:pPr>
    </w:p>
    <w:p>
      <w:pPr>
        <w:ind w:left="1420"/>
        <w:spacing w:after="0"/>
        <w:rPr>
          <w:sz w:val="20"/>
          <w:szCs w:val="20"/>
          <w:color w:val="auto"/>
        </w:rPr>
      </w:pPr>
      <w:r>
        <w:rPr>
          <w:rFonts w:ascii="Arial" w:cs="Arial" w:eastAsia="Arial" w:hAnsi="Arial"/>
          <w:sz w:val="20"/>
          <w:szCs w:val="20"/>
          <w:b w:val="1"/>
          <w:bCs w:val="1"/>
          <w:color w:val="auto"/>
        </w:rPr>
        <w:t>SECURITIES EXCHANGE ACT OF 1934</w:t>
      </w:r>
    </w:p>
    <w:p>
      <w:pPr>
        <w:spacing w:after="0" w:line="26" w:lineRule="exact"/>
        <w:rPr>
          <w:sz w:val="24"/>
          <w:szCs w:val="24"/>
          <w:color w:val="auto"/>
        </w:rPr>
      </w:pPr>
    </w:p>
    <w:p>
      <w:pPr>
        <w:jc w:val="center"/>
        <w:ind w:right="2080"/>
        <w:spacing w:after="0"/>
        <w:rPr>
          <w:sz w:val="20"/>
          <w:szCs w:val="20"/>
          <w:color w:val="auto"/>
        </w:rPr>
      </w:pPr>
      <w:r>
        <w:rPr>
          <w:rFonts w:ascii="Arial" w:cs="Arial" w:eastAsia="Arial" w:hAnsi="Arial"/>
          <w:sz w:val="13"/>
          <w:szCs w:val="13"/>
          <w:b w:val="1"/>
          <w:bCs w:val="1"/>
          <w:color w:val="auto"/>
        </w:rPr>
        <w:t>For the fiscal year ended December 31, 2012</w:t>
      </w:r>
    </w:p>
    <w:p>
      <w:pPr>
        <w:spacing w:after="0" w:line="37" w:lineRule="exact"/>
        <w:rPr>
          <w:sz w:val="24"/>
          <w:szCs w:val="24"/>
          <w:color w:val="auto"/>
        </w:rPr>
      </w:pPr>
    </w:p>
    <w:p>
      <w:pPr>
        <w:jc w:val="center"/>
        <w:ind w:right="2080"/>
        <w:spacing w:after="0"/>
        <w:rPr>
          <w:sz w:val="20"/>
          <w:szCs w:val="20"/>
          <w:color w:val="auto"/>
        </w:rPr>
      </w:pPr>
      <w:r>
        <w:rPr>
          <w:rFonts w:ascii="Arial" w:cs="Arial" w:eastAsia="Arial" w:hAnsi="Arial"/>
          <w:sz w:val="13"/>
          <w:szCs w:val="13"/>
          <w:b w:val="1"/>
          <w:bCs w:val="1"/>
          <w:color w:val="auto"/>
        </w:rPr>
        <w:t>OR</w:t>
      </w:r>
    </w:p>
    <w:p>
      <w:pPr>
        <w:spacing w:after="0" w:line="32" w:lineRule="exact"/>
        <w:rPr>
          <w:sz w:val="24"/>
          <w:szCs w:val="24"/>
          <w:color w:val="auto"/>
        </w:rPr>
      </w:pPr>
    </w:p>
    <w:p>
      <w:pPr>
        <w:ind w:left="1420" w:hanging="949"/>
        <w:spacing w:after="0"/>
        <w:tabs>
          <w:tab w:leader="none" w:pos="14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w:t>
      </w:r>
    </w:p>
    <w:p>
      <w:pPr>
        <w:spacing w:after="0" w:line="15" w:lineRule="exact"/>
        <w:rPr>
          <w:sz w:val="24"/>
          <w:szCs w:val="24"/>
          <w:color w:val="auto"/>
        </w:rPr>
      </w:pPr>
    </w:p>
    <w:p>
      <w:pPr>
        <w:ind w:left="1420"/>
        <w:spacing w:after="0"/>
        <w:rPr>
          <w:sz w:val="20"/>
          <w:szCs w:val="20"/>
          <w:color w:val="auto"/>
        </w:rPr>
      </w:pPr>
      <w:r>
        <w:rPr>
          <w:rFonts w:ascii="Arial" w:cs="Arial" w:eastAsia="Arial" w:hAnsi="Arial"/>
          <w:sz w:val="20"/>
          <w:szCs w:val="20"/>
          <w:b w:val="1"/>
          <w:bCs w:val="1"/>
          <w:color w:val="auto"/>
        </w:rPr>
        <w:t>SECURITIES EXCHANGE ACT OF 1934</w:t>
      </w:r>
    </w:p>
    <w:p>
      <w:pPr>
        <w:sectPr>
          <w:pgSz w:w="11900" w:h="16838" w:orient="portrait"/>
          <w:cols w:equalWidth="0" w:num="1">
            <w:col w:w="10540"/>
          </w:cols>
          <w:pgMar w:left="240" w:top="219" w:right="1119" w:bottom="1440" w:gutter="0" w:footer="0" w:header="0"/>
        </w:sectPr>
      </w:pPr>
    </w:p>
    <w:p>
      <w:pPr>
        <w:spacing w:after="0" w:line="26" w:lineRule="exact"/>
        <w:rPr>
          <w:sz w:val="24"/>
          <w:szCs w:val="24"/>
          <w:color w:val="auto"/>
        </w:rPr>
      </w:pPr>
    </w:p>
    <w:p>
      <w:pPr>
        <w:ind w:left="270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47" w:lineRule="exact"/>
        <w:rPr>
          <w:sz w:val="24"/>
          <w:szCs w:val="24"/>
          <w:color w:val="auto"/>
        </w:rPr>
      </w:pPr>
    </w:p>
    <w:p>
      <w:pPr>
        <w:sectPr>
          <w:pgSz w:w="11900" w:h="16838" w:orient="portrait"/>
          <w:cols w:equalWidth="0" w:num="2">
            <w:col w:w="4400" w:space="660"/>
            <w:col w:w="5480"/>
          </w:cols>
          <w:pgMar w:left="240" w:top="219" w:right="1119" w:bottom="1440" w:gutter="0" w:footer="0" w:header="0"/>
          <w:type w:val="continuous"/>
        </w:sectPr>
      </w:pPr>
    </w:p>
    <w:p>
      <w:pPr>
        <w:jc w:val="center"/>
        <w:ind w:right="-879"/>
        <w:spacing w:after="0"/>
        <w:rPr>
          <w:sz w:val="20"/>
          <w:szCs w:val="20"/>
          <w:color w:val="auto"/>
        </w:rPr>
      </w:pPr>
      <w:r>
        <w:rPr>
          <w:rFonts w:ascii="Arial" w:cs="Arial" w:eastAsia="Arial" w:hAnsi="Arial"/>
          <w:sz w:val="13"/>
          <w:szCs w:val="13"/>
          <w:b w:val="1"/>
          <w:bCs w:val="1"/>
          <w:color w:val="auto"/>
        </w:rPr>
        <w:t>Commission File No. 1-15371</w:t>
      </w:r>
    </w:p>
    <w:p>
      <w:pPr>
        <w:spacing w:after="0" w:line="128" w:lineRule="exact"/>
        <w:rPr>
          <w:sz w:val="24"/>
          <w:szCs w:val="24"/>
          <w:color w:val="auto"/>
        </w:rPr>
      </w:pPr>
    </w:p>
    <w:p>
      <w:pPr>
        <w:ind w:left="3100"/>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ectPr>
          <w:pgSz w:w="11900" w:h="16838" w:orient="portrait"/>
          <w:cols w:equalWidth="0" w:num="1">
            <w:col w:w="10540"/>
          </w:cols>
          <w:pgMar w:left="240" w:top="219" w:right="1119" w:bottom="1440" w:gutter="0" w:footer="0" w:header="0"/>
          <w:type w:val="continuous"/>
        </w:sectPr>
      </w:pPr>
    </w:p>
    <w:p>
      <w:pPr>
        <w:spacing w:after="0" w:line="136" w:lineRule="exact"/>
        <w:rPr>
          <w:sz w:val="24"/>
          <w:szCs w:val="24"/>
          <w:color w:val="auto"/>
        </w:rPr>
      </w:pPr>
    </w:p>
    <w:tbl>
      <w:tblPr>
        <w:tblLayout w:type="fixed"/>
        <w:tblInd w:w="1340" w:type="dxa"/>
        <w:tblCellMar>
          <w:top w:w="0" w:type="dxa"/>
          <w:left w:w="0" w:type="dxa"/>
          <w:bottom w:w="0" w:type="dxa"/>
          <w:right w:w="0" w:type="dxa"/>
        </w:tblCellMar>
      </w:tblPr>
      <w:tr>
        <w:trPr>
          <w:trHeight w:val="361"/>
        </w:trPr>
        <w:tc>
          <w:tcPr>
            <w:tcW w:w="6340" w:type="dxa"/>
            <w:vAlign w:val="bottom"/>
          </w:tcPr>
          <w:p>
            <w:pPr>
              <w:jc w:val="center"/>
              <w:ind w:left="2309"/>
              <w:spacing w:after="0"/>
              <w:rPr>
                <w:sz w:val="20"/>
                <w:szCs w:val="20"/>
                <w:color w:val="auto"/>
              </w:rPr>
            </w:pPr>
            <w:r>
              <w:rPr>
                <w:rFonts w:ascii="Arial" w:cs="Arial" w:eastAsia="Arial" w:hAnsi="Arial"/>
                <w:sz w:val="30"/>
                <w:szCs w:val="30"/>
                <w:b w:val="1"/>
                <w:bCs w:val="1"/>
                <w:color w:val="auto"/>
              </w:rPr>
              <w:t>iSTAR FINANCIAL INC.</w:t>
            </w:r>
          </w:p>
        </w:tc>
        <w:tc>
          <w:tcPr>
            <w:tcW w:w="1780" w:type="dxa"/>
            <w:vAlign w:val="bottom"/>
          </w:tcPr>
          <w:p>
            <w:pPr>
              <w:spacing w:after="0"/>
              <w:rPr>
                <w:sz w:val="24"/>
                <w:szCs w:val="24"/>
                <w:color w:val="auto"/>
              </w:rPr>
            </w:pPr>
          </w:p>
        </w:tc>
      </w:tr>
      <w:tr>
        <w:trPr>
          <w:trHeight w:val="209"/>
        </w:trPr>
        <w:tc>
          <w:tcPr>
            <w:tcW w:w="6340" w:type="dxa"/>
            <w:vAlign w:val="bottom"/>
          </w:tcPr>
          <w:p>
            <w:pPr>
              <w:jc w:val="center"/>
              <w:ind w:left="2309"/>
              <w:spacing w:after="0"/>
              <w:rPr>
                <w:sz w:val="20"/>
                <w:szCs w:val="20"/>
                <w:color w:val="auto"/>
              </w:rPr>
            </w:pPr>
            <w:r>
              <w:rPr>
                <w:rFonts w:ascii="Arial" w:cs="Arial" w:eastAsia="Arial" w:hAnsi="Arial"/>
                <w:sz w:val="17"/>
                <w:szCs w:val="17"/>
                <w:color w:val="auto"/>
                <w:w w:val="88"/>
              </w:rPr>
              <w:t>(Exact name of registrant as specified in its charter)</w:t>
            </w:r>
          </w:p>
        </w:tc>
        <w:tc>
          <w:tcPr>
            <w:tcW w:w="1780" w:type="dxa"/>
            <w:vAlign w:val="bottom"/>
          </w:tcPr>
          <w:p>
            <w:pPr>
              <w:spacing w:after="0"/>
              <w:rPr>
                <w:sz w:val="18"/>
                <w:szCs w:val="18"/>
                <w:color w:val="auto"/>
              </w:rPr>
            </w:pPr>
          </w:p>
        </w:tc>
      </w:tr>
      <w:tr>
        <w:trPr>
          <w:trHeight w:val="461"/>
        </w:trPr>
        <w:tc>
          <w:tcPr>
            <w:tcW w:w="6340" w:type="dxa"/>
            <w:vAlign w:val="bottom"/>
          </w:tcPr>
          <w:p>
            <w:pPr>
              <w:jc w:val="center"/>
              <w:ind w:right="3429"/>
              <w:spacing w:after="0"/>
              <w:rPr>
                <w:sz w:val="20"/>
                <w:szCs w:val="20"/>
                <w:color w:val="auto"/>
              </w:rPr>
            </w:pPr>
            <w:r>
              <w:rPr>
                <w:rFonts w:ascii="Arial" w:cs="Arial" w:eastAsia="Arial" w:hAnsi="Arial"/>
                <w:sz w:val="17"/>
                <w:szCs w:val="17"/>
                <w:b w:val="1"/>
                <w:bCs w:val="1"/>
                <w:color w:val="auto"/>
                <w:w w:val="93"/>
              </w:rPr>
              <w:t>Maryland</w:t>
            </w:r>
          </w:p>
        </w:tc>
        <w:tc>
          <w:tcPr>
            <w:tcW w:w="1780" w:type="dxa"/>
            <w:vAlign w:val="bottom"/>
          </w:tcPr>
          <w:p>
            <w:pPr>
              <w:jc w:val="right"/>
              <w:ind w:right="297"/>
              <w:spacing w:after="0"/>
              <w:rPr>
                <w:sz w:val="20"/>
                <w:szCs w:val="20"/>
                <w:color w:val="auto"/>
              </w:rPr>
            </w:pPr>
            <w:r>
              <w:rPr>
                <w:rFonts w:ascii="Arial" w:cs="Arial" w:eastAsia="Arial" w:hAnsi="Arial"/>
                <w:sz w:val="17"/>
                <w:szCs w:val="17"/>
                <w:b w:val="1"/>
                <w:bCs w:val="1"/>
                <w:color w:val="auto"/>
              </w:rPr>
              <w:t>95-6881527</w:t>
            </w:r>
          </w:p>
        </w:tc>
      </w:tr>
      <w:tr>
        <w:trPr>
          <w:trHeight w:val="199"/>
        </w:trPr>
        <w:tc>
          <w:tcPr>
            <w:tcW w:w="6340" w:type="dxa"/>
            <w:vAlign w:val="bottom"/>
          </w:tcPr>
          <w:p>
            <w:pPr>
              <w:jc w:val="center"/>
              <w:ind w:right="3449"/>
              <w:spacing w:after="0"/>
              <w:rPr>
                <w:sz w:val="20"/>
                <w:szCs w:val="20"/>
                <w:color w:val="auto"/>
              </w:rPr>
            </w:pPr>
            <w:r>
              <w:rPr>
                <w:rFonts w:ascii="Arial" w:cs="Arial" w:eastAsia="Arial" w:hAnsi="Arial"/>
                <w:sz w:val="17"/>
                <w:szCs w:val="17"/>
                <w:color w:val="auto"/>
                <w:w w:val="90"/>
              </w:rPr>
              <w:t>(State or other jurisdiction of</w:t>
            </w:r>
          </w:p>
        </w:tc>
        <w:tc>
          <w:tcPr>
            <w:tcW w:w="1780" w:type="dxa"/>
            <w:vAlign w:val="bottom"/>
          </w:tcPr>
          <w:p>
            <w:pPr>
              <w:jc w:val="center"/>
              <w:ind w:left="157"/>
              <w:spacing w:after="0"/>
              <w:rPr>
                <w:sz w:val="20"/>
                <w:szCs w:val="20"/>
                <w:color w:val="auto"/>
              </w:rPr>
            </w:pPr>
            <w:r>
              <w:rPr>
                <w:rFonts w:ascii="Arial" w:cs="Arial" w:eastAsia="Arial" w:hAnsi="Arial"/>
                <w:sz w:val="17"/>
                <w:szCs w:val="17"/>
                <w:color w:val="auto"/>
                <w:w w:val="91"/>
              </w:rPr>
              <w:t>(I.R.S. Employer</w:t>
            </w:r>
          </w:p>
        </w:tc>
      </w:tr>
      <w:tr>
        <w:trPr>
          <w:trHeight w:val="209"/>
        </w:trPr>
        <w:tc>
          <w:tcPr>
            <w:tcW w:w="6340" w:type="dxa"/>
            <w:vAlign w:val="bottom"/>
          </w:tcPr>
          <w:p>
            <w:pPr>
              <w:jc w:val="center"/>
              <w:ind w:right="3429"/>
              <w:spacing w:after="0"/>
              <w:rPr>
                <w:sz w:val="20"/>
                <w:szCs w:val="20"/>
                <w:color w:val="auto"/>
              </w:rPr>
            </w:pPr>
            <w:r>
              <w:rPr>
                <w:rFonts w:ascii="Arial" w:cs="Arial" w:eastAsia="Arial" w:hAnsi="Arial"/>
                <w:sz w:val="17"/>
                <w:szCs w:val="17"/>
                <w:color w:val="auto"/>
                <w:w w:val="89"/>
              </w:rPr>
              <w:t>incorporation or organization)</w:t>
            </w:r>
          </w:p>
        </w:tc>
        <w:tc>
          <w:tcPr>
            <w:tcW w:w="1780" w:type="dxa"/>
            <w:vAlign w:val="bottom"/>
          </w:tcPr>
          <w:p>
            <w:pPr>
              <w:jc w:val="center"/>
              <w:ind w:left="157"/>
              <w:spacing w:after="0"/>
              <w:rPr>
                <w:sz w:val="20"/>
                <w:szCs w:val="20"/>
                <w:color w:val="auto"/>
              </w:rPr>
            </w:pPr>
            <w:r>
              <w:rPr>
                <w:rFonts w:ascii="Arial" w:cs="Arial" w:eastAsia="Arial" w:hAnsi="Arial"/>
                <w:sz w:val="17"/>
                <w:szCs w:val="17"/>
                <w:color w:val="auto"/>
                <w:w w:val="92"/>
              </w:rPr>
              <w:t>Identification Number)</w:t>
            </w:r>
          </w:p>
        </w:tc>
      </w:tr>
      <w:tr>
        <w:trPr>
          <w:trHeight w:val="248"/>
        </w:trPr>
        <w:tc>
          <w:tcPr>
            <w:tcW w:w="6340" w:type="dxa"/>
            <w:vAlign w:val="bottom"/>
          </w:tcPr>
          <w:p>
            <w:pPr>
              <w:jc w:val="center"/>
              <w:ind w:right="3429"/>
              <w:spacing w:after="0"/>
              <w:rPr>
                <w:sz w:val="20"/>
                <w:szCs w:val="20"/>
                <w:color w:val="auto"/>
              </w:rPr>
            </w:pPr>
            <w:r>
              <w:rPr>
                <w:rFonts w:ascii="Arial" w:cs="Arial" w:eastAsia="Arial" w:hAnsi="Arial"/>
                <w:sz w:val="17"/>
                <w:szCs w:val="17"/>
                <w:b w:val="1"/>
                <w:bCs w:val="1"/>
                <w:color w:val="auto"/>
                <w:w w:val="87"/>
              </w:rPr>
              <w:t>1114 Avenue of the Americas, 39</w:t>
            </w:r>
            <w:r>
              <w:rPr>
                <w:rFonts w:ascii="Arial" w:cs="Arial" w:eastAsia="Arial" w:hAnsi="Arial"/>
                <w:sz w:val="13"/>
                <w:szCs w:val="13"/>
                <w:b w:val="1"/>
                <w:bCs w:val="1"/>
                <w:color w:val="auto"/>
                <w:w w:val="87"/>
              </w:rPr>
              <w:t>th</w:t>
            </w:r>
            <w:r>
              <w:rPr>
                <w:rFonts w:ascii="Arial" w:cs="Arial" w:eastAsia="Arial" w:hAnsi="Arial"/>
                <w:sz w:val="17"/>
                <w:szCs w:val="17"/>
                <w:b w:val="1"/>
                <w:bCs w:val="1"/>
                <w:color w:val="auto"/>
                <w:w w:val="87"/>
              </w:rPr>
              <w:t xml:space="preserve"> Floor</w:t>
            </w:r>
          </w:p>
        </w:tc>
        <w:tc>
          <w:tcPr>
            <w:tcW w:w="1780" w:type="dxa"/>
            <w:vAlign w:val="bottom"/>
          </w:tcPr>
          <w:p>
            <w:pPr>
              <w:spacing w:after="0"/>
              <w:rPr>
                <w:sz w:val="21"/>
                <w:szCs w:val="21"/>
                <w:color w:val="auto"/>
              </w:rPr>
            </w:pPr>
          </w:p>
        </w:tc>
      </w:tr>
      <w:tr>
        <w:trPr>
          <w:trHeight w:val="237"/>
        </w:trPr>
        <w:tc>
          <w:tcPr>
            <w:tcW w:w="6340" w:type="dxa"/>
            <w:vAlign w:val="bottom"/>
          </w:tcPr>
          <w:p>
            <w:pPr>
              <w:jc w:val="center"/>
              <w:ind w:right="3429"/>
              <w:spacing w:after="0"/>
              <w:rPr>
                <w:sz w:val="20"/>
                <w:szCs w:val="20"/>
                <w:color w:val="auto"/>
              </w:rPr>
            </w:pPr>
            <w:r>
              <w:rPr>
                <w:rFonts w:ascii="Arial" w:cs="Arial" w:eastAsia="Arial" w:hAnsi="Arial"/>
                <w:sz w:val="17"/>
                <w:szCs w:val="17"/>
                <w:b w:val="1"/>
                <w:bCs w:val="1"/>
                <w:color w:val="auto"/>
                <w:w w:val="92"/>
              </w:rPr>
              <w:t>New York, NY</w:t>
            </w:r>
          </w:p>
        </w:tc>
        <w:tc>
          <w:tcPr>
            <w:tcW w:w="1780" w:type="dxa"/>
            <w:vAlign w:val="bottom"/>
          </w:tcPr>
          <w:p>
            <w:pPr>
              <w:jc w:val="right"/>
              <w:ind w:right="477"/>
              <w:spacing w:after="0"/>
              <w:rPr>
                <w:sz w:val="20"/>
                <w:szCs w:val="20"/>
                <w:color w:val="auto"/>
              </w:rPr>
            </w:pPr>
            <w:r>
              <w:rPr>
                <w:rFonts w:ascii="Arial" w:cs="Arial" w:eastAsia="Arial" w:hAnsi="Arial"/>
                <w:sz w:val="17"/>
                <w:szCs w:val="17"/>
                <w:b w:val="1"/>
                <w:bCs w:val="1"/>
                <w:color w:val="auto"/>
              </w:rPr>
              <w:t>10036</w:t>
            </w:r>
          </w:p>
        </w:tc>
      </w:tr>
      <w:tr>
        <w:trPr>
          <w:trHeight w:val="209"/>
        </w:trPr>
        <w:tc>
          <w:tcPr>
            <w:tcW w:w="6340" w:type="dxa"/>
            <w:vAlign w:val="bottom"/>
          </w:tcPr>
          <w:p>
            <w:pPr>
              <w:jc w:val="center"/>
              <w:ind w:right="3429"/>
              <w:spacing w:after="0"/>
              <w:rPr>
                <w:sz w:val="20"/>
                <w:szCs w:val="20"/>
                <w:color w:val="auto"/>
              </w:rPr>
            </w:pPr>
            <w:r>
              <w:rPr>
                <w:rFonts w:ascii="Arial" w:cs="Arial" w:eastAsia="Arial" w:hAnsi="Arial"/>
                <w:sz w:val="17"/>
                <w:szCs w:val="17"/>
                <w:color w:val="auto"/>
                <w:w w:val="90"/>
              </w:rPr>
              <w:t>(Address of principal executive offices)</w:t>
            </w:r>
          </w:p>
        </w:tc>
        <w:tc>
          <w:tcPr>
            <w:tcW w:w="1780" w:type="dxa"/>
            <w:vAlign w:val="bottom"/>
          </w:tcPr>
          <w:p>
            <w:pPr>
              <w:jc w:val="center"/>
              <w:ind w:left="157"/>
              <w:spacing w:after="0"/>
              <w:rPr>
                <w:sz w:val="20"/>
                <w:szCs w:val="20"/>
                <w:color w:val="auto"/>
              </w:rPr>
            </w:pPr>
            <w:r>
              <w:rPr>
                <w:rFonts w:ascii="Arial" w:cs="Arial" w:eastAsia="Arial" w:hAnsi="Arial"/>
                <w:sz w:val="17"/>
                <w:szCs w:val="17"/>
                <w:color w:val="auto"/>
                <w:w w:val="91"/>
              </w:rPr>
              <w:t>(Zip code)</w:t>
            </w:r>
          </w:p>
        </w:tc>
      </w:tr>
    </w:tbl>
    <w:p>
      <w:pPr>
        <w:spacing w:after="0" w:line="134" w:lineRule="exact"/>
        <w:rPr>
          <w:sz w:val="24"/>
          <w:szCs w:val="24"/>
          <w:color w:val="auto"/>
        </w:rPr>
      </w:pPr>
    </w:p>
    <w:p>
      <w:pPr>
        <w:jc w:val="center"/>
        <w:ind w:right="-87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(212) 930-9400</w:t>
      </w:r>
    </w:p>
    <w:p>
      <w:pPr>
        <w:spacing w:after="0" w:line="53" w:lineRule="exact"/>
        <w:rPr>
          <w:sz w:val="24"/>
          <w:szCs w:val="24"/>
          <w:color w:val="auto"/>
        </w:rPr>
      </w:pPr>
    </w:p>
    <w:p>
      <w:pPr>
        <w:ind w:left="3100"/>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24" w:lineRule="exact"/>
        <w:rPr>
          <w:sz w:val="24"/>
          <w:szCs w:val="24"/>
          <w:color w:val="auto"/>
        </w:rPr>
      </w:pPr>
    </w:p>
    <w:p>
      <w:pPr>
        <w:ind w:left="420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0" w:lineRule="exact"/>
        <w:rPr>
          <w:sz w:val="24"/>
          <w:szCs w:val="24"/>
          <w:color w:val="auto"/>
        </w:rPr>
      </w:pP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 each class:</w:t>
            </w:r>
          </w:p>
        </w:tc>
        <w:tc>
          <w:tcPr>
            <w:tcW w:w="520" w:type="dxa"/>
            <w:vAlign w:val="bottom"/>
          </w:tcPr>
          <w:p>
            <w:pPr>
              <w:spacing w:after="0"/>
              <w:rPr>
                <w:sz w:val="15"/>
                <w:szCs w:val="15"/>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Name of Exchange on which registered:</w:t>
            </w:r>
          </w:p>
        </w:tc>
      </w:tr>
      <w:tr>
        <w:trPr>
          <w:trHeight w:val="173"/>
        </w:trPr>
        <w:tc>
          <w:tcPr>
            <w:tcW w:w="5480" w:type="dxa"/>
            <w:vAlign w:val="bottom"/>
            <w:gridSpan w:val="2"/>
          </w:tcPr>
          <w:p>
            <w:pPr>
              <w:jc w:val="center"/>
              <w:ind w:right="500"/>
              <w:spacing w:after="0"/>
              <w:rPr>
                <w:sz w:val="20"/>
                <w:szCs w:val="20"/>
                <w:color w:val="auto"/>
              </w:rPr>
            </w:pPr>
            <w:r>
              <w:rPr>
                <w:rFonts w:ascii="Arial" w:cs="Arial" w:eastAsia="Arial" w:hAnsi="Arial"/>
                <w:sz w:val="13"/>
                <w:szCs w:val="13"/>
                <w:color w:val="auto"/>
                <w:w w:val="92"/>
              </w:rPr>
              <w:t>Common Stock, $0.001 par value</w:t>
            </w:r>
          </w:p>
        </w:tc>
        <w:tc>
          <w:tcPr>
            <w:tcW w:w="5060" w:type="dxa"/>
            <w:vAlign w:val="bottom"/>
          </w:tcPr>
          <w:p>
            <w:pPr>
              <w:jc w:val="center"/>
              <w:spacing w:after="0"/>
              <w:rPr>
                <w:sz w:val="20"/>
                <w:szCs w:val="20"/>
                <w:color w:val="auto"/>
              </w:rPr>
            </w:pPr>
            <w:r>
              <w:rPr>
                <w:rFonts w:ascii="Arial" w:cs="Arial" w:eastAsia="Arial" w:hAnsi="Arial"/>
                <w:sz w:val="13"/>
                <w:szCs w:val="13"/>
                <w:color w:val="auto"/>
                <w:w w:val="92"/>
              </w:rPr>
              <w:t>New York Stock Exchange</w:t>
            </w:r>
          </w:p>
        </w:tc>
      </w:tr>
      <w:tr>
        <w:trPr>
          <w:trHeight w:val="157"/>
        </w:trPr>
        <w:tc>
          <w:tcPr>
            <w:tcW w:w="5480" w:type="dxa"/>
            <w:vAlign w:val="bottom"/>
            <w:gridSpan w:val="2"/>
          </w:tcPr>
          <w:p>
            <w:pPr>
              <w:jc w:val="center"/>
              <w:ind w:right="520"/>
              <w:spacing w:after="0"/>
              <w:rPr>
                <w:sz w:val="20"/>
                <w:szCs w:val="20"/>
                <w:color w:val="auto"/>
              </w:rPr>
            </w:pPr>
            <w:r>
              <w:rPr>
                <w:rFonts w:ascii="Arial" w:cs="Arial" w:eastAsia="Arial" w:hAnsi="Arial"/>
                <w:sz w:val="13"/>
                <w:szCs w:val="13"/>
                <w:color w:val="auto"/>
                <w:w w:val="91"/>
              </w:rPr>
              <w:t>8.000% Series D Cumulative Redeemable</w:t>
            </w:r>
          </w:p>
        </w:tc>
        <w:tc>
          <w:tcPr>
            <w:tcW w:w="5060" w:type="dxa"/>
            <w:vAlign w:val="bottom"/>
          </w:tcPr>
          <w:p>
            <w:pPr>
              <w:jc w:val="center"/>
              <w:spacing w:after="0"/>
              <w:rPr>
                <w:sz w:val="20"/>
                <w:szCs w:val="20"/>
                <w:color w:val="auto"/>
              </w:rPr>
            </w:pPr>
            <w:r>
              <w:rPr>
                <w:rFonts w:ascii="Arial" w:cs="Arial" w:eastAsia="Arial" w:hAnsi="Arial"/>
                <w:sz w:val="13"/>
                <w:szCs w:val="13"/>
                <w:color w:val="auto"/>
                <w:w w:val="92"/>
              </w:rPr>
              <w:t>New York Stock Exchange</w:t>
            </w:r>
          </w:p>
        </w:tc>
      </w:tr>
      <w:tr>
        <w:trPr>
          <w:trHeight w:val="166"/>
        </w:trPr>
        <w:tc>
          <w:tcPr>
            <w:tcW w:w="5480" w:type="dxa"/>
            <w:vAlign w:val="bottom"/>
            <w:gridSpan w:val="2"/>
          </w:tcPr>
          <w:p>
            <w:pPr>
              <w:jc w:val="center"/>
              <w:ind w:right="500"/>
              <w:spacing w:after="0"/>
              <w:rPr>
                <w:sz w:val="20"/>
                <w:szCs w:val="20"/>
                <w:color w:val="auto"/>
              </w:rPr>
            </w:pPr>
            <w:r>
              <w:rPr>
                <w:rFonts w:ascii="Arial" w:cs="Arial" w:eastAsia="Arial" w:hAnsi="Arial"/>
                <w:sz w:val="13"/>
                <w:szCs w:val="13"/>
                <w:color w:val="auto"/>
                <w:w w:val="91"/>
              </w:rPr>
              <w:t>Preferred Stock, $0.001 par value</w:t>
            </w:r>
          </w:p>
        </w:tc>
        <w:tc>
          <w:tcPr>
            <w:tcW w:w="5060" w:type="dxa"/>
            <w:vAlign w:val="bottom"/>
          </w:tcPr>
          <w:p>
            <w:pPr>
              <w:spacing w:after="0"/>
              <w:rPr>
                <w:sz w:val="14"/>
                <w:szCs w:val="14"/>
                <w:color w:val="auto"/>
              </w:rPr>
            </w:pPr>
          </w:p>
        </w:tc>
      </w:tr>
      <w:tr>
        <w:trPr>
          <w:trHeight w:val="157"/>
        </w:trPr>
        <w:tc>
          <w:tcPr>
            <w:tcW w:w="5480" w:type="dxa"/>
            <w:vAlign w:val="bottom"/>
            <w:gridSpan w:val="2"/>
          </w:tcPr>
          <w:p>
            <w:pPr>
              <w:jc w:val="center"/>
              <w:ind w:right="520"/>
              <w:spacing w:after="0"/>
              <w:rPr>
                <w:sz w:val="20"/>
                <w:szCs w:val="20"/>
                <w:color w:val="auto"/>
              </w:rPr>
            </w:pPr>
            <w:r>
              <w:rPr>
                <w:rFonts w:ascii="Arial" w:cs="Arial" w:eastAsia="Arial" w:hAnsi="Arial"/>
                <w:sz w:val="13"/>
                <w:szCs w:val="13"/>
                <w:color w:val="auto"/>
                <w:w w:val="90"/>
              </w:rPr>
              <w:t>7.875% Series E Cumulative Redeemable</w:t>
            </w:r>
          </w:p>
        </w:tc>
        <w:tc>
          <w:tcPr>
            <w:tcW w:w="5060" w:type="dxa"/>
            <w:vAlign w:val="bottom"/>
          </w:tcPr>
          <w:p>
            <w:pPr>
              <w:jc w:val="center"/>
              <w:spacing w:after="0"/>
              <w:rPr>
                <w:sz w:val="20"/>
                <w:szCs w:val="20"/>
                <w:color w:val="auto"/>
              </w:rPr>
            </w:pPr>
            <w:r>
              <w:rPr>
                <w:rFonts w:ascii="Arial" w:cs="Arial" w:eastAsia="Arial" w:hAnsi="Arial"/>
                <w:sz w:val="13"/>
                <w:szCs w:val="13"/>
                <w:color w:val="auto"/>
                <w:w w:val="92"/>
              </w:rPr>
              <w:t>New York Stock Exchange</w:t>
            </w:r>
          </w:p>
        </w:tc>
      </w:tr>
      <w:tr>
        <w:trPr>
          <w:trHeight w:val="166"/>
        </w:trPr>
        <w:tc>
          <w:tcPr>
            <w:tcW w:w="5480" w:type="dxa"/>
            <w:vAlign w:val="bottom"/>
            <w:gridSpan w:val="2"/>
          </w:tcPr>
          <w:p>
            <w:pPr>
              <w:jc w:val="center"/>
              <w:ind w:right="500"/>
              <w:spacing w:after="0"/>
              <w:rPr>
                <w:sz w:val="20"/>
                <w:szCs w:val="20"/>
                <w:color w:val="auto"/>
              </w:rPr>
            </w:pPr>
            <w:r>
              <w:rPr>
                <w:rFonts w:ascii="Arial" w:cs="Arial" w:eastAsia="Arial" w:hAnsi="Arial"/>
                <w:sz w:val="13"/>
                <w:szCs w:val="13"/>
                <w:color w:val="auto"/>
                <w:w w:val="91"/>
              </w:rPr>
              <w:t>Preferred Stock, $0.001 par value</w:t>
            </w:r>
          </w:p>
        </w:tc>
        <w:tc>
          <w:tcPr>
            <w:tcW w:w="5060" w:type="dxa"/>
            <w:vAlign w:val="bottom"/>
          </w:tcPr>
          <w:p>
            <w:pPr>
              <w:spacing w:after="0"/>
              <w:rPr>
                <w:sz w:val="14"/>
                <w:szCs w:val="14"/>
                <w:color w:val="auto"/>
              </w:rPr>
            </w:pPr>
          </w:p>
        </w:tc>
      </w:tr>
      <w:tr>
        <w:trPr>
          <w:trHeight w:val="157"/>
        </w:trPr>
        <w:tc>
          <w:tcPr>
            <w:tcW w:w="5480" w:type="dxa"/>
            <w:vAlign w:val="bottom"/>
            <w:gridSpan w:val="2"/>
          </w:tcPr>
          <w:p>
            <w:pPr>
              <w:jc w:val="center"/>
              <w:ind w:right="520"/>
              <w:spacing w:after="0"/>
              <w:rPr>
                <w:sz w:val="20"/>
                <w:szCs w:val="20"/>
                <w:color w:val="auto"/>
              </w:rPr>
            </w:pPr>
            <w:r>
              <w:rPr>
                <w:rFonts w:ascii="Arial" w:cs="Arial" w:eastAsia="Arial" w:hAnsi="Arial"/>
                <w:sz w:val="13"/>
                <w:szCs w:val="13"/>
                <w:color w:val="auto"/>
                <w:w w:val="91"/>
              </w:rPr>
              <w:t>7.8% Series F Cumulative Redeemable</w:t>
            </w:r>
          </w:p>
        </w:tc>
        <w:tc>
          <w:tcPr>
            <w:tcW w:w="5060" w:type="dxa"/>
            <w:vAlign w:val="bottom"/>
          </w:tcPr>
          <w:p>
            <w:pPr>
              <w:jc w:val="center"/>
              <w:spacing w:after="0"/>
              <w:rPr>
                <w:sz w:val="20"/>
                <w:szCs w:val="20"/>
                <w:color w:val="auto"/>
              </w:rPr>
            </w:pPr>
            <w:r>
              <w:rPr>
                <w:rFonts w:ascii="Arial" w:cs="Arial" w:eastAsia="Arial" w:hAnsi="Arial"/>
                <w:sz w:val="13"/>
                <w:szCs w:val="13"/>
                <w:color w:val="auto"/>
                <w:w w:val="92"/>
              </w:rPr>
              <w:t>New York Stock Exchange</w:t>
            </w:r>
          </w:p>
        </w:tc>
      </w:tr>
      <w:tr>
        <w:trPr>
          <w:trHeight w:val="166"/>
        </w:trPr>
        <w:tc>
          <w:tcPr>
            <w:tcW w:w="5480" w:type="dxa"/>
            <w:vAlign w:val="bottom"/>
            <w:gridSpan w:val="2"/>
          </w:tcPr>
          <w:p>
            <w:pPr>
              <w:jc w:val="center"/>
              <w:ind w:right="500"/>
              <w:spacing w:after="0"/>
              <w:rPr>
                <w:sz w:val="20"/>
                <w:szCs w:val="20"/>
                <w:color w:val="auto"/>
              </w:rPr>
            </w:pPr>
            <w:r>
              <w:rPr>
                <w:rFonts w:ascii="Arial" w:cs="Arial" w:eastAsia="Arial" w:hAnsi="Arial"/>
                <w:sz w:val="13"/>
                <w:szCs w:val="13"/>
                <w:color w:val="auto"/>
                <w:w w:val="91"/>
              </w:rPr>
              <w:t>Preferred Stock, $0.001 par value</w:t>
            </w:r>
          </w:p>
        </w:tc>
        <w:tc>
          <w:tcPr>
            <w:tcW w:w="5060" w:type="dxa"/>
            <w:vAlign w:val="bottom"/>
          </w:tcPr>
          <w:p>
            <w:pPr>
              <w:spacing w:after="0"/>
              <w:rPr>
                <w:sz w:val="14"/>
                <w:szCs w:val="14"/>
                <w:color w:val="auto"/>
              </w:rPr>
            </w:pPr>
          </w:p>
        </w:tc>
      </w:tr>
      <w:tr>
        <w:trPr>
          <w:trHeight w:val="157"/>
        </w:trPr>
        <w:tc>
          <w:tcPr>
            <w:tcW w:w="5480" w:type="dxa"/>
            <w:vAlign w:val="bottom"/>
            <w:gridSpan w:val="2"/>
          </w:tcPr>
          <w:p>
            <w:pPr>
              <w:jc w:val="center"/>
              <w:ind w:right="520"/>
              <w:spacing w:after="0"/>
              <w:rPr>
                <w:sz w:val="20"/>
                <w:szCs w:val="20"/>
                <w:color w:val="auto"/>
              </w:rPr>
            </w:pPr>
            <w:r>
              <w:rPr>
                <w:rFonts w:ascii="Arial" w:cs="Arial" w:eastAsia="Arial" w:hAnsi="Arial"/>
                <w:sz w:val="13"/>
                <w:szCs w:val="13"/>
                <w:color w:val="auto"/>
                <w:w w:val="91"/>
              </w:rPr>
              <w:t>7.65% Series G Cumulative Redeemable</w:t>
            </w:r>
          </w:p>
        </w:tc>
        <w:tc>
          <w:tcPr>
            <w:tcW w:w="5060" w:type="dxa"/>
            <w:vAlign w:val="bottom"/>
          </w:tcPr>
          <w:p>
            <w:pPr>
              <w:jc w:val="center"/>
              <w:spacing w:after="0"/>
              <w:rPr>
                <w:sz w:val="20"/>
                <w:szCs w:val="20"/>
                <w:color w:val="auto"/>
              </w:rPr>
            </w:pPr>
            <w:r>
              <w:rPr>
                <w:rFonts w:ascii="Arial" w:cs="Arial" w:eastAsia="Arial" w:hAnsi="Arial"/>
                <w:sz w:val="13"/>
                <w:szCs w:val="13"/>
                <w:color w:val="auto"/>
                <w:w w:val="92"/>
              </w:rPr>
              <w:t>New York Stock Exchange</w:t>
            </w:r>
          </w:p>
        </w:tc>
      </w:tr>
      <w:tr>
        <w:trPr>
          <w:trHeight w:val="166"/>
        </w:trPr>
        <w:tc>
          <w:tcPr>
            <w:tcW w:w="5480" w:type="dxa"/>
            <w:vAlign w:val="bottom"/>
            <w:gridSpan w:val="2"/>
          </w:tcPr>
          <w:p>
            <w:pPr>
              <w:jc w:val="center"/>
              <w:ind w:right="500"/>
              <w:spacing w:after="0"/>
              <w:rPr>
                <w:sz w:val="20"/>
                <w:szCs w:val="20"/>
                <w:color w:val="auto"/>
              </w:rPr>
            </w:pPr>
            <w:r>
              <w:rPr>
                <w:rFonts w:ascii="Arial" w:cs="Arial" w:eastAsia="Arial" w:hAnsi="Arial"/>
                <w:sz w:val="13"/>
                <w:szCs w:val="13"/>
                <w:color w:val="auto"/>
                <w:w w:val="91"/>
              </w:rPr>
              <w:t>Preferred Stock, $0.001 par value</w:t>
            </w:r>
          </w:p>
        </w:tc>
        <w:tc>
          <w:tcPr>
            <w:tcW w:w="5060" w:type="dxa"/>
            <w:vAlign w:val="bottom"/>
          </w:tcPr>
          <w:p>
            <w:pPr>
              <w:spacing w:after="0"/>
              <w:rPr>
                <w:sz w:val="14"/>
                <w:szCs w:val="14"/>
                <w:color w:val="auto"/>
              </w:rPr>
            </w:pPr>
          </w:p>
        </w:tc>
      </w:tr>
      <w:tr>
        <w:trPr>
          <w:trHeight w:val="167"/>
        </w:trPr>
        <w:tc>
          <w:tcPr>
            <w:tcW w:w="5480" w:type="dxa"/>
            <w:vAlign w:val="bottom"/>
            <w:gridSpan w:val="2"/>
          </w:tcPr>
          <w:p>
            <w:pPr>
              <w:jc w:val="center"/>
              <w:ind w:right="520"/>
              <w:spacing w:after="0"/>
              <w:rPr>
                <w:sz w:val="20"/>
                <w:szCs w:val="20"/>
                <w:color w:val="auto"/>
              </w:rPr>
            </w:pPr>
            <w:r>
              <w:rPr>
                <w:rFonts w:ascii="Arial" w:cs="Arial" w:eastAsia="Arial" w:hAnsi="Arial"/>
                <w:sz w:val="13"/>
                <w:szCs w:val="13"/>
                <w:color w:val="auto"/>
                <w:w w:val="91"/>
              </w:rPr>
              <w:t>7.50% Series I Cumulative Redeemable</w:t>
            </w:r>
          </w:p>
        </w:tc>
        <w:tc>
          <w:tcPr>
            <w:tcW w:w="5060" w:type="dxa"/>
            <w:vAlign w:val="bottom"/>
          </w:tcPr>
          <w:p>
            <w:pPr>
              <w:jc w:val="center"/>
              <w:spacing w:after="0"/>
              <w:rPr>
                <w:sz w:val="20"/>
                <w:szCs w:val="20"/>
                <w:color w:val="auto"/>
              </w:rPr>
            </w:pPr>
            <w:r>
              <w:rPr>
                <w:rFonts w:ascii="Arial" w:cs="Arial" w:eastAsia="Arial" w:hAnsi="Arial"/>
                <w:sz w:val="13"/>
                <w:szCs w:val="13"/>
                <w:color w:val="auto"/>
                <w:w w:val="92"/>
              </w:rPr>
              <w:t>New York Stock Exchange</w:t>
            </w:r>
          </w:p>
        </w:tc>
      </w:tr>
    </w:tbl>
    <w:p>
      <w:pPr>
        <w:ind w:left="1600"/>
        <w:spacing w:after="0"/>
        <w:rPr>
          <w:sz w:val="20"/>
          <w:szCs w:val="20"/>
          <w:color w:val="auto"/>
        </w:rPr>
      </w:pPr>
      <w:r>
        <w:rPr>
          <w:rFonts w:ascii="Arial" w:cs="Arial" w:eastAsia="Arial" w:hAnsi="Arial"/>
          <w:sz w:val="13"/>
          <w:szCs w:val="13"/>
          <w:color w:val="auto"/>
        </w:rPr>
        <w:t>Preferred Stock, $0.001 par value</w:t>
      </w:r>
    </w:p>
    <w:p>
      <w:pPr>
        <w:spacing w:after="0" w:line="159" w:lineRule="exact"/>
        <w:rPr>
          <w:sz w:val="24"/>
          <w:szCs w:val="24"/>
          <w:color w:val="auto"/>
        </w:rPr>
      </w:pPr>
    </w:p>
    <w:p>
      <w:pPr>
        <w:ind w:left="402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252" w:lineRule="exact"/>
        <w:rPr>
          <w:sz w:val="24"/>
          <w:szCs w:val="24"/>
          <w:color w:val="auto"/>
        </w:rPr>
      </w:pPr>
    </w:p>
    <w:p>
      <w:pPr>
        <w:ind w:left="540"/>
        <w:spacing w:after="0" w:line="150" w:lineRule="exact"/>
        <w:tabs>
          <w:tab w:leader="none" w:pos="724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No o</w:t>
      </w:r>
    </w:p>
    <w:p>
      <w:pPr>
        <w:spacing w:after="0" w:line="248"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376" w:lineRule="exact"/>
        <w:rPr>
          <w:sz w:val="24"/>
          <w:szCs w:val="24"/>
          <w:color w:val="auto"/>
        </w:rPr>
      </w:pPr>
    </w:p>
    <w:p>
      <w:pPr>
        <w:ind w:left="56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40"/>
          </w:cols>
          <w:pgMar w:left="240" w:top="219" w:right="1119" w:bottom="1440" w:gutter="0" w:footer="0" w:header="0"/>
          <w:type w:val="continuous"/>
        </w:sectPr>
      </w:pPr>
    </w:p>
    <w:bookmarkStart w:id="1" w:name="page2"/>
    <w:bookmarkEnd w:id="1"/>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1" w:lineRule="exact"/>
        <w:rPr>
          <w:sz w:val="20"/>
          <w:szCs w:val="20"/>
          <w:color w:val="auto"/>
        </w:rPr>
      </w:pPr>
    </w:p>
    <w:p>
      <w:pPr>
        <w:ind w:firstLine="546"/>
        <w:spacing w:after="0" w:line="166" w:lineRule="exact"/>
        <w:rPr>
          <w:sz w:val="20"/>
          <w:szCs w:val="20"/>
          <w:color w:val="auto"/>
        </w:rPr>
      </w:pPr>
      <w:r>
        <w:rPr>
          <w:rFonts w:ascii="Arial" w:cs="Arial" w:eastAsia="Arial" w:hAnsi="Arial"/>
          <w:sz w:val="13"/>
          <w:szCs w:val="13"/>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16" w:lineRule="exact"/>
        <w:rPr>
          <w:sz w:val="20"/>
          <w:szCs w:val="20"/>
          <w:color w:val="auto"/>
        </w:rPr>
      </w:pPr>
    </w:p>
    <w:p>
      <w:pPr>
        <w:ind w:firstLine="546"/>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16" w:lineRule="exact"/>
        <w:rPr>
          <w:sz w:val="20"/>
          <w:szCs w:val="20"/>
          <w:color w:val="auto"/>
        </w:rPr>
      </w:pPr>
    </w:p>
    <w:p>
      <w:pPr>
        <w:ind w:firstLine="546"/>
        <w:spacing w:after="0" w:line="166"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and "smaller reporting company" in Rule 12b-2 of the Exchange Act (check one):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20" w:type="dxa"/>
            <w:vAlign w:val="bottom"/>
          </w:tcPr>
          <w:p>
            <w:pPr>
              <w:jc w:val="center"/>
              <w:spacing w:after="0"/>
              <w:rPr>
                <w:sz w:val="20"/>
                <w:szCs w:val="20"/>
                <w:color w:val="auto"/>
              </w:rPr>
            </w:pPr>
            <w:r>
              <w:rPr>
                <w:rFonts w:ascii="Arial" w:cs="Arial" w:eastAsia="Arial" w:hAnsi="Arial"/>
                <w:sz w:val="13"/>
                <w:szCs w:val="13"/>
                <w:color w:val="auto"/>
                <w:w w:val="93"/>
              </w:rPr>
              <w:t>Non-accelerated filer o</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vMerge w:val="restart"/>
          </w:tcPr>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2740" w:type="dxa"/>
            <w:vAlign w:val="bottom"/>
          </w:tcPr>
          <w:p>
            <w:pPr>
              <w:spacing w:after="0"/>
              <w:rPr>
                <w:sz w:val="14"/>
                <w:szCs w:val="14"/>
                <w:color w:val="auto"/>
              </w:rPr>
            </w:pPr>
          </w:p>
        </w:tc>
        <w:tc>
          <w:tcPr>
            <w:tcW w:w="3220" w:type="dxa"/>
            <w:vAlign w:val="bottom"/>
          </w:tcPr>
          <w:p>
            <w:pPr>
              <w:ind w:left="1120"/>
              <w:spacing w:after="0"/>
              <w:rPr>
                <w:sz w:val="20"/>
                <w:szCs w:val="20"/>
                <w:color w:val="auto"/>
              </w:rPr>
            </w:pPr>
            <w:r>
              <w:rPr>
                <w:rFonts w:ascii="Arial" w:cs="Arial" w:eastAsia="Arial" w:hAnsi="Arial"/>
                <w:sz w:val="13"/>
                <w:szCs w:val="13"/>
                <w:color w:val="auto"/>
              </w:rPr>
              <w:t>(Do not check if a</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vMerge w:val="continue"/>
          </w:tcPr>
          <w:p>
            <w:pPr>
              <w:spacing w:after="0"/>
              <w:rPr>
                <w:sz w:val="14"/>
                <w:szCs w:val="14"/>
                <w:color w:val="auto"/>
              </w:rPr>
            </w:pPr>
          </w:p>
        </w:tc>
        <w:tc>
          <w:tcPr>
            <w:tcW w:w="2740" w:type="dxa"/>
            <w:vAlign w:val="bottom"/>
          </w:tcPr>
          <w:p>
            <w:pPr>
              <w:ind w:left="920"/>
              <w:spacing w:after="0"/>
              <w:rPr>
                <w:sz w:val="20"/>
                <w:szCs w:val="20"/>
                <w:color w:val="auto"/>
              </w:rPr>
            </w:pPr>
            <w:r>
              <w:rPr>
                <w:rFonts w:ascii="Arial" w:cs="Arial" w:eastAsia="Arial" w:hAnsi="Arial"/>
                <w:sz w:val="13"/>
                <w:szCs w:val="13"/>
                <w:color w:val="auto"/>
              </w:rPr>
              <w:t>Accelerated filer o</w:t>
            </w:r>
          </w:p>
        </w:tc>
        <w:tc>
          <w:tcPr>
            <w:tcW w:w="3220" w:type="dxa"/>
            <w:vAlign w:val="bottom"/>
          </w:tcPr>
          <w:p>
            <w:pPr>
              <w:jc w:val="center"/>
              <w:spacing w:after="0"/>
              <w:rPr>
                <w:sz w:val="20"/>
                <w:szCs w:val="20"/>
                <w:color w:val="auto"/>
              </w:rPr>
            </w:pPr>
            <w:r>
              <w:rPr>
                <w:rFonts w:ascii="Arial" w:cs="Arial" w:eastAsia="Arial" w:hAnsi="Arial"/>
                <w:sz w:val="13"/>
                <w:szCs w:val="13"/>
                <w:color w:val="auto"/>
                <w:w w:val="93"/>
              </w:rPr>
              <w:t>smaller reporting company)</w:t>
            </w:r>
          </w:p>
        </w:tc>
        <w:tc>
          <w:tcPr>
            <w:tcW w:w="2440" w:type="dxa"/>
            <w:vAlign w:val="bottom"/>
          </w:tcPr>
          <w:p>
            <w:pPr>
              <w:ind w:left="900"/>
              <w:spacing w:after="0"/>
              <w:rPr>
                <w:sz w:val="20"/>
                <w:szCs w:val="20"/>
                <w:color w:val="auto"/>
              </w:rPr>
            </w:pPr>
            <w:r>
              <w:rPr>
                <w:rFonts w:ascii="Arial" w:cs="Arial" w:eastAsia="Arial" w:hAnsi="Arial"/>
                <w:sz w:val="13"/>
                <w:szCs w:val="13"/>
                <w:color w:val="auto"/>
                <w:w w:val="91"/>
              </w:rPr>
              <w:t>Smaller reporting company o</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40"/>
        <w:spacing w:after="0" w:line="138" w:lineRule="exact"/>
        <w:tabs>
          <w:tab w:leader="none" w:pos="64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84" w:lineRule="exact"/>
        <w:rPr>
          <w:sz w:val="20"/>
          <w:szCs w:val="20"/>
          <w:color w:val="auto"/>
        </w:rPr>
      </w:pPr>
    </w:p>
    <w:p>
      <w:pPr>
        <w:ind w:firstLine="546"/>
        <w:spacing w:after="0" w:line="265" w:lineRule="auto"/>
        <w:rPr>
          <w:sz w:val="20"/>
          <w:szCs w:val="20"/>
          <w:color w:val="auto"/>
        </w:rPr>
      </w:pPr>
      <w:r>
        <w:rPr>
          <w:rFonts w:ascii="Arial" w:cs="Arial" w:eastAsia="Arial" w:hAnsi="Arial"/>
          <w:sz w:val="13"/>
          <w:szCs w:val="13"/>
          <w:color w:val="auto"/>
        </w:rPr>
        <w:t>As of June 30, 2012, the aggregate market value of the common stock, $0.001 par value per share of iStar Financial Inc. ("Common Stock"), held by non-affiliates (1) of the registrant was approximately $515.0 million, based upon the closing price of $6.45 on the New York Stock Exchange composite tape on such date.</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As of February 22, 2013, there were 84,886,827 shares of Common Stock outstanding.</w:t>
      </w:r>
    </w:p>
    <w:p>
      <w:pPr>
        <w:spacing w:after="0" w:line="119" w:lineRule="exact"/>
        <w:rPr>
          <w:sz w:val="20"/>
          <w:szCs w:val="20"/>
          <w:color w:val="auto"/>
        </w:rPr>
      </w:pPr>
    </w:p>
    <w:p>
      <w:pPr>
        <w:ind w:left="600" w:hanging="303"/>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3"/>
          <w:szCs w:val="13"/>
          <w:color w:val="auto"/>
        </w:rPr>
        <w:t>For purposes of this Annual Report only, includes all outstanding Common Stock other than Common Stock held directly by the registrant's directors and executive officers.</w:t>
      </w:r>
    </w:p>
    <w:p>
      <w:pPr>
        <w:spacing w:after="0" w:line="127" w:lineRule="exact"/>
        <w:rPr>
          <w:rFonts w:ascii="Arial" w:cs="Arial" w:eastAsia="Arial" w:hAnsi="Arial"/>
          <w:sz w:val="17"/>
          <w:szCs w:val="17"/>
          <w:color w:val="auto"/>
        </w:rPr>
      </w:pPr>
    </w:p>
    <w:p>
      <w:pPr>
        <w:ind w:left="4200"/>
        <w:spacing w:after="0"/>
        <w:rPr>
          <w:rFonts w:ascii="Arial" w:cs="Arial" w:eastAsia="Arial" w:hAnsi="Arial"/>
          <w:sz w:val="17"/>
          <w:szCs w:val="17"/>
          <w:color w:val="auto"/>
        </w:rPr>
      </w:pPr>
      <w:r>
        <w:rPr>
          <w:rFonts w:ascii="Arial" w:cs="Arial" w:eastAsia="Arial" w:hAnsi="Arial"/>
          <w:sz w:val="13"/>
          <w:szCs w:val="13"/>
          <w:b w:val="1"/>
          <w:bCs w:val="1"/>
          <w:color w:val="auto"/>
        </w:rPr>
        <w:t>DOCUMENTS INCORPORATED BY REFERENCE</w:t>
      </w:r>
    </w:p>
    <w:p>
      <w:pPr>
        <w:spacing w:after="0" w:line="252" w:lineRule="exact"/>
        <w:rPr>
          <w:sz w:val="20"/>
          <w:szCs w:val="20"/>
          <w:color w:val="auto"/>
        </w:rPr>
      </w:pPr>
    </w:p>
    <w:p>
      <w:pPr>
        <w:ind w:left="600" w:right="200" w:hanging="303"/>
        <w:spacing w:after="0" w:line="265" w:lineRule="auto"/>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Portions of the registrant's definitive proxy statement for the registrant's 2013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257415" cy="71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0" w:right="239" w:bottom="1440" w:gutter="0" w:footer="0" w:header="0"/>
        </w:sectPr>
      </w:pPr>
    </w:p>
    <w:bookmarkStart w:id="2" w:name="page3"/>
    <w:bookmarkEnd w:id="2"/>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0" w:type="dxa"/>
            <w:vAlign w:val="bottom"/>
            <w:gridSpan w:val="10"/>
          </w:tcPr>
          <w:p>
            <w:pPr>
              <w:ind w:left="68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89"/>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rPr>
              <w:t>Page</w:t>
            </w:r>
          </w:p>
        </w:tc>
      </w:tr>
      <w:tr>
        <w:trPr>
          <w:trHeight w:val="174"/>
        </w:trPr>
        <w:tc>
          <w:tcPr>
            <w:tcW w:w="1120" w:type="dxa"/>
            <w:vAlign w:val="bottom"/>
            <w:gridSpan w:val="5"/>
          </w:tcPr>
          <w:p>
            <w:pPr>
              <w:spacing w:after="0" w:line="154" w:lineRule="exact"/>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PART I</w:t>
              </w:r>
            </w:hyperlink>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gridSpan w:val="5"/>
          </w:tcPr>
          <w:p>
            <w:pPr>
              <w:jc w:val="right"/>
              <w:ind w:right="20"/>
              <w:spacing w:after="0" w:line="154" w:lineRule="exact"/>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5"/>
        </w:trPr>
        <w:tc>
          <w:tcPr>
            <w:tcW w:w="4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80" w:type="dxa"/>
            <w:vAlign w:val="bottom"/>
          </w:tcPr>
          <w:p>
            <w:pPr>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Item 1.</w:t>
              </w:r>
            </w:hyperlink>
          </w:p>
        </w:tc>
        <w:tc>
          <w:tcPr>
            <w:tcW w:w="640" w:type="dxa"/>
            <w:vAlign w:val="bottom"/>
            <w:gridSpan w:val="4"/>
          </w:tcPr>
          <w:p>
            <w:pPr>
              <w:spacing w:after="0"/>
              <w:rPr>
                <w:sz w:val="20"/>
                <w:szCs w:val="20"/>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4">
              <w:r>
                <w:rPr>
                  <w:rFonts w:ascii="Arial" w:cs="Arial" w:eastAsia="Arial" w:hAnsi="Arial"/>
                  <w:sz w:val="17"/>
                  <w:szCs w:val="17"/>
                  <w:color w:val="0000FF"/>
                </w:rPr>
                <w:t>Business</w:t>
              </w:r>
            </w:hyperlink>
          </w:p>
        </w:tc>
        <w:tc>
          <w:tcPr>
            <w:tcW w:w="580" w:type="dxa"/>
            <w:vAlign w:val="bottom"/>
            <w:gridSpan w:val="3"/>
          </w:tcPr>
          <w:p>
            <w:pPr>
              <w:spacing w:after="0"/>
              <w:rPr>
                <w:sz w:val="20"/>
                <w:szCs w:val="20"/>
                <w:color w:val="auto"/>
              </w:rPr>
            </w:pPr>
          </w:p>
        </w:tc>
        <w:tc>
          <w:tcPr>
            <w:tcW w:w="100" w:type="dxa"/>
            <w:vAlign w:val="bottom"/>
            <w:gridSpan w:val="2"/>
          </w:tcPr>
          <w:p>
            <w:pPr>
              <w:jc w:val="right"/>
              <w:ind w:right="20"/>
              <w:spacing w:after="0"/>
              <w:rPr>
                <w:rFonts w:ascii="Arial" w:cs="Arial" w:eastAsia="Arial" w:hAnsi="Arial"/>
                <w:sz w:val="14"/>
                <w:szCs w:val="14"/>
                <w:color w:val="0000FF"/>
                <w:w w:val="76"/>
              </w:rPr>
            </w:pPr>
            <w:hyperlink w:anchor="page4">
              <w:r>
                <w:rPr>
                  <w:rFonts w:ascii="Arial" w:cs="Arial" w:eastAsia="Arial" w:hAnsi="Arial"/>
                  <w:sz w:val="14"/>
                  <w:szCs w:val="14"/>
                  <w:color w:val="0000FF"/>
                  <w:w w:val="76"/>
                </w:rPr>
                <w:t>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16">
              <w:r>
                <w:rPr>
                  <w:rFonts w:ascii="Arial" w:cs="Arial" w:eastAsia="Arial" w:hAnsi="Arial"/>
                  <w:sz w:val="17"/>
                  <w:szCs w:val="17"/>
                  <w:color w:val="0000FF"/>
                  <w:w w:val="87"/>
                </w:rPr>
                <w:t>Item 1a.</w:t>
              </w:r>
            </w:hyperlink>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6">
              <w:r>
                <w:rPr>
                  <w:rFonts w:ascii="Arial" w:cs="Arial" w:eastAsia="Arial" w:hAnsi="Arial"/>
                  <w:sz w:val="17"/>
                  <w:szCs w:val="17"/>
                  <w:color w:val="0000FF"/>
                </w:rPr>
                <w:t>Risk Factors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6">
              <w:r>
                <w:rPr>
                  <w:rFonts w:ascii="Arial" w:cs="Arial" w:eastAsia="Arial" w:hAnsi="Arial"/>
                  <w:sz w:val="17"/>
                  <w:szCs w:val="17"/>
                  <w:color w:val="0000FF"/>
                </w:rPr>
                <w:t>16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23">
              <w:r>
                <w:rPr>
                  <w:rFonts w:ascii="Arial" w:cs="Arial" w:eastAsia="Arial" w:hAnsi="Arial"/>
                  <w:sz w:val="17"/>
                  <w:szCs w:val="17"/>
                  <w:color w:val="0000FF"/>
                  <w:w w:val="87"/>
                </w:rPr>
                <w:t>Item 1b.</w:t>
              </w:r>
            </w:hyperlink>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23">
              <w:r>
                <w:rPr>
                  <w:rFonts w:ascii="Arial" w:cs="Arial" w:eastAsia="Arial" w:hAnsi="Arial"/>
                  <w:sz w:val="17"/>
                  <w:szCs w:val="17"/>
                  <w:color w:val="0000FF"/>
                </w:rPr>
                <w:t>Unresolved Staff Comments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23">
              <w:r>
                <w:rPr>
                  <w:rFonts w:ascii="Arial" w:cs="Arial" w:eastAsia="Arial" w:hAnsi="Arial"/>
                  <w:sz w:val="17"/>
                  <w:szCs w:val="17"/>
                  <w:color w:val="0000FF"/>
                </w:rPr>
                <w:t>23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24">
              <w:r>
                <w:rPr>
                  <w:rFonts w:ascii="Arial" w:cs="Arial" w:eastAsia="Arial" w:hAnsi="Arial"/>
                  <w:sz w:val="17"/>
                  <w:szCs w:val="17"/>
                  <w:color w:val="0000FF"/>
                  <w:w w:val="84"/>
                </w:rPr>
                <w:t>Item 2.</w:t>
              </w:r>
            </w:hyperlink>
          </w:p>
        </w:tc>
        <w:tc>
          <w:tcPr>
            <w:tcW w:w="80" w:type="dxa"/>
            <w:vAlign w:val="bottom"/>
          </w:tcPr>
          <w:p>
            <w:pPr>
              <w:spacing w:after="0"/>
              <w:rPr>
                <w:sz w:val="19"/>
                <w:szCs w:val="19"/>
                <w:color w:val="auto"/>
              </w:rPr>
            </w:pPr>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24">
              <w:r>
                <w:rPr>
                  <w:rFonts w:ascii="Arial" w:cs="Arial" w:eastAsia="Arial" w:hAnsi="Arial"/>
                  <w:sz w:val="17"/>
                  <w:szCs w:val="17"/>
                  <w:color w:val="0000FF"/>
                </w:rPr>
                <w:t>Properties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24">
              <w:r>
                <w:rPr>
                  <w:rFonts w:ascii="Arial" w:cs="Arial" w:eastAsia="Arial" w:hAnsi="Arial"/>
                  <w:sz w:val="17"/>
                  <w:szCs w:val="17"/>
                  <w:color w:val="0000FF"/>
                </w:rPr>
                <w:t>24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25">
              <w:r>
                <w:rPr>
                  <w:rFonts w:ascii="Arial" w:cs="Arial" w:eastAsia="Arial" w:hAnsi="Arial"/>
                  <w:sz w:val="17"/>
                  <w:szCs w:val="17"/>
                  <w:color w:val="0000FF"/>
                  <w:w w:val="84"/>
                </w:rPr>
                <w:t>Item 3.</w:t>
              </w:r>
            </w:hyperlink>
          </w:p>
        </w:tc>
        <w:tc>
          <w:tcPr>
            <w:tcW w:w="640" w:type="dxa"/>
            <w:vAlign w:val="bottom"/>
            <w:gridSpan w:val="4"/>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25">
              <w:r>
                <w:rPr>
                  <w:rFonts w:ascii="Arial" w:cs="Arial" w:eastAsia="Arial" w:hAnsi="Arial"/>
                  <w:sz w:val="17"/>
                  <w:szCs w:val="17"/>
                  <w:color w:val="0000FF"/>
                </w:rPr>
                <w:t>Legal Proceedings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25">
              <w:r>
                <w:rPr>
                  <w:rFonts w:ascii="Arial" w:cs="Arial" w:eastAsia="Arial" w:hAnsi="Arial"/>
                  <w:sz w:val="17"/>
                  <w:szCs w:val="17"/>
                  <w:color w:val="0000FF"/>
                  <w:w w:val="84"/>
                </w:rPr>
                <w:t>Item 4.</w:t>
              </w:r>
            </w:hyperlink>
          </w:p>
        </w:tc>
        <w:tc>
          <w:tcPr>
            <w:tcW w:w="640" w:type="dxa"/>
            <w:vAlign w:val="bottom"/>
            <w:gridSpan w:val="4"/>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25">
              <w:r>
                <w:rPr>
                  <w:rFonts w:ascii="Arial" w:cs="Arial" w:eastAsia="Arial" w:hAnsi="Arial"/>
                  <w:sz w:val="17"/>
                  <w:szCs w:val="17"/>
                  <w:color w:val="0000FF"/>
                </w:rPr>
                <w:t>Mine Safety Disclosures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120" w:type="dxa"/>
            <w:vAlign w:val="bottom"/>
            <w:gridSpan w:val="5"/>
          </w:tcPr>
          <w:p>
            <w:pPr>
              <w:spacing w:after="0"/>
              <w:rPr>
                <w:rFonts w:ascii="Arial" w:cs="Arial" w:eastAsia="Arial" w:hAnsi="Arial"/>
                <w:sz w:val="17"/>
                <w:szCs w:val="17"/>
                <w:b w:val="1"/>
                <w:bCs w:val="1"/>
                <w:color w:val="0000FF"/>
              </w:rPr>
            </w:pPr>
            <w:hyperlink w:anchor="page25">
              <w:r>
                <w:rPr>
                  <w:rFonts w:ascii="Arial" w:cs="Arial" w:eastAsia="Arial" w:hAnsi="Arial"/>
                  <w:sz w:val="17"/>
                  <w:szCs w:val="17"/>
                  <w:b w:val="1"/>
                  <w:bCs w:val="1"/>
                  <w:color w:val="0000FF"/>
                </w:rPr>
                <w:t>PART II</w:t>
              </w:r>
            </w:hyperlink>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80" w:type="dxa"/>
            <w:vAlign w:val="bottom"/>
            <w:gridSpan w:val="5"/>
          </w:tcPr>
          <w:p>
            <w:pPr>
              <w:jc w:val="right"/>
              <w:ind w:right="20"/>
              <w:spacing w:after="0"/>
              <w:rPr>
                <w:rFonts w:ascii="Arial" w:cs="Arial" w:eastAsia="Arial" w:hAnsi="Arial"/>
                <w:sz w:val="17"/>
                <w:szCs w:val="17"/>
                <w:color w:val="0000FF"/>
              </w:rPr>
            </w:pPr>
            <w:hyperlink w:anchor="page56">
              <w:r>
                <w:rPr>
                  <w:rFonts w:ascii="Arial" w:cs="Arial" w:eastAsia="Arial" w:hAnsi="Arial"/>
                  <w:sz w:val="17"/>
                  <w:szCs w:val="17"/>
                  <w:color w:val="0000FF"/>
                </w:rPr>
                <w:t>56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25">
              <w:r>
                <w:rPr>
                  <w:rFonts w:ascii="Arial" w:cs="Arial" w:eastAsia="Arial" w:hAnsi="Arial"/>
                  <w:sz w:val="17"/>
                  <w:szCs w:val="17"/>
                  <w:color w:val="0000FF"/>
                  <w:w w:val="84"/>
                </w:rPr>
                <w:t>Item 5.</w:t>
              </w:r>
            </w:hyperlink>
          </w:p>
        </w:tc>
        <w:tc>
          <w:tcPr>
            <w:tcW w:w="10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25">
              <w:r>
                <w:rPr>
                  <w:rFonts w:ascii="Arial" w:cs="Arial" w:eastAsia="Arial" w:hAnsi="Arial"/>
                  <w:sz w:val="17"/>
                  <w:szCs w:val="17"/>
                  <w:color w:val="0000FF"/>
                </w:rPr>
                <w:t>Market for Registrant's Equity and Related Share Matters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26">
              <w:r>
                <w:rPr>
                  <w:rFonts w:ascii="Arial" w:cs="Arial" w:eastAsia="Arial" w:hAnsi="Arial"/>
                  <w:sz w:val="17"/>
                  <w:szCs w:val="17"/>
                  <w:color w:val="0000FF"/>
                  <w:w w:val="84"/>
                </w:rPr>
                <w:t>Item 6.</w:t>
              </w:r>
            </w:hyperlink>
          </w:p>
        </w:tc>
        <w:tc>
          <w:tcPr>
            <w:tcW w:w="640" w:type="dxa"/>
            <w:vAlign w:val="bottom"/>
            <w:gridSpan w:val="4"/>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26">
              <w:r>
                <w:rPr>
                  <w:rFonts w:ascii="Arial" w:cs="Arial" w:eastAsia="Arial" w:hAnsi="Arial"/>
                  <w:sz w:val="17"/>
                  <w:szCs w:val="17"/>
                  <w:color w:val="0000FF"/>
                </w:rPr>
                <w:t>Selected Financial Data</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Item 7.</w:t>
              </w:r>
            </w:hyperlink>
          </w:p>
        </w:tc>
        <w:tc>
          <w:tcPr>
            <w:tcW w:w="640" w:type="dxa"/>
            <w:vAlign w:val="bottom"/>
            <w:gridSpan w:val="4"/>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29">
              <w:r>
                <w:rPr>
                  <w:rFonts w:ascii="Arial" w:cs="Arial" w:eastAsia="Arial" w:hAnsi="Arial"/>
                  <w:sz w:val="17"/>
                  <w:szCs w:val="17"/>
                  <w:color w:val="0000FF"/>
                </w:rPr>
                <w:t>Management's Discussion and Analysis of Financial Condition and Results of Operations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47">
              <w:r>
                <w:rPr>
                  <w:rFonts w:ascii="Arial" w:cs="Arial" w:eastAsia="Arial" w:hAnsi="Arial"/>
                  <w:sz w:val="17"/>
                  <w:szCs w:val="17"/>
                  <w:color w:val="0000FF"/>
                  <w:w w:val="87"/>
                </w:rPr>
                <w:t>Item 7a.</w:t>
              </w:r>
            </w:hyperlink>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47">
              <w:r>
                <w:rPr>
                  <w:rFonts w:ascii="Arial" w:cs="Arial" w:eastAsia="Arial" w:hAnsi="Arial"/>
                  <w:sz w:val="17"/>
                  <w:szCs w:val="17"/>
                  <w:color w:val="0000FF"/>
                </w:rPr>
                <w:t>Quantitative and Qualitative Disclosures about Market Risk</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Item 8.</w:t>
              </w:r>
            </w:hyperlink>
          </w:p>
        </w:tc>
        <w:tc>
          <w:tcPr>
            <w:tcW w:w="80" w:type="dxa"/>
            <w:vAlign w:val="bottom"/>
          </w:tcPr>
          <w:p>
            <w:pPr>
              <w:spacing w:after="0"/>
              <w:rPr>
                <w:sz w:val="19"/>
                <w:szCs w:val="19"/>
                <w:color w:val="auto"/>
              </w:rPr>
            </w:pPr>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47">
              <w:r>
                <w:rPr>
                  <w:rFonts w:ascii="Arial" w:cs="Arial" w:eastAsia="Arial" w:hAnsi="Arial"/>
                  <w:sz w:val="17"/>
                  <w:szCs w:val="17"/>
                  <w:color w:val="0000FF"/>
                </w:rPr>
                <w:t>Financial Statements and Supplemental Data</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480" w:type="dxa"/>
            <w:vAlign w:val="bottom"/>
          </w:tcPr>
          <w:p>
            <w:pPr>
              <w:spacing w:after="0"/>
              <w:rPr>
                <w:rFonts w:ascii="Arial" w:cs="Arial" w:eastAsia="Arial" w:hAnsi="Arial"/>
                <w:sz w:val="17"/>
                <w:szCs w:val="17"/>
                <w:color w:val="0000FF"/>
                <w:w w:val="84"/>
              </w:rPr>
            </w:pPr>
            <w:hyperlink w:anchor="page114">
              <w:r>
                <w:rPr>
                  <w:rFonts w:ascii="Arial" w:cs="Arial" w:eastAsia="Arial" w:hAnsi="Arial"/>
                  <w:sz w:val="17"/>
                  <w:szCs w:val="17"/>
                  <w:color w:val="0000FF"/>
                  <w:w w:val="84"/>
                </w:rPr>
                <w:t>Item 9.</w:t>
              </w:r>
            </w:hyperlink>
          </w:p>
        </w:tc>
        <w:tc>
          <w:tcPr>
            <w:tcW w:w="640" w:type="dxa"/>
            <w:vAlign w:val="bottom"/>
            <w:gridSpan w:val="4"/>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4">
              <w:r>
                <w:rPr>
                  <w:rFonts w:ascii="Arial" w:cs="Arial" w:eastAsia="Arial" w:hAnsi="Arial"/>
                  <w:sz w:val="17"/>
                  <w:szCs w:val="17"/>
                  <w:color w:val="0000FF"/>
                </w:rPr>
                <w:t>Changes and Disagreements with Registered Public Accounting Firm on Accounting and Financial Disclosure</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4">
              <w:r>
                <w:rPr>
                  <w:rFonts w:ascii="Arial" w:cs="Arial" w:eastAsia="Arial" w:hAnsi="Arial"/>
                  <w:sz w:val="17"/>
                  <w:szCs w:val="17"/>
                  <w:color w:val="0000FF"/>
                </w:rPr>
                <w:t>114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115">
              <w:r>
                <w:rPr>
                  <w:rFonts w:ascii="Arial" w:cs="Arial" w:eastAsia="Arial" w:hAnsi="Arial"/>
                  <w:sz w:val="17"/>
                  <w:szCs w:val="17"/>
                  <w:color w:val="0000FF"/>
                  <w:w w:val="87"/>
                </w:rPr>
                <w:t>Item 9a.</w:t>
              </w:r>
            </w:hyperlink>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5">
              <w:r>
                <w:rPr>
                  <w:rFonts w:ascii="Arial" w:cs="Arial" w:eastAsia="Arial" w:hAnsi="Arial"/>
                  <w:sz w:val="17"/>
                  <w:szCs w:val="17"/>
                  <w:color w:val="0000FF"/>
                </w:rPr>
                <w:t>Controls and Procedures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5">
              <w:r>
                <w:rPr>
                  <w:rFonts w:ascii="Arial" w:cs="Arial" w:eastAsia="Arial" w:hAnsi="Arial"/>
                  <w:sz w:val="17"/>
                  <w:szCs w:val="17"/>
                  <w:color w:val="0000FF"/>
                </w:rPr>
                <w:t>114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115">
              <w:r>
                <w:rPr>
                  <w:rFonts w:ascii="Arial" w:cs="Arial" w:eastAsia="Arial" w:hAnsi="Arial"/>
                  <w:sz w:val="17"/>
                  <w:szCs w:val="17"/>
                  <w:color w:val="0000FF"/>
                  <w:w w:val="87"/>
                </w:rPr>
                <w:t>Item 9b.</w:t>
              </w:r>
            </w:hyperlink>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5">
              <w:r>
                <w:rPr>
                  <w:rFonts w:ascii="Arial" w:cs="Arial" w:eastAsia="Arial" w:hAnsi="Arial"/>
                  <w:sz w:val="17"/>
                  <w:szCs w:val="17"/>
                  <w:color w:val="0000FF"/>
                </w:rPr>
                <w:t>Other Information</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5">
              <w:r>
                <w:rPr>
                  <w:rFonts w:ascii="Arial" w:cs="Arial" w:eastAsia="Arial" w:hAnsi="Arial"/>
                  <w:sz w:val="17"/>
                  <w:szCs w:val="17"/>
                  <w:color w:val="0000FF"/>
                </w:rPr>
                <w:t>114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b w:val="1"/>
                <w:bCs w:val="1"/>
                <w:color w:val="0000FF"/>
              </w:rPr>
            </w:pPr>
            <w:hyperlink w:anchor="page116">
              <w:r>
                <w:rPr>
                  <w:rFonts w:ascii="Arial" w:cs="Arial" w:eastAsia="Arial" w:hAnsi="Arial"/>
                  <w:sz w:val="17"/>
                  <w:szCs w:val="17"/>
                  <w:b w:val="1"/>
                  <w:bCs w:val="1"/>
                  <w:color w:val="0000FF"/>
                </w:rPr>
                <w:t>Part III</w:t>
              </w:r>
            </w:hyperlink>
          </w:p>
        </w:tc>
        <w:tc>
          <w:tcPr>
            <w:tcW w:w="5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4"/>
          </w:tcPr>
          <w:p>
            <w:pPr>
              <w:jc w:val="right"/>
              <w:ind w:right="20"/>
              <w:spacing w:after="0"/>
              <w:rPr>
                <w:rFonts w:ascii="Arial" w:cs="Arial" w:eastAsia="Arial" w:hAnsi="Arial"/>
                <w:sz w:val="17"/>
                <w:szCs w:val="17"/>
                <w:color w:val="0000FF"/>
                <w:w w:val="77"/>
              </w:rPr>
            </w:pPr>
            <w:hyperlink w:anchor="page116">
              <w:r>
                <w:rPr>
                  <w:rFonts w:ascii="Arial" w:cs="Arial" w:eastAsia="Arial" w:hAnsi="Arial"/>
                  <w:sz w:val="17"/>
                  <w:szCs w:val="17"/>
                  <w:color w:val="0000FF"/>
                  <w:w w:val="77"/>
                </w:rPr>
                <w:t>115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116">
              <w:r>
                <w:rPr>
                  <w:rFonts w:ascii="Arial" w:cs="Arial" w:eastAsia="Arial" w:hAnsi="Arial"/>
                  <w:sz w:val="17"/>
                  <w:szCs w:val="17"/>
                  <w:color w:val="0000FF"/>
                  <w:w w:val="87"/>
                </w:rPr>
                <w:t>Item 10.</w:t>
              </w:r>
            </w:hyperlink>
          </w:p>
        </w:tc>
        <w:tc>
          <w:tcPr>
            <w:tcW w:w="560" w:type="dxa"/>
            <w:vAlign w:val="bottom"/>
            <w:gridSpan w:val="3"/>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6">
              <w:r>
                <w:rPr>
                  <w:rFonts w:ascii="Arial" w:cs="Arial" w:eastAsia="Arial" w:hAnsi="Arial"/>
                  <w:sz w:val="17"/>
                  <w:szCs w:val="17"/>
                  <w:color w:val="0000FF"/>
                </w:rPr>
                <w:t>Directors, Executive Officers and Corporate Governance of the Registrant</w:t>
              </w:r>
            </w:hyperlink>
          </w:p>
        </w:tc>
        <w:tc>
          <w:tcPr>
            <w:tcW w:w="420" w:type="dxa"/>
            <w:vAlign w:val="bottom"/>
          </w:tcPr>
          <w:p>
            <w:pPr>
              <w:spacing w:after="0"/>
              <w:rPr>
                <w:sz w:val="19"/>
                <w:szCs w:val="19"/>
                <w:color w:val="auto"/>
              </w:rPr>
            </w:pPr>
          </w:p>
        </w:tc>
        <w:tc>
          <w:tcPr>
            <w:tcW w:w="260" w:type="dxa"/>
            <w:vAlign w:val="bottom"/>
            <w:gridSpan w:val="4"/>
          </w:tcPr>
          <w:p>
            <w:pPr>
              <w:jc w:val="right"/>
              <w:ind w:right="20"/>
              <w:spacing w:after="0"/>
              <w:rPr>
                <w:rFonts w:ascii="Arial" w:cs="Arial" w:eastAsia="Arial" w:hAnsi="Arial"/>
                <w:sz w:val="17"/>
                <w:szCs w:val="17"/>
                <w:color w:val="0000FF"/>
                <w:w w:val="77"/>
              </w:rPr>
            </w:pPr>
            <w:hyperlink w:anchor="page116">
              <w:r>
                <w:rPr>
                  <w:rFonts w:ascii="Arial" w:cs="Arial" w:eastAsia="Arial" w:hAnsi="Arial"/>
                  <w:sz w:val="17"/>
                  <w:szCs w:val="17"/>
                  <w:color w:val="0000FF"/>
                  <w:w w:val="77"/>
                </w:rPr>
                <w:t>115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116">
              <w:r>
                <w:rPr>
                  <w:rFonts w:ascii="Arial" w:cs="Arial" w:eastAsia="Arial" w:hAnsi="Arial"/>
                  <w:sz w:val="17"/>
                  <w:szCs w:val="17"/>
                  <w:color w:val="0000FF"/>
                  <w:w w:val="87"/>
                </w:rPr>
                <w:t>Item 11.</w:t>
              </w:r>
            </w:hyperlink>
          </w:p>
        </w:tc>
        <w:tc>
          <w:tcPr>
            <w:tcW w:w="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6">
              <w:r>
                <w:rPr>
                  <w:rFonts w:ascii="Arial" w:cs="Arial" w:eastAsia="Arial" w:hAnsi="Arial"/>
                  <w:sz w:val="17"/>
                  <w:szCs w:val="17"/>
                  <w:color w:val="0000FF"/>
                </w:rPr>
                <w:t>Executive Compensation</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6">
              <w:r>
                <w:rPr>
                  <w:rFonts w:ascii="Arial" w:cs="Arial" w:eastAsia="Arial" w:hAnsi="Arial"/>
                  <w:sz w:val="17"/>
                  <w:szCs w:val="17"/>
                  <w:color w:val="0000FF"/>
                </w:rPr>
                <w:t>115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80" w:type="dxa"/>
            <w:vAlign w:val="bottom"/>
            <w:gridSpan w:val="3"/>
          </w:tcPr>
          <w:p>
            <w:pPr>
              <w:spacing w:after="0"/>
              <w:rPr>
                <w:rFonts w:ascii="Arial" w:cs="Arial" w:eastAsia="Arial" w:hAnsi="Arial"/>
                <w:sz w:val="17"/>
                <w:szCs w:val="17"/>
                <w:color w:val="0000FF"/>
                <w:w w:val="87"/>
              </w:rPr>
            </w:pPr>
            <w:hyperlink w:anchor="page116">
              <w:r>
                <w:rPr>
                  <w:rFonts w:ascii="Arial" w:cs="Arial" w:eastAsia="Arial" w:hAnsi="Arial"/>
                  <w:sz w:val="17"/>
                  <w:szCs w:val="17"/>
                  <w:color w:val="0000FF"/>
                  <w:w w:val="87"/>
                </w:rPr>
                <w:t>Item 12.</w:t>
              </w:r>
            </w:hyperlink>
          </w:p>
        </w:tc>
        <w:tc>
          <w:tcPr>
            <w:tcW w:w="540" w:type="dxa"/>
            <w:vAlign w:val="bottom"/>
            <w:gridSpan w:val="2"/>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6">
              <w:r>
                <w:rPr>
                  <w:rFonts w:ascii="Arial" w:cs="Arial" w:eastAsia="Arial" w:hAnsi="Arial"/>
                  <w:sz w:val="17"/>
                  <w:szCs w:val="17"/>
                  <w:color w:val="0000FF"/>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6">
              <w:r>
                <w:rPr>
                  <w:rFonts w:ascii="Arial" w:cs="Arial" w:eastAsia="Arial" w:hAnsi="Arial"/>
                  <w:sz w:val="17"/>
                  <w:szCs w:val="17"/>
                  <w:color w:val="0000FF"/>
                </w:rPr>
                <w:t>115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11"/>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80" w:type="dxa"/>
            <w:vAlign w:val="bottom"/>
            <w:gridSpan w:val="3"/>
          </w:tcPr>
          <w:p>
            <w:pPr>
              <w:spacing w:after="0"/>
              <w:rPr>
                <w:rFonts w:ascii="Arial" w:cs="Arial" w:eastAsia="Arial" w:hAnsi="Arial"/>
                <w:sz w:val="17"/>
                <w:szCs w:val="17"/>
                <w:color w:val="0000FF"/>
                <w:w w:val="87"/>
              </w:rPr>
            </w:pPr>
            <w:hyperlink w:anchor="page116">
              <w:r>
                <w:rPr>
                  <w:rFonts w:ascii="Arial" w:cs="Arial" w:eastAsia="Arial" w:hAnsi="Arial"/>
                  <w:sz w:val="17"/>
                  <w:szCs w:val="17"/>
                  <w:color w:val="0000FF"/>
                  <w:w w:val="87"/>
                </w:rPr>
                <w:t>Item 13.</w:t>
              </w:r>
            </w:hyperlink>
          </w:p>
        </w:tc>
        <w:tc>
          <w:tcPr>
            <w:tcW w:w="540" w:type="dxa"/>
            <w:vAlign w:val="bottom"/>
            <w:gridSpan w:val="2"/>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6">
              <w:r>
                <w:rPr>
                  <w:rFonts w:ascii="Arial" w:cs="Arial" w:eastAsia="Arial" w:hAnsi="Arial"/>
                  <w:sz w:val="17"/>
                  <w:szCs w:val="17"/>
                  <w:color w:val="0000FF"/>
                </w:rPr>
                <w:t>Certain Relationships, Related Transactions and Director Independence</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6">
              <w:r>
                <w:rPr>
                  <w:rFonts w:ascii="Arial" w:cs="Arial" w:eastAsia="Arial" w:hAnsi="Arial"/>
                  <w:sz w:val="17"/>
                  <w:szCs w:val="17"/>
                  <w:color w:val="0000FF"/>
                </w:rPr>
                <w:t>115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11"/>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color w:val="0000FF"/>
                <w:w w:val="87"/>
              </w:rPr>
            </w:pPr>
            <w:hyperlink w:anchor="page116">
              <w:r>
                <w:rPr>
                  <w:rFonts w:ascii="Arial" w:cs="Arial" w:eastAsia="Arial" w:hAnsi="Arial"/>
                  <w:sz w:val="17"/>
                  <w:szCs w:val="17"/>
                  <w:color w:val="0000FF"/>
                  <w:w w:val="87"/>
                </w:rPr>
                <w:t>Item 14.</w:t>
              </w:r>
            </w:hyperlink>
          </w:p>
        </w:tc>
        <w:tc>
          <w:tcPr>
            <w:tcW w:w="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6">
              <w:r>
                <w:rPr>
                  <w:rFonts w:ascii="Arial" w:cs="Arial" w:eastAsia="Arial" w:hAnsi="Arial"/>
                  <w:sz w:val="17"/>
                  <w:szCs w:val="17"/>
                  <w:color w:val="0000FF"/>
                </w:rPr>
                <w:t>Principal Registered Public Accounting Firm Fees and Services</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6">
              <w:r>
                <w:rPr>
                  <w:rFonts w:ascii="Arial" w:cs="Arial" w:eastAsia="Arial" w:hAnsi="Arial"/>
                  <w:sz w:val="17"/>
                  <w:szCs w:val="17"/>
                  <w:color w:val="0000FF"/>
                </w:rPr>
                <w:t>115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60" w:type="dxa"/>
            <w:vAlign w:val="bottom"/>
            <w:gridSpan w:val="2"/>
          </w:tcPr>
          <w:p>
            <w:pPr>
              <w:spacing w:after="0"/>
              <w:rPr>
                <w:rFonts w:ascii="Arial" w:cs="Arial" w:eastAsia="Arial" w:hAnsi="Arial"/>
                <w:sz w:val="17"/>
                <w:szCs w:val="17"/>
                <w:b w:val="1"/>
                <w:bCs w:val="1"/>
                <w:color w:val="0000FF"/>
              </w:rPr>
            </w:pPr>
            <w:hyperlink w:anchor="page116">
              <w:r>
                <w:rPr>
                  <w:rFonts w:ascii="Arial" w:cs="Arial" w:eastAsia="Arial" w:hAnsi="Arial"/>
                  <w:sz w:val="17"/>
                  <w:szCs w:val="17"/>
                  <w:b w:val="1"/>
                  <w:bCs w:val="1"/>
                  <w:color w:val="0000FF"/>
                </w:rPr>
                <w:t>Part IV</w:t>
              </w:r>
            </w:hyperlink>
          </w:p>
        </w:tc>
        <w:tc>
          <w:tcPr>
            <w:tcW w:w="5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4"/>
          </w:tcPr>
          <w:p>
            <w:pPr>
              <w:jc w:val="right"/>
              <w:ind w:right="20"/>
              <w:spacing w:after="0"/>
              <w:rPr>
                <w:rFonts w:ascii="Arial" w:cs="Arial" w:eastAsia="Arial" w:hAnsi="Arial"/>
                <w:sz w:val="17"/>
                <w:szCs w:val="17"/>
                <w:color w:val="0000FF"/>
                <w:w w:val="77"/>
              </w:rPr>
            </w:pPr>
            <w:hyperlink w:anchor="page116">
              <w:r>
                <w:rPr>
                  <w:rFonts w:ascii="Arial" w:cs="Arial" w:eastAsia="Arial" w:hAnsi="Arial"/>
                  <w:sz w:val="17"/>
                  <w:szCs w:val="17"/>
                  <w:color w:val="0000FF"/>
                  <w:w w:val="77"/>
                </w:rPr>
                <w:t>115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gridSpan w:val="13"/>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80" w:type="dxa"/>
            <w:vAlign w:val="bottom"/>
            <w:gridSpan w:val="3"/>
          </w:tcPr>
          <w:p>
            <w:pPr>
              <w:spacing w:after="0"/>
              <w:rPr>
                <w:rFonts w:ascii="Arial" w:cs="Arial" w:eastAsia="Arial" w:hAnsi="Arial"/>
                <w:sz w:val="17"/>
                <w:szCs w:val="17"/>
                <w:color w:val="0000FF"/>
                <w:w w:val="87"/>
              </w:rPr>
            </w:pPr>
            <w:hyperlink w:anchor="page116">
              <w:r>
                <w:rPr>
                  <w:rFonts w:ascii="Arial" w:cs="Arial" w:eastAsia="Arial" w:hAnsi="Arial"/>
                  <w:sz w:val="17"/>
                  <w:szCs w:val="17"/>
                  <w:color w:val="0000FF"/>
                  <w:w w:val="87"/>
                </w:rPr>
                <w:t>Item 15.</w:t>
              </w:r>
            </w:hyperlink>
          </w:p>
        </w:tc>
        <w:tc>
          <w:tcPr>
            <w:tcW w:w="540" w:type="dxa"/>
            <w:vAlign w:val="bottom"/>
            <w:gridSpan w:val="2"/>
          </w:tcPr>
          <w:p>
            <w:pPr>
              <w:spacing w:after="0"/>
              <w:rPr>
                <w:sz w:val="19"/>
                <w:szCs w:val="19"/>
                <w:color w:val="auto"/>
              </w:rPr>
            </w:pPr>
          </w:p>
        </w:tc>
        <w:tc>
          <w:tcPr>
            <w:tcW w:w="9600" w:type="dxa"/>
            <w:vAlign w:val="bottom"/>
            <w:gridSpan w:val="19"/>
          </w:tcPr>
          <w:p>
            <w:pPr>
              <w:ind w:left="40"/>
              <w:spacing w:after="0"/>
              <w:rPr>
                <w:rFonts w:ascii="Arial" w:cs="Arial" w:eastAsia="Arial" w:hAnsi="Arial"/>
                <w:sz w:val="17"/>
                <w:szCs w:val="17"/>
                <w:color w:val="0000FF"/>
              </w:rPr>
            </w:pPr>
            <w:hyperlink w:anchor="page116">
              <w:r>
                <w:rPr>
                  <w:rFonts w:ascii="Arial" w:cs="Arial" w:eastAsia="Arial" w:hAnsi="Arial"/>
                  <w:sz w:val="17"/>
                  <w:szCs w:val="17"/>
                  <w:color w:val="0000FF"/>
                </w:rPr>
                <w:t>Exhibits, Financial Statement Schedules and Reports on Form 8-K</w:t>
              </w:r>
            </w:hyperlink>
          </w:p>
        </w:tc>
        <w:tc>
          <w:tcPr>
            <w:tcW w:w="680" w:type="dxa"/>
            <w:vAlign w:val="bottom"/>
            <w:gridSpan w:val="5"/>
          </w:tcPr>
          <w:p>
            <w:pPr>
              <w:jc w:val="right"/>
              <w:ind w:right="20"/>
              <w:spacing w:after="0"/>
              <w:rPr>
                <w:rFonts w:ascii="Arial" w:cs="Arial" w:eastAsia="Arial" w:hAnsi="Arial"/>
                <w:sz w:val="17"/>
                <w:szCs w:val="17"/>
                <w:color w:val="0000FF"/>
              </w:rPr>
            </w:pPr>
            <w:hyperlink w:anchor="page116">
              <w:r>
                <w:rPr>
                  <w:rFonts w:ascii="Arial" w:cs="Arial" w:eastAsia="Arial" w:hAnsi="Arial"/>
                  <w:sz w:val="17"/>
                  <w:szCs w:val="17"/>
                  <w:color w:val="0000FF"/>
                </w:rPr>
                <w:t>115</w:t>
              </w:r>
            </w:hyperlink>
          </w:p>
        </w:tc>
      </w:tr>
      <w:tr>
        <w:trPr>
          <w:trHeight w:val="20"/>
        </w:trPr>
        <w:tc>
          <w:tcPr>
            <w:tcW w:w="5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20" w:type="dxa"/>
            <w:vAlign w:val="bottom"/>
            <w:gridSpan w:val="5"/>
          </w:tcPr>
          <w:p>
            <w:pPr>
              <w:spacing w:after="0"/>
              <w:rPr>
                <w:rFonts w:ascii="Arial" w:cs="Arial" w:eastAsia="Arial" w:hAnsi="Arial"/>
                <w:sz w:val="17"/>
                <w:szCs w:val="17"/>
                <w:b w:val="1"/>
                <w:bCs w:val="1"/>
                <w:color w:val="0000FF"/>
                <w:w w:val="98"/>
              </w:rPr>
            </w:pPr>
            <w:hyperlink w:anchor="page121">
              <w:r>
                <w:rPr>
                  <w:rFonts w:ascii="Arial" w:cs="Arial" w:eastAsia="Arial" w:hAnsi="Arial"/>
                  <w:sz w:val="17"/>
                  <w:szCs w:val="17"/>
                  <w:b w:val="1"/>
                  <w:bCs w:val="1"/>
                  <w:color w:val="0000FF"/>
                  <w:w w:val="98"/>
                </w:rPr>
                <w:t>SIGNATURES</w:t>
              </w:r>
            </w:hyperlink>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80" w:type="dxa"/>
            <w:vAlign w:val="bottom"/>
            <w:gridSpan w:val="5"/>
          </w:tcPr>
          <w:p>
            <w:pPr>
              <w:jc w:val="right"/>
              <w:ind w:right="20"/>
              <w:spacing w:after="0"/>
              <w:rPr>
                <w:rFonts w:ascii="Arial" w:cs="Arial" w:eastAsia="Arial" w:hAnsi="Arial"/>
                <w:sz w:val="17"/>
                <w:szCs w:val="17"/>
                <w:color w:val="0000FF"/>
              </w:rPr>
            </w:pPr>
            <w:hyperlink w:anchor="page121">
              <w:r>
                <w:rPr>
                  <w:rFonts w:ascii="Arial" w:cs="Arial" w:eastAsia="Arial" w:hAnsi="Arial"/>
                  <w:sz w:val="17"/>
                  <w:szCs w:val="17"/>
                  <w:color w:val="0000FF"/>
                </w:rPr>
                <w:t>120</w:t>
              </w:r>
            </w:hyperlink>
          </w:p>
        </w:tc>
      </w:tr>
      <w:tr>
        <w:trPr>
          <w:trHeight w:val="661"/>
        </w:trPr>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14"/>
          </w:tcPr>
          <w:p>
            <w:pPr>
              <w:ind w:left="454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0" w:right="239" w:bottom="1440" w:gutter="0" w:footer="0" w:header="0"/>
        </w:sectPr>
      </w:pPr>
    </w:p>
    <w:bookmarkStart w:id="3" w:name="page4"/>
    <w:bookmarkEnd w:id="3"/>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Explanatory Note for Purposes of the "Safe Harbor Provisions" of Section 21E of the Securities Exchange Act of 1934, as amended</w:t>
      </w:r>
    </w:p>
    <w:p>
      <w:pPr>
        <w:spacing w:after="0" w:line="255"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and Section 21E of the Securities Exchange Act of 1934, as amended. Forward-looking statements are included with respect to, among other things, iStar Financial Inc.'s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iStar Financial Inc.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31" w:lineRule="exact"/>
        <w:rPr>
          <w:sz w:val="20"/>
          <w:szCs w:val="20"/>
          <w:color w:val="auto"/>
        </w:rPr>
      </w:pPr>
    </w:p>
    <w:p>
      <w:pPr>
        <w:jc w:val="both"/>
        <w:ind w:firstLine="596"/>
        <w:spacing w:after="0" w:line="249" w:lineRule="auto"/>
        <w:rPr>
          <w:sz w:val="20"/>
          <w:szCs w:val="20"/>
          <w:color w:val="auto"/>
        </w:rPr>
      </w:pPr>
      <w:r>
        <w:rPr>
          <w:rFonts w:ascii="Arial" w:cs="Arial" w:eastAsia="Arial" w:hAnsi="Arial"/>
          <w:sz w:val="17"/>
          <w:szCs w:val="17"/>
          <w:color w:val="auto"/>
        </w:rPr>
        <w:t>iStar Financial Inc., or the “Company,” is a fully-integrated finance and investment company focused on the commercial real estate industry. 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leasing, operating properties and land.</w:t>
      </w:r>
    </w:p>
    <w:p>
      <w:pPr>
        <w:spacing w:after="0" w:line="144" w:lineRule="exact"/>
        <w:rPr>
          <w:sz w:val="20"/>
          <w:szCs w:val="20"/>
          <w:color w:val="auto"/>
        </w:rPr>
      </w:pPr>
    </w:p>
    <w:p>
      <w:pPr>
        <w:jc w:val="both"/>
        <w:ind w:firstLine="596"/>
        <w:spacing w:after="0" w:line="332" w:lineRule="auto"/>
        <w:rPr>
          <w:sz w:val="20"/>
          <w:szCs w:val="20"/>
          <w:color w:val="auto"/>
        </w:rPr>
      </w:pPr>
      <w:r>
        <w:rPr>
          <w:rFonts w:ascii="Arial" w:cs="Arial" w:eastAsia="Arial" w:hAnsi="Arial"/>
          <w:sz w:val="14"/>
          <w:szCs w:val="14"/>
          <w:color w:val="auto"/>
        </w:rPr>
        <w:t>The real estate finance portfolio is primarily comprised of senior and mezzanine real estate loans that may be either fixed-rate or variable-rate and are structured to meet the specific financing needs of borrowers. The Company's portfolio also includes senior and subordinated loans to corporations, particularly those engaged in real estate or real estate related businesses and may be either secured or unsecured. The Company's loan portfolio includes whole loans and loan participations.</w:t>
      </w:r>
    </w:p>
    <w:p>
      <w:pPr>
        <w:spacing w:after="0" w:line="89" w:lineRule="exact"/>
        <w:rPr>
          <w:sz w:val="20"/>
          <w:szCs w:val="20"/>
          <w:color w:val="auto"/>
        </w:rPr>
      </w:pPr>
    </w:p>
    <w:p>
      <w:pPr>
        <w:jc w:val="both"/>
        <w:ind w:firstLine="596"/>
        <w:spacing w:after="0" w:line="252" w:lineRule="auto"/>
        <w:rPr>
          <w:sz w:val="20"/>
          <w:szCs w:val="20"/>
          <w:color w:val="auto"/>
        </w:rPr>
      </w:pPr>
      <w:r>
        <w:rPr>
          <w:rFonts w:ascii="Arial" w:cs="Arial" w:eastAsia="Arial" w:hAnsi="Arial"/>
          <w:sz w:val="17"/>
          <w:szCs w:val="17"/>
          <w:color w:val="auto"/>
        </w:rPr>
        <w:t>The net lease portfolio is primarily comprised of properties owned by the Company and leased to single creditworthy tenants where the properties are subject to long-term leases. Most of the leases provide for expenses at the facility to be paid by the tenant on a triple net lease basis. The properties in this portfolio are diversified by property type and geographic location.</w:t>
      </w:r>
    </w:p>
    <w:p>
      <w:pPr>
        <w:spacing w:after="0" w:line="141" w:lineRule="exact"/>
        <w:rPr>
          <w:sz w:val="20"/>
          <w:szCs w:val="20"/>
          <w:color w:val="auto"/>
        </w:rPr>
      </w:pPr>
    </w:p>
    <w:p>
      <w:pPr>
        <w:jc w:val="both"/>
        <w:ind w:firstLine="596"/>
        <w:spacing w:after="0" w:line="248" w:lineRule="auto"/>
        <w:rPr>
          <w:sz w:val="20"/>
          <w:szCs w:val="20"/>
          <w:color w:val="auto"/>
        </w:rPr>
      </w:pPr>
      <w:r>
        <w:rPr>
          <w:rFonts w:ascii="Arial" w:cs="Arial" w:eastAsia="Arial" w:hAnsi="Arial"/>
          <w:sz w:val="17"/>
          <w:szCs w:val="17"/>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and hotel properties. The residential properties within this portfolio are generally luxury condominium projects located in major U.S. cities where the Company's strategy is to sell individual condominium units through retail distribution channels.</w:t>
      </w:r>
    </w:p>
    <w:p>
      <w:pPr>
        <w:spacing w:after="0" w:line="144" w:lineRule="exact"/>
        <w:rPr>
          <w:sz w:val="20"/>
          <w:szCs w:val="20"/>
          <w:color w:val="auto"/>
        </w:rPr>
      </w:pPr>
    </w:p>
    <w:p>
      <w:pPr>
        <w:jc w:val="both"/>
        <w:ind w:firstLine="596"/>
        <w:spacing w:after="0" w:line="270" w:lineRule="auto"/>
        <w:rPr>
          <w:sz w:val="20"/>
          <w:szCs w:val="20"/>
          <w:color w:val="auto"/>
        </w:rPr>
      </w:pPr>
      <w:r>
        <w:rPr>
          <w:rFonts w:ascii="Arial" w:cs="Arial" w:eastAsia="Arial" w:hAnsi="Arial"/>
          <w:sz w:val="16"/>
          <w:szCs w:val="16"/>
          <w:color w:val="auto"/>
        </w:rPr>
        <w:t>The land portfolio is primarily comprised of land entitled for master planned communities as well as waterfront and urban infill land parcels located throughout the U.S. Master planned communities represent large-scale residential projects that the Company intends to plan and/or develop and may sell through retail channels to home builders or in bulk. Waterfront parcels are generally entitled for residential projects and urban infill parcels are generally entitled for mixed-use projects. The Company may develop these properties itself or sell to or partner with commercial real estate developers.</w:t>
      </w:r>
    </w:p>
    <w:p>
      <w:pPr>
        <w:spacing w:after="0" w:line="128" w:lineRule="exact"/>
        <w:rPr>
          <w:sz w:val="20"/>
          <w:szCs w:val="20"/>
          <w:color w:val="auto"/>
        </w:rPr>
      </w:pPr>
    </w:p>
    <w:p>
      <w:pPr>
        <w:jc w:val="both"/>
        <w:ind w:firstLine="596"/>
        <w:spacing w:after="0" w:line="252" w:lineRule="auto"/>
        <w:rPr>
          <w:sz w:val="20"/>
          <w:szCs w:val="20"/>
          <w:color w:val="auto"/>
        </w:rPr>
      </w:pPr>
      <w:r>
        <w:rPr>
          <w:rFonts w:ascii="Arial" w:cs="Arial" w:eastAsia="Arial" w:hAnsi="Arial"/>
          <w:sz w:val="17"/>
          <w:szCs w:val="17"/>
          <w:color w:val="auto"/>
        </w:rPr>
        <w:t>The Company's primary sources of revenues are operating lease income, which is the rent and reimbursements that tenants pay to lease its properties, and interest income, which is the interest that borrowers pay on loans. The Company primarily generates income through a “spread” or “margin,” which is the difference between the revenues generated from leases and loans and interest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0" w:right="239" w:bottom="1440" w:gutter="0" w:footer="0" w:header="0"/>
        </w:sectPr>
      </w:pPr>
    </w:p>
    <w:bookmarkStart w:id="4" w:name="page5"/>
    <w:bookmarkEnd w:id="4"/>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expense and cost of its real estate operations. In addition, the Company expects to generate income from sales of its remaining residential condominium assets and from its land portfolio over time.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History and Recent Market Conditions</w:t>
      </w:r>
    </w:p>
    <w:p>
      <w:pPr>
        <w:spacing w:after="0" w:line="255"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The Company began its business in 1993 through private investment funds and became publicly traded in 1998. Since that time, the Company has grown through the origination of new lending and leasing transactions, as well as through corporate acquisitions.</w:t>
      </w:r>
    </w:p>
    <w:p>
      <w:pPr>
        <w:spacing w:after="0" w:line="222"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The economic downturn that began in 2008 adversely affected the Company's business and resulted in high levels of non-performing loans and increasing amounts of owned real estate as the Company has acquired title to assets of defaulting borrowers. During this period the Company limited new investments and focused primarily on resolving problem assets, deleveraging and preserving shareholder value. As performing loans have repaid and the Company has taken title to collateral of defaulted loans, its lending portfolio has decreased and the composition of its real estate portfolio changed to include operating properties and land in addition to net lease assets. The Company's business segments are discussed in further detail below.</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Strategy</w:t>
      </w:r>
    </w:p>
    <w:p>
      <w:pPr>
        <w:spacing w:after="0" w:line="255" w:lineRule="exact"/>
        <w:rPr>
          <w:sz w:val="20"/>
          <w:szCs w:val="20"/>
          <w:color w:val="auto"/>
        </w:rPr>
      </w:pPr>
    </w:p>
    <w:p>
      <w:pPr>
        <w:jc w:val="both"/>
        <w:ind w:firstLine="397"/>
        <w:spacing w:after="0" w:line="307" w:lineRule="auto"/>
        <w:rPr>
          <w:sz w:val="20"/>
          <w:szCs w:val="20"/>
          <w:color w:val="auto"/>
        </w:rPr>
      </w:pPr>
      <w:r>
        <w:rPr>
          <w:rFonts w:ascii="Arial" w:cs="Arial" w:eastAsia="Arial" w:hAnsi="Arial"/>
          <w:sz w:val="14"/>
          <w:szCs w:val="14"/>
          <w:color w:val="auto"/>
        </w:rPr>
        <w:t>Prior to the onset of the credit crisis, the Company's primary sources of liquidity were its unsecured credit facilities, issuances of unsecured debt and equity securities in capital markets transactions and repayments from loan assets. During the economic downturn, the Company primarily relied on secured debt financings, asset sales and repayments from loan assets. In 2012, the Company raised approximately $3.5 billion through secured and unsecured debt capital market transactions. These transactions included three unsecured senior notes issuances, marking the first time the Company has accessed the unsecured debt market since 2008. In addition, during 2012 the Company's credit ratings were upgraded and it was able to achieve improved pricing on debt transactions completed throughout the year. Going forward, the Company will seek to raise capital through a variety of means, which may include secured and unsecured debt financing, debt exchanges, asset sales, issuances of equity, joint ventures and other third party capital arrangements. A more detailed discussion of the Company's current liquidity and capital resources is provided in Item 7—"Management's Discussion and Analysis of Financial Condition and Results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Strategy</w:t>
      </w:r>
    </w:p>
    <w:p>
      <w:pPr>
        <w:spacing w:after="0" w:line="255"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color w:val="auto"/>
        </w:rPr>
        <w:t>The Company significantly curtailed its new investment activity since the onset of the economic downturn in 2008. During this time, the Company has continued to fund pre-existing commitments to assets in its portfolio and has made select new investments, many of which represent add-on fundings or refinancings pertaining to assets already in its portfolio. The Company believes that it has a competitive advantage in such opportunities because of existing relationships with the customers and in-depth knowledge of the assets. In addition, the Company has invested significant amounts of capital in its operating properties and land to reposition and redevelop these assets including $80.4 million in 2012. The Company believes that additional investment opportunities exist within its $5.66 billion portfolio which present attractive risk-adjusted returns.</w:t>
      </w:r>
    </w:p>
    <w:p>
      <w:pPr>
        <w:spacing w:after="0" w:line="232"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As the Company's access to liquidity continues to improve, one of the Company's objectives is to increase its new investment activities. In making new investments, the Company expects its strategy will focus on the following:</w:t>
      </w:r>
    </w:p>
    <w:p>
      <w:pPr>
        <w:spacing w:after="0" w:line="98" w:lineRule="exact"/>
        <w:rPr>
          <w:sz w:val="20"/>
          <w:szCs w:val="20"/>
          <w:color w:val="auto"/>
        </w:rPr>
      </w:pPr>
    </w:p>
    <w:p>
      <w:pPr>
        <w:ind w:left="600" w:hanging="303"/>
        <w:spacing w:after="0" w:line="250"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Targeting the origination of custom-tailored mortgage, corporate and lease financings where customers require flexible financial solutions and "one-call" responsiveness post-closing;</w:t>
      </w:r>
    </w:p>
    <w:p>
      <w:pPr>
        <w:ind w:left="600" w:hanging="30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Avoiding commodity businesses where there is significant direct competition from other providers of capital;</w:t>
      </w:r>
    </w:p>
    <w:p>
      <w:pPr>
        <w:spacing w:after="0" w:line="3" w:lineRule="exact"/>
        <w:rPr>
          <w:rFonts w:ascii="Arial" w:cs="Arial" w:eastAsia="Arial" w:hAnsi="Arial"/>
          <w:sz w:val="17"/>
          <w:szCs w:val="17"/>
          <w:color w:val="auto"/>
        </w:rPr>
      </w:pPr>
    </w:p>
    <w:p>
      <w:pPr>
        <w:ind w:left="600" w:hanging="30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Developing direct relationships with borrowers and corporate customers in addition to sourcing transactions through intermediaries;</w:t>
      </w:r>
    </w:p>
    <w:p>
      <w:pPr>
        <w:spacing w:after="0" w:line="3" w:lineRule="exact"/>
        <w:rPr>
          <w:rFonts w:ascii="Arial" w:cs="Arial" w:eastAsia="Arial" w:hAnsi="Arial"/>
          <w:sz w:val="17"/>
          <w:szCs w:val="17"/>
          <w:color w:val="auto"/>
        </w:rPr>
      </w:pPr>
    </w:p>
    <w:p>
      <w:pPr>
        <w:ind w:left="600" w:hanging="303"/>
        <w:spacing w:after="0" w:line="243"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Adding value beyond simply providing capital by offering borrowers and corporate customers specific lending expertise, flexibility, certainty of closing and continuing relationships beyond the closing of a particular financing transaction;</w:t>
      </w:r>
    </w:p>
    <w:p>
      <w:pPr>
        <w:spacing w:after="0" w:line="1" w:lineRule="exact"/>
        <w:rPr>
          <w:rFonts w:ascii="Arial" w:cs="Arial" w:eastAsia="Arial" w:hAnsi="Arial"/>
          <w:sz w:val="17"/>
          <w:szCs w:val="17"/>
          <w:color w:val="auto"/>
        </w:rPr>
      </w:pPr>
    </w:p>
    <w:p>
      <w:pPr>
        <w:ind w:left="600" w:hanging="303"/>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Taking advantage of market anomalies in the real estate financing markets when, in the Company's view, credit is mispriced by other providers of capital; and</w:t>
      </w:r>
    </w:p>
    <w:p>
      <w:pPr>
        <w:spacing w:after="0" w:line="37" w:lineRule="exact"/>
        <w:rPr>
          <w:rFonts w:ascii="Arial" w:cs="Arial" w:eastAsia="Arial" w:hAnsi="Arial"/>
          <w:sz w:val="14"/>
          <w:szCs w:val="14"/>
          <w:color w:val="auto"/>
        </w:rPr>
      </w:pPr>
    </w:p>
    <w:p>
      <w:pPr>
        <w:ind w:left="600" w:hanging="303"/>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Evaluating relative risk adjusted returns across multiple investment markets.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0" w:right="239" w:bottom="1440" w:gutter="0" w:footer="0" w:header="0"/>
        </w:sectPr>
      </w:pPr>
    </w:p>
    <w:bookmarkStart w:id="5" w:name="page6"/>
    <w:bookmarkEnd w:id="5"/>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Underwriting Process</w:t>
      </w:r>
    </w:p>
    <w:p>
      <w:pPr>
        <w:spacing w:after="0" w:line="255" w:lineRule="exact"/>
        <w:rPr>
          <w:sz w:val="20"/>
          <w:szCs w:val="20"/>
          <w:color w:val="auto"/>
        </w:rPr>
      </w:pPr>
    </w:p>
    <w:p>
      <w:pPr>
        <w:jc w:val="both"/>
        <w:ind w:left="1" w:firstLine="397"/>
        <w:spacing w:after="0" w:line="307" w:lineRule="auto"/>
        <w:rPr>
          <w:sz w:val="20"/>
          <w:szCs w:val="20"/>
          <w:color w:val="auto"/>
        </w:rPr>
      </w:pPr>
      <w:r>
        <w:rPr>
          <w:rFonts w:ascii="Arial" w:cs="Arial" w:eastAsia="Arial" w:hAnsi="Arial"/>
          <w:sz w:val="14"/>
          <w:szCs w:val="14"/>
          <w:color w:val="auto"/>
        </w:rPr>
        <w:t>The Company discusses and analyzes investment opportunities in meetings which are attended by its investment professionals, as well as representatives from its legal, credit, risk management and capital markets areas. The Company has developed a process for screening potential investments called the Six Point Methodology</w:t>
      </w:r>
      <w:r>
        <w:rPr>
          <w:rFonts w:ascii="Arial" w:cs="Arial" w:eastAsia="Arial" w:hAnsi="Arial"/>
          <w:sz w:val="11"/>
          <w:szCs w:val="11"/>
          <w:color w:val="auto"/>
        </w:rPr>
        <w:t>sm</w:t>
      </w:r>
      <w:r>
        <w:rPr>
          <w:rFonts w:ascii="Arial" w:cs="Arial" w:eastAsia="Arial" w:hAnsi="Arial"/>
          <w:sz w:val="14"/>
          <w:szCs w:val="14"/>
          <w:color w:val="auto"/>
        </w:rPr>
        <w:t>. Through this process, the Company evaluates an investment opportunity prior to beginning its formal due diligence process by: (1) evaluating the source of the opportunity;</w:t>
      </w:r>
    </w:p>
    <w:p>
      <w:pPr>
        <w:spacing w:after="0" w:line="1" w:lineRule="exact"/>
        <w:rPr>
          <w:sz w:val="20"/>
          <w:szCs w:val="20"/>
          <w:color w:val="auto"/>
        </w:rPr>
      </w:pPr>
    </w:p>
    <w:p>
      <w:pPr>
        <w:jc w:val="both"/>
        <w:ind w:left="1" w:hanging="1"/>
        <w:spacing w:after="0" w:line="295" w:lineRule="auto"/>
        <w:tabs>
          <w:tab w:leader="none" w:pos="237" w:val="left"/>
        </w:tabs>
        <w:numPr>
          <w:ilvl w:val="0"/>
          <w:numId w:val="6"/>
        </w:numPr>
        <w:rPr>
          <w:rFonts w:ascii="Arial" w:cs="Arial" w:eastAsia="Arial" w:hAnsi="Arial"/>
          <w:sz w:val="14"/>
          <w:szCs w:val="14"/>
          <w:color w:val="auto"/>
        </w:rPr>
      </w:pPr>
      <w:r>
        <w:rPr>
          <w:rFonts w:ascii="Arial" w:cs="Arial" w:eastAsia="Arial" w:hAnsi="Arial"/>
          <w:sz w:val="14"/>
          <w:szCs w:val="14"/>
          <w:color w:val="auto"/>
        </w:rPr>
        <w:t>evaluating the quality of the collateral, corporate credit or lessee, as well as the market and industry dynamics; (3) evaluating the borrower equity, corporate sponsorship and/or guarantors; (4) determining the optimal legal and financial structure for the transaction given its risk profile; (5) performing an alternative investment test; and</w:t>
      </w:r>
    </w:p>
    <w:p>
      <w:pPr>
        <w:spacing w:after="0" w:line="1" w:lineRule="exact"/>
        <w:rPr>
          <w:rFonts w:ascii="Arial" w:cs="Arial" w:eastAsia="Arial" w:hAnsi="Arial"/>
          <w:sz w:val="14"/>
          <w:szCs w:val="14"/>
          <w:color w:val="auto"/>
        </w:rPr>
      </w:pPr>
    </w:p>
    <w:p>
      <w:pPr>
        <w:ind w:left="241" w:hanging="241"/>
        <w:spacing w:after="0"/>
        <w:tabs>
          <w:tab w:leader="none" w:pos="241" w:val="left"/>
        </w:tabs>
        <w:numPr>
          <w:ilvl w:val="0"/>
          <w:numId w:val="7"/>
        </w:numPr>
        <w:rPr>
          <w:rFonts w:ascii="Arial" w:cs="Arial" w:eastAsia="Arial" w:hAnsi="Arial"/>
          <w:sz w:val="17"/>
          <w:szCs w:val="17"/>
          <w:color w:val="auto"/>
        </w:rPr>
      </w:pPr>
      <w:r>
        <w:rPr>
          <w:rFonts w:ascii="Arial" w:cs="Arial" w:eastAsia="Arial" w:hAnsi="Arial"/>
          <w:sz w:val="17"/>
          <w:szCs w:val="17"/>
          <w:color w:val="auto"/>
        </w:rPr>
        <w:t>evaluating the liquidity of the investment and its ability to match fund the asset.</w:t>
      </w:r>
    </w:p>
    <w:p>
      <w:pPr>
        <w:spacing w:after="0" w:line="240" w:lineRule="exact"/>
        <w:rPr>
          <w:sz w:val="20"/>
          <w:szCs w:val="20"/>
          <w:color w:val="auto"/>
        </w:rPr>
      </w:pPr>
    </w:p>
    <w:p>
      <w:pPr>
        <w:jc w:val="both"/>
        <w:ind w:left="1" w:firstLine="397"/>
        <w:spacing w:after="0" w:line="254" w:lineRule="auto"/>
        <w:rPr>
          <w:sz w:val="20"/>
          <w:szCs w:val="20"/>
          <w:color w:val="auto"/>
        </w:rPr>
      </w:pPr>
      <w:r>
        <w:rPr>
          <w:rFonts w:ascii="Arial" w:cs="Arial" w:eastAsia="Arial" w:hAnsi="Arial"/>
          <w:sz w:val="17"/>
          <w:szCs w:val="17"/>
          <w:color w:val="auto"/>
        </w:rPr>
        <w:t>The Company's underwriting process provides for feedback and review by key disciplines within the Company, including investments, legal, credit, risk management and capital markets. Participation is encouraged from professionals in these disciplines throughout the entire origination process, from the initial consideration of the opportunity, through the Six Point Methodology</w:t>
      </w:r>
      <w:r>
        <w:rPr>
          <w:rFonts w:ascii="Arial" w:cs="Arial" w:eastAsia="Arial" w:hAnsi="Arial"/>
          <w:sz w:val="13"/>
          <w:szCs w:val="13"/>
          <w:color w:val="auto"/>
        </w:rPr>
        <w:t>sm</w:t>
      </w:r>
      <w:r>
        <w:rPr>
          <w:rFonts w:ascii="Arial" w:cs="Arial" w:eastAsia="Arial" w:hAnsi="Arial"/>
          <w:sz w:val="17"/>
          <w:szCs w:val="17"/>
          <w:color w:val="auto"/>
        </w:rPr>
        <w:t xml:space="preserve"> and into the preparation and distribution of an approval memorandum for the Company's internal and/or Board of Directors investment committees and into the documentation and closing process.</w:t>
      </w:r>
    </w:p>
    <w:p>
      <w:pPr>
        <w:spacing w:after="0" w:line="227" w:lineRule="exact"/>
        <w:rPr>
          <w:sz w:val="20"/>
          <w:szCs w:val="20"/>
          <w:color w:val="auto"/>
        </w:rPr>
      </w:pPr>
    </w:p>
    <w:p>
      <w:pPr>
        <w:jc w:val="both"/>
        <w:ind w:left="1" w:firstLine="397"/>
        <w:spacing w:after="0" w:line="264" w:lineRule="auto"/>
        <w:rPr>
          <w:sz w:val="20"/>
          <w:szCs w:val="20"/>
          <w:color w:val="auto"/>
        </w:rPr>
      </w:pPr>
      <w:r>
        <w:rPr>
          <w:rFonts w:ascii="Arial" w:cs="Arial" w:eastAsia="Arial" w:hAnsi="Arial"/>
          <w:sz w:val="16"/>
          <w:szCs w:val="16"/>
          <w:color w:val="auto"/>
        </w:rPr>
        <w:t>Any commitment to make an investment of $25 million or less ($50 million or less in the case of a corporate debt instrument or aggregate debt instruments issued by a single corporate issuer) in any transaction or series of related transactions requires the approval of the Chief Executive Officer and Chief Investment Officer. Any commitment in an amount in excess of $25 million (or $50 million, in the case of a corporate debt instrument) but less than or equal to $75 million requires the further approval of the Company's internal investment committee, consisting of senior management representatives from all of the Company's key disciplines. Any commitment in an amount in excess of $75 million but less than or equal to $150 million requires the further approval of the Investment Committee of the Board of Directors. Any commitment in an amount in excess of $150 million, and any strategic investment such as a corporate merger, acquisition or material transaction involving the Company's entry into a new line of business, requires the approval of the full Board of Directors.</w:t>
      </w:r>
    </w:p>
    <w:p>
      <w:pPr>
        <w:spacing w:after="0" w:line="2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Hedging Strategy</w:t>
      </w:r>
    </w:p>
    <w:p>
      <w:pPr>
        <w:spacing w:after="0" w:line="255" w:lineRule="exact"/>
        <w:rPr>
          <w:sz w:val="20"/>
          <w:szCs w:val="20"/>
          <w:color w:val="auto"/>
        </w:rPr>
      </w:pPr>
    </w:p>
    <w:p>
      <w:pPr>
        <w:jc w:val="both"/>
        <w:ind w:left="1" w:firstLine="397"/>
        <w:spacing w:after="0" w:line="308" w:lineRule="auto"/>
        <w:rPr>
          <w:sz w:val="20"/>
          <w:szCs w:val="20"/>
          <w:color w:val="auto"/>
        </w:rPr>
      </w:pPr>
      <w:r>
        <w:rPr>
          <w:rFonts w:ascii="Arial" w:cs="Arial" w:eastAsia="Arial" w:hAnsi="Arial"/>
          <w:sz w:val="14"/>
          <w:szCs w:val="14"/>
          <w:color w:val="auto"/>
        </w:rPr>
        <w:t>The Company finances its business with a combination of fixed-rate and variable-rate debt and its asset base consists of fixed-rate and variable-rate investments. Its variable-rate assets and liabilities create a natural hedge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differ significantly from its variable-rate lending assets, the Company may utilize derivative instruments to limit the impact of changing interest rates on its net income. The Company also uses foreign currency swaps to limit its exposure to changes in currency rates in respect of certain investments denominated in foreign currencies. The Company does not use derivative instruments for speculative purposes. The derivative instruments the Company uses are typically in the form of interest rate swaps and foreign currency hedges.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1"/>
          </w:cols>
          <w:pgMar w:left="239" w:top="120" w:right="239" w:bottom="1440" w:gutter="0" w:footer="0" w:header="0"/>
        </w:sectPr>
      </w:pPr>
    </w:p>
    <w:bookmarkStart w:id="6" w:name="page7"/>
    <w:bookmarkEnd w:id="6"/>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Overview</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December 31, 2012, based on current gross carrying values, the Company's total investment portfolio has the following characteristics ($ 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40"/>
        <w:spacing w:after="0"/>
        <w:rPr>
          <w:sz w:val="20"/>
          <w:szCs w:val="20"/>
          <w:color w:val="auto"/>
        </w:rPr>
      </w:pPr>
      <w:r>
        <w:rPr>
          <w:rFonts w:ascii="Arial" w:cs="Arial" w:eastAsia="Arial" w:hAnsi="Arial"/>
          <w:sz w:val="17"/>
          <w:szCs w:val="17"/>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170180</wp:posOffset>
            </wp:positionV>
            <wp:extent cx="3758565" cy="331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58565"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Arial" w:cs="Arial" w:eastAsia="Arial" w:hAnsi="Arial"/>
          <w:sz w:val="17"/>
          <w:szCs w:val="17"/>
          <w:b w:val="1"/>
          <w:bCs w:val="1"/>
          <w:u w:val="single" w:color="auto"/>
          <w:color w:val="auto"/>
        </w:rPr>
        <w:t>Property Type</w:t>
      </w:r>
    </w:p>
    <w:p>
      <w:pPr>
        <w:spacing w:after="0" w:line="384" w:lineRule="exact"/>
        <w:rPr>
          <w:sz w:val="20"/>
          <w:szCs w:val="20"/>
          <w:color w:val="auto"/>
        </w:rPr>
      </w:pPr>
    </w:p>
    <w:tbl>
      <w:tblPr>
        <w:tblLayout w:type="fixed"/>
        <w:tblInd w:w="204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Net Lease</w:t>
            </w:r>
          </w:p>
        </w:tc>
        <w:tc>
          <w:tcPr>
            <w:tcW w:w="12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Operating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3"/>
                <w:szCs w:val="13"/>
                <w:b w:val="1"/>
                <w:bCs w:val="1"/>
                <w:color w:val="auto"/>
              </w:rPr>
              <w:t>% of</w:t>
            </w:r>
          </w:p>
        </w:tc>
      </w:tr>
      <w:tr>
        <w:trPr>
          <w:trHeight w:val="176"/>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Property/Collateral Types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Finance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Properties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r>
      <w:tr>
        <w:trPr>
          <w:trHeight w:val="226"/>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297,039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970,593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$ 1,267,632</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22"/>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Office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124,058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301,304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258,977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684,339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Condominium</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237,534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385,229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622,763</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2"/>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Industrial / R&amp;D</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94,617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472,149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622,205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Retail</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293,651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528,180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1"/>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Entertainment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Leisure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98,423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414,849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513,286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Hotel</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298,293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91,746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84,375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474,414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1"/>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Mixed Use / Mixed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Collateral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237,989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179,337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417,326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9"/>
              </w:rPr>
              <w:t>Other Property Types</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181,481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215,446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1660" w:type="dxa"/>
            <w:vAlign w:val="bottom"/>
            <w:gridSpan w:val="2"/>
          </w:tcPr>
          <w:p>
            <w:pPr>
              <w:ind w:left="20"/>
              <w:spacing w:after="0"/>
              <w:rPr>
                <w:sz w:val="20"/>
                <w:szCs w:val="20"/>
                <w:color w:val="auto"/>
              </w:rPr>
            </w:pPr>
            <w:r>
              <w:rPr>
                <w:rFonts w:ascii="Arial" w:cs="Arial" w:eastAsia="Arial" w:hAnsi="Arial"/>
                <w:sz w:val="17"/>
                <w:szCs w:val="17"/>
                <w:color w:val="auto"/>
                <w:w w:val="99"/>
              </w:rPr>
              <w:t>Strategic Investments</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351,225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
        </w:trPr>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4"/>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1,863,085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1,340,001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1,171,912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970,593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$ 5,696,816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40"/>
          </w:cols>
          <w:pgMar w:left="240" w:top="120" w:right="819" w:bottom="1440" w:gutter="0" w:footer="0" w:header="0"/>
        </w:sectPr>
      </w:pPr>
    </w:p>
    <w:bookmarkStart w:id="7" w:name="page8"/>
    <w:bookmarkEnd w:id="7"/>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Geography</w:t>
      </w:r>
    </w:p>
    <w:p>
      <w:pPr>
        <w:spacing w:after="0" w:line="384" w:lineRule="exact"/>
        <w:rPr>
          <w:sz w:val="20"/>
          <w:szCs w:val="20"/>
          <w:color w:val="auto"/>
        </w:rPr>
      </w:pPr>
    </w:p>
    <w:tbl>
      <w:tblPr>
        <w:tblLayout w:type="fixed"/>
        <w:tblInd w:w="2041"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Real Estate</w:t>
            </w: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Net Lease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Operating</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40"/>
              <w:spacing w:after="0"/>
              <w:rPr>
                <w:sz w:val="20"/>
                <w:szCs w:val="20"/>
                <w:color w:val="auto"/>
              </w:rPr>
            </w:pPr>
            <w:r>
              <w:rPr>
                <w:rFonts w:ascii="Arial" w:cs="Arial" w:eastAsia="Arial" w:hAnsi="Arial"/>
                <w:sz w:val="13"/>
                <w:szCs w:val="13"/>
                <w:b w:val="1"/>
                <w:bCs w:val="1"/>
                <w:color w:val="auto"/>
              </w:rPr>
              <w:t>% of</w:t>
            </w:r>
          </w:p>
        </w:tc>
      </w:tr>
      <w:tr>
        <w:trPr>
          <w:trHeight w:val="176"/>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Geographic Region</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Finance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Properties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r>
      <w:tr>
        <w:trPr>
          <w:trHeight w:val="226"/>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340,457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340,896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237,496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367,470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$ 1,286,319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w:t>
            </w:r>
          </w:p>
        </w:tc>
      </w:tr>
      <w:tr>
        <w:trPr>
          <w:trHeight w:val="222"/>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Northeast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421,660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317,003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180,744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1,095,301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308,559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201,535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251,410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89,035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850,539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2"/>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Southwest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197,478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209,424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120,293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709,524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Mid-Atlantic</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43,866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104,205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217,379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180,290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545,740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2"/>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International</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308,210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308,210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Central</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159,460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68,434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61,938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9,500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299,332</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Northwest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23,261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181,277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Various</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69,190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69,349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Strategic Investments</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351,225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
        </w:trPr>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4"/>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1,863,085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1,340,001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1,171,912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970,593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$ 5,696,816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color w:val="auto"/>
        </w:rPr>
        <w:t>Additional information regarding investments in and risks related to foreign investments is presented in Item 7—“Management's Discussion and Analysis of Financial Condition and Results of Operations—Risk Management."</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Industry Segments</w:t>
      </w:r>
    </w:p>
    <w:p>
      <w:pPr>
        <w:spacing w:after="0" w:line="255"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color w:val="auto"/>
        </w:rPr>
        <w:t>The Company has four business segments: Real Estate Finance, Net Leasing, Operating Properties and Land. The following table reconciles the Company's reportable segments to its consolidated balance sheet ($ in thousands):</w:t>
      </w:r>
    </w:p>
    <w:p>
      <w:pPr>
        <w:spacing w:after="0" w:line="350" w:lineRule="exact"/>
        <w:rPr>
          <w:sz w:val="20"/>
          <w:szCs w:val="20"/>
          <w:color w:val="auto"/>
        </w:rPr>
      </w:pPr>
    </w:p>
    <w:tbl>
      <w:tblPr>
        <w:tblLayout w:type="fixed"/>
        <w:tblInd w:w="2041"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Real Estate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Operating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Corporate /</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Finance</w:t>
            </w:r>
          </w:p>
        </w:tc>
        <w:tc>
          <w:tcPr>
            <w:tcW w:w="1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Leasing</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Properties</w:t>
            </w:r>
          </w:p>
        </w:tc>
        <w:tc>
          <w:tcPr>
            <w:tcW w:w="2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Other(1)</w:t>
            </w:r>
          </w:p>
        </w:tc>
        <w:tc>
          <w:tcPr>
            <w:tcW w:w="180" w:type="dxa"/>
            <w:vAlign w:val="bottom"/>
          </w:tcPr>
          <w:p>
            <w:pPr>
              <w:spacing w:after="0"/>
              <w:rPr>
                <w:sz w:val="15"/>
                <w:szCs w:val="15"/>
                <w:color w:val="auto"/>
              </w:rPr>
            </w:pPr>
          </w:p>
        </w:tc>
        <w:tc>
          <w:tcPr>
            <w:tcW w:w="800" w:type="dxa"/>
            <w:vAlign w:val="bottom"/>
          </w:tcPr>
          <w:p>
            <w:pPr>
              <w:jc w:val="right"/>
              <w:ind w:right="25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at</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w w:val="95"/>
              </w:rPr>
              <w:t>1,639,320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801,214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786,114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3,226,648</w:t>
            </w:r>
          </w:p>
        </w:tc>
        <w:tc>
          <w:tcPr>
            <w:tcW w:w="0" w:type="dxa"/>
            <w:vAlign w:val="bottom"/>
          </w:tcPr>
          <w:p>
            <w:pPr>
              <w:spacing w:after="0"/>
              <w:rPr>
                <w:sz w:val="1"/>
                <w:szCs w:val="1"/>
                <w:color w:val="auto"/>
              </w:rPr>
            </w:pPr>
          </w:p>
        </w:tc>
      </w:tr>
      <w:tr>
        <w:trPr>
          <w:trHeight w:val="211"/>
        </w:trPr>
        <w:tc>
          <w:tcPr>
            <w:tcW w:w="1280" w:type="dxa"/>
            <w:vAlign w:val="bottom"/>
          </w:tcPr>
          <w:p>
            <w:pPr>
              <w:ind w:left="40"/>
              <w:spacing w:after="0"/>
              <w:rPr>
                <w:sz w:val="20"/>
                <w:szCs w:val="20"/>
                <w:color w:val="auto"/>
              </w:rPr>
            </w:pPr>
            <w:r>
              <w:rPr>
                <w:rFonts w:ascii="Arial" w:cs="Arial" w:eastAsia="Arial" w:hAnsi="Arial"/>
                <w:sz w:val="17"/>
                <w:szCs w:val="17"/>
                <w:color w:val="auto"/>
              </w:rPr>
              <w:t>Less: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80" w:type="dxa"/>
            <w:vAlign w:val="bottom"/>
          </w:tcPr>
          <w:p>
            <w:pPr>
              <w:ind w:left="40"/>
              <w:spacing w:after="0"/>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40"/>
              <w:spacing w:after="0"/>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(315,699)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(109,634)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(427,625)</w:t>
            </w:r>
          </w:p>
        </w:tc>
        <w:tc>
          <w:tcPr>
            <w:tcW w:w="0" w:type="dxa"/>
            <w:vAlign w:val="bottom"/>
          </w:tcPr>
          <w:p>
            <w:pPr>
              <w:spacing w:after="0"/>
              <w:rPr>
                <w:sz w:val="1"/>
                <w:szCs w:val="1"/>
                <w:color w:val="auto"/>
              </w:rPr>
            </w:pPr>
          </w:p>
        </w:tc>
      </w:tr>
      <w:tr>
        <w:trPr>
          <w:trHeight w:val="26"/>
        </w:trPr>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net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w w:val="95"/>
              </w:rPr>
              <w:t>1,323,621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691,580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783,822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2,799,023</w:t>
            </w:r>
          </w:p>
        </w:tc>
        <w:tc>
          <w:tcPr>
            <w:tcW w:w="0" w:type="dxa"/>
            <w:vAlign w:val="bottom"/>
          </w:tcPr>
          <w:p>
            <w:pPr>
              <w:spacing w:after="0"/>
              <w:rPr>
                <w:sz w:val="1"/>
                <w:szCs w:val="1"/>
                <w:color w:val="auto"/>
              </w:rPr>
            </w:pPr>
          </w:p>
        </w:tc>
      </w:tr>
      <w:tr>
        <w:trPr>
          <w:trHeight w:val="211"/>
        </w:trPr>
        <w:tc>
          <w:tcPr>
            <w:tcW w:w="1280" w:type="dxa"/>
            <w:vAlign w:val="bottom"/>
          </w:tcPr>
          <w:p>
            <w:pPr>
              <w:ind w:left="40"/>
              <w:spacing w:after="0"/>
              <w:rPr>
                <w:sz w:val="20"/>
                <w:szCs w:val="20"/>
                <w:color w:val="auto"/>
              </w:rPr>
            </w:pPr>
            <w:r>
              <w:rPr>
                <w:rFonts w:ascii="Arial" w:cs="Arial" w:eastAsia="Arial" w:hAnsi="Arial"/>
                <w:sz w:val="17"/>
                <w:szCs w:val="17"/>
                <w:color w:val="auto"/>
              </w:rPr>
              <w:t>Real estate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80" w:type="dxa"/>
            <w:vAlign w:val="bottom"/>
          </w:tcPr>
          <w:p>
            <w:pPr>
              <w:ind w:left="40"/>
              <w:spacing w:after="0"/>
              <w:rPr>
                <w:sz w:val="20"/>
                <w:szCs w:val="20"/>
                <w:color w:val="auto"/>
              </w:rPr>
            </w:pPr>
            <w:r>
              <w:rPr>
                <w:rFonts w:ascii="Arial" w:cs="Arial" w:eastAsia="Arial" w:hAnsi="Arial"/>
                <w:sz w:val="17"/>
                <w:szCs w:val="17"/>
                <w:color w:val="auto"/>
              </w:rPr>
              <w:t>available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40"/>
              <w:spacing w:after="0"/>
              <w:rPr>
                <w:sz w:val="20"/>
                <w:szCs w:val="20"/>
                <w:color w:val="auto"/>
              </w:rPr>
            </w:pPr>
            <w:r>
              <w:rPr>
                <w:rFonts w:ascii="Arial" w:cs="Arial" w:eastAsia="Arial" w:hAnsi="Arial"/>
                <w:sz w:val="17"/>
                <w:szCs w:val="17"/>
                <w:color w:val="auto"/>
              </w:rPr>
              <w:t>held for sale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7"/>
                <w:szCs w:val="17"/>
                <w:color w:val="auto"/>
              </w:rPr>
              <w:t>454,587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181,278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635,865</w:t>
            </w:r>
          </w:p>
        </w:tc>
        <w:tc>
          <w:tcPr>
            <w:tcW w:w="0" w:type="dxa"/>
            <w:vAlign w:val="bottom"/>
          </w:tcPr>
          <w:p>
            <w:pPr>
              <w:spacing w:after="0"/>
              <w:rPr>
                <w:sz w:val="1"/>
                <w:szCs w:val="1"/>
                <w:color w:val="auto"/>
              </w:rPr>
            </w:pPr>
          </w:p>
        </w:tc>
      </w:tr>
      <w:tr>
        <w:trPr>
          <w:trHeight w:val="26"/>
        </w:trPr>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real estate</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w w:val="95"/>
              </w:rPr>
              <w:t>1,323,621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w w:val="89"/>
              </w:rPr>
              <w:t>1,146,167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965,100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3,434,888</w:t>
            </w:r>
          </w:p>
        </w:tc>
        <w:tc>
          <w:tcPr>
            <w:tcW w:w="0" w:type="dxa"/>
            <w:vAlign w:val="bottom"/>
          </w:tcPr>
          <w:p>
            <w:pPr>
              <w:spacing w:after="0"/>
              <w:rPr>
                <w:sz w:val="1"/>
                <w:szCs w:val="1"/>
                <w:color w:val="auto"/>
              </w:rPr>
            </w:pPr>
          </w:p>
        </w:tc>
      </w:tr>
      <w:tr>
        <w:trPr>
          <w:trHeight w:val="211"/>
        </w:trPr>
        <w:tc>
          <w:tcPr>
            <w:tcW w:w="1280" w:type="dxa"/>
            <w:vAlign w:val="bottom"/>
          </w:tcPr>
          <w:p>
            <w:pPr>
              <w:ind w:left="40"/>
              <w:spacing w:after="0"/>
              <w:rPr>
                <w:sz w:val="20"/>
                <w:szCs w:val="20"/>
                <w:color w:val="auto"/>
              </w:rPr>
            </w:pPr>
            <w:r>
              <w:rPr>
                <w:rFonts w:ascii="Arial" w:cs="Arial" w:eastAsia="Arial" w:hAnsi="Arial"/>
                <w:sz w:val="17"/>
                <w:szCs w:val="17"/>
                <w:color w:val="auto"/>
              </w:rPr>
              <w:t>Loans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40"/>
              <w:spacing w:after="0"/>
              <w:rPr>
                <w:sz w:val="20"/>
                <w:szCs w:val="20"/>
                <w:color w:val="auto"/>
              </w:rPr>
            </w:pPr>
            <w:r>
              <w:rPr>
                <w:rFonts w:ascii="Arial" w:cs="Arial" w:eastAsia="Arial" w:hAnsi="Arial"/>
                <w:sz w:val="17"/>
                <w:szCs w:val="17"/>
                <w:color w:val="auto"/>
              </w:rPr>
              <w:t>receivable,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5"/>
              </w:rPr>
              <w:t>1,829,985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2"/>
              </w:rPr>
              <w:t>1,829,985</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25,745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351,225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398,843</w:t>
            </w:r>
          </w:p>
        </w:tc>
        <w:tc>
          <w:tcPr>
            <w:tcW w:w="0" w:type="dxa"/>
            <w:vAlign w:val="bottom"/>
          </w:tcPr>
          <w:p>
            <w:pPr>
              <w:spacing w:after="0"/>
              <w:rPr>
                <w:sz w:val="1"/>
                <w:szCs w:val="1"/>
                <w:color w:val="auto"/>
              </w:rPr>
            </w:pPr>
          </w:p>
        </w:tc>
      </w:tr>
      <w:tr>
        <w:trPr>
          <w:trHeight w:val="191"/>
        </w:trPr>
        <w:tc>
          <w:tcPr>
            <w:tcW w:w="1280" w:type="dxa"/>
            <w:vAlign w:val="bottom"/>
          </w:tcPr>
          <w:p>
            <w:pPr>
              <w:ind w:left="40"/>
              <w:spacing w:after="0" w:line="191" w:lineRule="exact"/>
              <w:rPr>
                <w:sz w:val="20"/>
                <w:szCs w:val="20"/>
                <w:color w:val="auto"/>
              </w:rPr>
            </w:pPr>
            <w:r>
              <w:rPr>
                <w:rFonts w:ascii="Arial" w:cs="Arial" w:eastAsia="Arial" w:hAnsi="Arial"/>
                <w:sz w:val="17"/>
                <w:szCs w:val="17"/>
                <w:color w:val="auto"/>
              </w:rPr>
              <w:t>Total portfolio</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5"/>
              </w:rPr>
              <w:t>1,829,985</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7"/>
                <w:szCs w:val="17"/>
                <w:color w:val="auto"/>
                <w:w w:val="95"/>
              </w:rPr>
              <w:t>1,340,001</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7"/>
                <w:szCs w:val="17"/>
                <w:color w:val="auto"/>
                <w:w w:val="89"/>
              </w:rPr>
              <w:t>1,171,912</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970,593</w:t>
            </w:r>
          </w:p>
        </w:tc>
        <w:tc>
          <w:tcPr>
            <w:tcW w:w="10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351,225</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2"/>
              </w:rPr>
              <w:t>5,663,716</w:t>
            </w:r>
          </w:p>
        </w:tc>
        <w:tc>
          <w:tcPr>
            <w:tcW w:w="0" w:type="dxa"/>
            <w:vAlign w:val="bottom"/>
          </w:tcPr>
          <w:p>
            <w:pPr>
              <w:spacing w:after="0"/>
              <w:rPr>
                <w:sz w:val="1"/>
                <w:szCs w:val="1"/>
                <w:color w:val="auto"/>
              </w:rPr>
            </w:pPr>
          </w:p>
        </w:tc>
      </w:tr>
      <w:tr>
        <w:trPr>
          <w:trHeight w:val="221"/>
        </w:trPr>
        <w:tc>
          <w:tcPr>
            <w:tcW w:w="1280" w:type="dxa"/>
            <w:vAlign w:val="bottom"/>
          </w:tcPr>
          <w:p>
            <w:pPr>
              <w:ind w:left="40"/>
              <w:spacing w:after="0"/>
              <w:rPr>
                <w:sz w:val="20"/>
                <w:szCs w:val="20"/>
                <w:color w:val="auto"/>
              </w:rPr>
            </w:pPr>
            <w:r>
              <w:rPr>
                <w:rFonts w:ascii="Arial" w:cs="Arial" w:eastAsia="Arial" w:hAnsi="Arial"/>
                <w:sz w:val="17"/>
                <w:szCs w:val="17"/>
                <w:color w:val="auto"/>
              </w:rPr>
              <w:t>assets</w:t>
            </w:r>
          </w:p>
        </w:tc>
        <w:tc>
          <w:tcPr>
            <w:tcW w:w="1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65" w:lineRule="auto"/>
        <w:tabs>
          <w:tab w:leader="none" w:pos="601" w:val="left"/>
        </w:tabs>
        <w:numPr>
          <w:ilvl w:val="0"/>
          <w:numId w:val="8"/>
        </w:numPr>
        <w:rPr>
          <w:rFonts w:ascii="Arial" w:cs="Arial" w:eastAsia="Arial" w:hAnsi="Arial"/>
          <w:sz w:val="13"/>
          <w:szCs w:val="13"/>
          <w:color w:val="auto"/>
        </w:rPr>
      </w:pPr>
      <w:r>
        <w:rPr>
          <w:rFonts w:ascii="Arial" w:cs="Arial" w:eastAsia="Arial" w:hAnsi="Arial"/>
          <w:sz w:val="13"/>
          <w:szCs w:val="13"/>
          <w:color w:val="auto"/>
        </w:rPr>
        <w:t>Corporate/Other includes certain equity investments that are not included in a reportable segment, such as the Company's investment in LNR. See Item 8—“Financial Statements and Supplementary Data —Note 6” for further detail on these investments.</w:t>
      </w:r>
    </w:p>
    <w:p>
      <w:pPr>
        <w:spacing w:after="0" w:line="96"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Additional information regarding segment revenue and profit information as well as prior period information is presented in Item 8—"Financial Statements and Supplementary Data—Note 15" and a discussion of operating results is presented in Item 7—“Management's Discussion and Analysis of Financial Condition and Results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1"/>
          </w:cols>
          <w:pgMar w:left="239" w:top="120" w:right="239" w:bottom="1440" w:gutter="0" w:footer="0" w:header="0"/>
        </w:sectPr>
      </w:pPr>
    </w:p>
    <w:bookmarkStart w:id="8" w:name="page9"/>
    <w:bookmarkEnd w:id="8"/>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Real Estate Finance</w:t>
      </w:r>
    </w:p>
    <w:p>
      <w:pPr>
        <w:spacing w:after="0" w:line="251" w:lineRule="exact"/>
        <w:rPr>
          <w:sz w:val="20"/>
          <w:szCs w:val="20"/>
          <w:color w:val="auto"/>
        </w:rPr>
      </w:pPr>
    </w:p>
    <w:p>
      <w:pPr>
        <w:jc w:val="both"/>
        <w:ind w:left="1" w:firstLine="397"/>
        <w:spacing w:after="0" w:line="320" w:lineRule="auto"/>
        <w:rPr>
          <w:sz w:val="20"/>
          <w:szCs w:val="20"/>
          <w:color w:val="auto"/>
        </w:rPr>
      </w:pPr>
      <w:r>
        <w:rPr>
          <w:rFonts w:ascii="Arial" w:cs="Arial" w:eastAsia="Arial" w:hAnsi="Arial"/>
          <w:sz w:val="14"/>
          <w:szCs w:val="14"/>
          <w:color w:val="auto"/>
        </w:rPr>
        <w:t>The Company's real estate finance portfolio primarily consists of senior mortgage loans that are secured by commercial real estate assets where the Company is the first lien holder. A smaller portion of the portfolio consists of subordinated mortgage loans that are secured by subordinated interests in commercial and residential real estate assets where the Company is in either a second lien or junior position, and corporate/partnership loans, which represent mezzanine or subordinated loans to entities for which the Company does not have a lien on the underlying asset, but may have a pledge of underlying equity ownership of such assets.</w:t>
      </w:r>
    </w:p>
    <w:p>
      <w:pPr>
        <w:spacing w:after="0" w:line="184"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As of December 31, 2012, a portion of the Company's loan portfolio was designated as non-performing, whereby loans are placed on non-accrual status and reserves for loan losses are recorded to the extent these loans are determined to be impaired. See Item 8—"Financial Statements and Supplemental Data—Note 3" for a discussion of the Company's policies regarding non-performing loans and reserves for loan losses.</w:t>
      </w:r>
    </w:p>
    <w:p>
      <w:pPr>
        <w:spacing w:after="0" w:line="228"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Company's real estate finance portfolio included the following ($ in thousands):</w:t>
      </w:r>
    </w:p>
    <w:p>
      <w:pPr>
        <w:spacing w:after="0" w:line="200" w:lineRule="exact"/>
        <w:rPr>
          <w:sz w:val="20"/>
          <w:szCs w:val="20"/>
          <w:color w:val="auto"/>
        </w:rPr>
      </w:pPr>
    </w:p>
    <w:p>
      <w:pPr>
        <w:spacing w:after="0" w:line="255" w:lineRule="exact"/>
        <w:rPr>
          <w:sz w:val="20"/>
          <w:szCs w:val="20"/>
          <w:color w:val="auto"/>
        </w:rPr>
      </w:pPr>
    </w:p>
    <w:p>
      <w:pPr>
        <w:ind w:left="6961"/>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20320</wp:posOffset>
            </wp:positionV>
            <wp:extent cx="29235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3540" cy="7620"/>
                    </a:xfrm>
                    <a:prstGeom prst="rect">
                      <a:avLst/>
                    </a:prstGeom>
                    <a:noFill/>
                  </pic:spPr>
                </pic:pic>
              </a:graphicData>
            </a:graphic>
          </wp:anchor>
        </w:drawing>
      </w:r>
    </w:p>
    <w:p>
      <w:pPr>
        <w:spacing w:after="0" w:line="91" w:lineRule="exact"/>
        <w:rPr>
          <w:sz w:val="20"/>
          <w:szCs w:val="20"/>
          <w:color w:val="auto"/>
        </w:rPr>
      </w:pPr>
    </w:p>
    <w:tbl>
      <w:tblPr>
        <w:tblLayout w:type="fixed"/>
        <w:tblInd w:w="1621"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2012</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3"/>
                <w:szCs w:val="13"/>
                <w:b w:val="1"/>
                <w:bCs w:val="1"/>
                <w:color w:val="auto"/>
              </w:rPr>
              <w:t>Total</w:t>
            </w: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auto"/>
              </w:rPr>
              <w:t>% of Total</w:t>
            </w:r>
          </w:p>
        </w:tc>
        <w:tc>
          <w:tcPr>
            <w:tcW w:w="28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ind w:right="99"/>
              <w:spacing w:after="0"/>
              <w:rPr>
                <w:sz w:val="20"/>
                <w:szCs w:val="20"/>
                <w:color w:val="auto"/>
              </w:rPr>
            </w:pPr>
            <w:r>
              <w:rPr>
                <w:rFonts w:ascii="Arial" w:cs="Arial" w:eastAsia="Arial" w:hAnsi="Arial"/>
                <w:sz w:val="13"/>
                <w:szCs w:val="13"/>
                <w:b w:val="1"/>
                <w:bCs w:val="1"/>
                <w:color w:val="auto"/>
              </w:rPr>
              <w:t>% of Total</w:t>
            </w:r>
          </w:p>
        </w:tc>
        <w:tc>
          <w:tcPr>
            <w:tcW w:w="0" w:type="dxa"/>
            <w:vAlign w:val="bottom"/>
          </w:tcPr>
          <w:p>
            <w:pPr>
              <w:spacing w:after="0"/>
              <w:rPr>
                <w:sz w:val="1"/>
                <w:szCs w:val="1"/>
                <w:color w:val="auto"/>
              </w:rPr>
            </w:pPr>
          </w:p>
        </w:tc>
      </w:tr>
      <w:tr>
        <w:trPr>
          <w:trHeight w:val="22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Performing loans(1):</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160"/>
              <w:spacing w:after="0"/>
              <w:rPr>
                <w:sz w:val="20"/>
                <w:szCs w:val="20"/>
                <w:color w:val="auto"/>
              </w:rPr>
            </w:pPr>
            <w:r>
              <w:rPr>
                <w:rFonts w:ascii="Arial" w:cs="Arial" w:eastAsia="Arial" w:hAnsi="Arial"/>
                <w:sz w:val="17"/>
                <w:szCs w:val="17"/>
                <w:color w:val="auto"/>
              </w:rPr>
              <w:t>Senior mortgages</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829,894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1,499,458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Subordinate mortgages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98,758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189,010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2"/>
        </w:trPr>
        <w:tc>
          <w:tcPr>
            <w:tcW w:w="3580" w:type="dxa"/>
            <w:vAlign w:val="bottom"/>
          </w:tcPr>
          <w:p>
            <w:pPr>
              <w:ind w:left="160"/>
              <w:spacing w:after="0"/>
              <w:rPr>
                <w:sz w:val="20"/>
                <w:szCs w:val="20"/>
                <w:color w:val="auto"/>
              </w:rPr>
            </w:pPr>
            <w:r>
              <w:rPr>
                <w:rFonts w:ascii="Arial" w:cs="Arial" w:eastAsia="Arial" w:hAnsi="Arial"/>
                <w:sz w:val="17"/>
                <w:szCs w:val="17"/>
                <w:color w:val="auto"/>
              </w:rPr>
              <w:t>Corporate/partnership loans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431,321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458,808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Subtotal</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1,359,973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2,147,276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22"/>
        </w:trPr>
        <w:tc>
          <w:tcPr>
            <w:tcW w:w="3580" w:type="dxa"/>
            <w:vAlign w:val="bottom"/>
          </w:tcPr>
          <w:p>
            <w:pPr>
              <w:ind w:left="20"/>
              <w:spacing w:after="0"/>
              <w:rPr>
                <w:sz w:val="20"/>
                <w:szCs w:val="20"/>
                <w:color w:val="auto"/>
              </w:rPr>
            </w:pPr>
            <w:r>
              <w:rPr>
                <w:rFonts w:ascii="Arial" w:cs="Arial" w:eastAsia="Arial" w:hAnsi="Arial"/>
                <w:sz w:val="17"/>
                <w:szCs w:val="17"/>
                <w:color w:val="auto"/>
              </w:rPr>
              <w:t>Non-performing loans(1):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Senior mortgages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478,602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761,086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22"/>
        </w:trPr>
        <w:tc>
          <w:tcPr>
            <w:tcW w:w="3580" w:type="dxa"/>
            <w:vAlign w:val="bottom"/>
          </w:tcPr>
          <w:p>
            <w:pPr>
              <w:ind w:left="160"/>
              <w:spacing w:after="0"/>
              <w:rPr>
                <w:sz w:val="20"/>
                <w:szCs w:val="20"/>
                <w:color w:val="auto"/>
              </w:rPr>
            </w:pPr>
            <w:r>
              <w:rPr>
                <w:rFonts w:ascii="Arial" w:cs="Arial" w:eastAsia="Arial" w:hAnsi="Arial"/>
                <w:sz w:val="17"/>
                <w:szCs w:val="17"/>
                <w:color w:val="auto"/>
              </w:rPr>
              <w:t>Subordinate mortgages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Corporate/partnership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4"/>
        </w:trPr>
        <w:tc>
          <w:tcPr>
            <w:tcW w:w="3580" w:type="dxa"/>
            <w:vAlign w:val="bottom"/>
          </w:tcPr>
          <w:p>
            <w:pPr>
              <w:ind w:left="160"/>
              <w:spacing w:after="0"/>
              <w:rPr>
                <w:sz w:val="20"/>
                <w:szCs w:val="20"/>
                <w:color w:val="auto"/>
              </w:rPr>
            </w:pPr>
            <w:r>
              <w:rPr>
                <w:rFonts w:ascii="Arial" w:cs="Arial" w:eastAsia="Arial" w:hAnsi="Arial"/>
                <w:sz w:val="17"/>
                <w:szCs w:val="17"/>
                <w:color w:val="auto"/>
              </w:rPr>
              <w:t>Subtotal</w:t>
            </w: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503,112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771,196</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carrying value of loans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1,863,085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2,918,472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0"/>
              <w:spacing w:after="0"/>
              <w:rPr>
                <w:sz w:val="20"/>
                <w:szCs w:val="20"/>
                <w:color w:val="auto"/>
              </w:rPr>
            </w:pPr>
            <w:r>
              <w:rPr>
                <w:rFonts w:ascii="Arial" w:cs="Arial" w:eastAsia="Arial" w:hAnsi="Arial"/>
                <w:sz w:val="17"/>
                <w:szCs w:val="17"/>
                <w:color w:val="auto"/>
              </w:rPr>
              <w:t>General reserve for loan losses</w:t>
            </w:r>
          </w:p>
        </w:tc>
        <w:tc>
          <w:tcPr>
            <w:tcW w:w="2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(33,100)</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(73,500)</w:t>
            </w: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carrying value of loans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1,829,985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2,844,972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20"/>
              <w:spacing w:after="0"/>
              <w:rPr>
                <w:sz w:val="20"/>
                <w:szCs w:val="20"/>
                <w:color w:val="auto"/>
              </w:rPr>
            </w:pPr>
            <w:r>
              <w:rPr>
                <w:rFonts w:ascii="Arial" w:cs="Arial" w:eastAsia="Arial" w:hAnsi="Arial"/>
                <w:sz w:val="17"/>
                <w:szCs w:val="17"/>
                <w:color w:val="auto"/>
              </w:rPr>
              <w:t>Other lending investments—securities</w:t>
            </w:r>
          </w:p>
        </w:tc>
        <w:tc>
          <w:tcPr>
            <w:tcW w:w="26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15,790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loans receivable, net</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1,829,985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2,860,762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65" w:lineRule="auto"/>
        <w:tabs>
          <w:tab w:leader="none" w:pos="601"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Performing and non-performing loans are presented net of asset-specific loan loss reserves of $15.3 million and $476.1 million, respectively, as of December 31, 2012, and $16.0 million and $557.1 million, respectively, as of December 31, 2011.</w:t>
      </w:r>
    </w:p>
    <w:p>
      <w:pPr>
        <w:spacing w:after="0" w:line="170" w:lineRule="exact"/>
        <w:rPr>
          <w:sz w:val="20"/>
          <w:szCs w:val="20"/>
          <w:color w:val="auto"/>
        </w:rPr>
      </w:pPr>
    </w:p>
    <w:p>
      <w:pPr>
        <w:jc w:val="both"/>
        <w:ind w:left="1" w:firstLine="372"/>
        <w:spacing w:after="0" w:line="275" w:lineRule="auto"/>
        <w:rPr>
          <w:sz w:val="20"/>
          <w:szCs w:val="20"/>
          <w:color w:val="auto"/>
        </w:rPr>
      </w:pPr>
      <w:r>
        <w:rPr>
          <w:rFonts w:ascii="Arial" w:cs="Arial" w:eastAsia="Arial" w:hAnsi="Arial"/>
          <w:sz w:val="16"/>
          <w:szCs w:val="16"/>
          <w:i w:val="1"/>
          <w:iCs w:val="1"/>
          <w:color w:val="auto"/>
        </w:rPr>
        <w:t>Summary of Portfolio Characteristics</w:t>
      </w:r>
      <w:r>
        <w:rPr>
          <w:rFonts w:ascii="Arial" w:cs="Arial" w:eastAsia="Arial" w:hAnsi="Arial"/>
          <w:sz w:val="16"/>
          <w:szCs w:val="16"/>
          <w:color w:val="auto"/>
        </w:rPr>
        <w:t>—As of December 31, 2012, the Company's performing loans and non-performing loans had weighted average loan to value</w:t>
      </w:r>
      <w:r>
        <w:rPr>
          <w:rFonts w:ascii="Arial" w:cs="Arial" w:eastAsia="Arial" w:hAnsi="Arial"/>
          <w:sz w:val="16"/>
          <w:szCs w:val="16"/>
          <w:i w:val="1"/>
          <w:iCs w:val="1"/>
          <w:color w:val="auto"/>
        </w:rPr>
        <w:t xml:space="preserve"> </w:t>
      </w:r>
      <w:r>
        <w:rPr>
          <w:rFonts w:ascii="Arial" w:cs="Arial" w:eastAsia="Arial" w:hAnsi="Arial"/>
          <w:sz w:val="16"/>
          <w:szCs w:val="16"/>
          <w:color w:val="auto"/>
        </w:rPr>
        <w:t>ratios of 75% and 91%, respectively. Additionally, the Company's performing loans were comprised of 53% fixed-rate loans and 47% variable-rate loans that had weighted average accrual rates of 8.2% and 6.1%, respectively, and had a weighted average remaining term of 3.1 years.</w:t>
      </w:r>
    </w:p>
    <w:p>
      <w:pPr>
        <w:spacing w:after="0" w:line="286" w:lineRule="exact"/>
        <w:rPr>
          <w:sz w:val="20"/>
          <w:szCs w:val="20"/>
          <w:color w:val="auto"/>
        </w:rPr>
      </w:pPr>
    </w:p>
    <w:p>
      <w:pPr>
        <w:jc w:val="both"/>
        <w:ind w:left="1" w:firstLine="397"/>
        <w:spacing w:after="0" w:line="270" w:lineRule="auto"/>
        <w:rPr>
          <w:sz w:val="20"/>
          <w:szCs w:val="20"/>
          <w:color w:val="auto"/>
        </w:rPr>
      </w:pPr>
      <w:r>
        <w:rPr>
          <w:rFonts w:ascii="Arial" w:cs="Arial" w:eastAsia="Arial" w:hAnsi="Arial"/>
          <w:sz w:val="16"/>
          <w:szCs w:val="16"/>
          <w:i w:val="1"/>
          <w:iCs w:val="1"/>
          <w:color w:val="auto"/>
        </w:rPr>
        <w:t>Portfolio Activity</w:t>
      </w:r>
      <w:r>
        <w:rPr>
          <w:rFonts w:ascii="Arial" w:cs="Arial" w:eastAsia="Arial" w:hAnsi="Arial"/>
          <w:sz w:val="16"/>
          <w:szCs w:val="16"/>
          <w:color w:val="auto"/>
        </w:rPr>
        <w:t>—During the year ended December 31, 2012, the Company originated and funded $39.6 million of loans, received principal repayments of $710.7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sold loans with a total carrying value of $53.9 million. In addition, the Company took title to property in full or partial satisfaction of non-performing mortgage loans with a total gross carrying value of $352.8 million, for which the properties had served as collateral and recorded charge-offs totaling $85.3 million related to these loans. See Item 8—"Financial Statements and Supplemental Data—Note 5" for further details on real estate finance activities.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1"/>
          </w:cols>
          <w:pgMar w:left="239" w:top="120" w:right="239" w:bottom="1440" w:gutter="0" w:footer="0" w:header="0"/>
        </w:sectPr>
      </w:pPr>
    </w:p>
    <w:bookmarkStart w:id="9" w:name="page10"/>
    <w:bookmarkEnd w:id="9"/>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ind w:left="401"/>
        <w:spacing w:after="0"/>
        <w:rPr>
          <w:sz w:val="20"/>
          <w:szCs w:val="20"/>
          <w:color w:val="auto"/>
        </w:rPr>
      </w:pPr>
      <w:r>
        <w:rPr>
          <w:rFonts w:ascii="Arial" w:cs="Arial" w:eastAsia="Arial" w:hAnsi="Arial"/>
          <w:sz w:val="17"/>
          <w:szCs w:val="17"/>
          <w:i w:val="1"/>
          <w:iCs w:val="1"/>
          <w:color w:val="auto"/>
        </w:rPr>
        <w:t>Summary of Loan Interest Rate Characteristics</w:t>
      </w:r>
      <w:r>
        <w:rPr>
          <w:rFonts w:ascii="Arial" w:cs="Arial" w:eastAsia="Arial" w:hAnsi="Arial"/>
          <w:sz w:val="17"/>
          <w:szCs w:val="17"/>
          <w:color w:val="auto"/>
        </w:rPr>
        <w:t>—The Company's loans receivable had the following interest rate characteristics ($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1501"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3"/>
                <w:szCs w:val="13"/>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41"/>
        </w:trPr>
        <w:tc>
          <w:tcPr>
            <w:tcW w:w="2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3"/>
                <w:szCs w:val="13"/>
                <w:b w:val="1"/>
                <w:bCs w:val="1"/>
                <w:color w:val="auto"/>
                <w:w w:val="89"/>
              </w:rPr>
              <w:t>2012</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3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8"/>
              </w:rPr>
              <w:t>Weighted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Weighted</w:t>
            </w:r>
          </w:p>
        </w:tc>
      </w:tr>
      <w:tr>
        <w:trPr>
          <w:trHeight w:val="137"/>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21"/>
              <w:spacing w:after="0" w:line="137" w:lineRule="exact"/>
              <w:rPr>
                <w:sz w:val="20"/>
                <w:szCs w:val="20"/>
                <w:color w:val="auto"/>
              </w:rPr>
            </w:pPr>
            <w:r>
              <w:rPr>
                <w:rFonts w:ascii="Arial" w:cs="Arial" w:eastAsia="Arial" w:hAnsi="Arial"/>
                <w:sz w:val="13"/>
                <w:szCs w:val="13"/>
                <w:b w:val="1"/>
                <w:bCs w:val="1"/>
                <w:color w:val="auto"/>
              </w:rPr>
              <w:t>Carrying</w:t>
            </w:r>
          </w:p>
        </w:tc>
        <w:tc>
          <w:tcPr>
            <w:tcW w:w="760" w:type="dxa"/>
            <w:vAlign w:val="bottom"/>
            <w:gridSpan w:val="2"/>
          </w:tcPr>
          <w:p>
            <w:pPr>
              <w:jc w:val="center"/>
              <w:ind w:left="44"/>
              <w:spacing w:after="0" w:line="137"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9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1"/>
                <w:szCs w:val="11"/>
                <w:color w:val="auto"/>
              </w:rPr>
            </w:pPr>
          </w:p>
        </w:tc>
        <w:tc>
          <w:tcPr>
            <w:tcW w:w="840" w:type="dxa"/>
            <w:vAlign w:val="bottom"/>
          </w:tcPr>
          <w:p>
            <w:pPr>
              <w:jc w:val="right"/>
              <w:ind w:right="161"/>
              <w:spacing w:after="0" w:line="137" w:lineRule="exact"/>
              <w:rPr>
                <w:sz w:val="20"/>
                <w:szCs w:val="20"/>
                <w:color w:val="auto"/>
              </w:rPr>
            </w:pPr>
            <w:r>
              <w:rPr>
                <w:rFonts w:ascii="Arial" w:cs="Arial" w:eastAsia="Arial" w:hAnsi="Arial"/>
                <w:sz w:val="13"/>
                <w:szCs w:val="13"/>
                <w:b w:val="1"/>
                <w:bCs w:val="1"/>
                <w:color w:val="auto"/>
              </w:rPr>
              <w:t>Carrying</w:t>
            </w:r>
          </w:p>
        </w:tc>
        <w:tc>
          <w:tcPr>
            <w:tcW w:w="760" w:type="dxa"/>
            <w:vAlign w:val="bottom"/>
            <w:gridSpan w:val="2"/>
          </w:tcPr>
          <w:p>
            <w:pPr>
              <w:jc w:val="right"/>
              <w:ind w:right="186"/>
              <w:spacing w:after="0" w:line="137"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Average</w:t>
            </w:r>
          </w:p>
        </w:tc>
      </w:tr>
      <w:tr>
        <w:trPr>
          <w:trHeight w:val="176"/>
        </w:trPr>
        <w:tc>
          <w:tcPr>
            <w:tcW w:w="2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of Total</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Accrual Rate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of Total</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Accrual Rate</w:t>
            </w:r>
          </w:p>
        </w:tc>
      </w:tr>
      <w:tr>
        <w:trPr>
          <w:trHeight w:val="22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Fixed-rate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704,653</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7"/>
                <w:szCs w:val="17"/>
                <w:color w:val="auto"/>
                <w:w w:val="95"/>
              </w:rPr>
              <w:t>8.24%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w w:val="97"/>
              </w:rPr>
              <w:t>1,056,920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9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w w:val="91"/>
              </w:rPr>
              <w:t>7.96%</w:t>
            </w:r>
          </w:p>
        </w:tc>
      </w:tr>
      <w:tr>
        <w:trPr>
          <w:trHeight w:val="222"/>
        </w:trPr>
        <w:tc>
          <w:tcPr>
            <w:tcW w:w="2920" w:type="dxa"/>
            <w:vAlign w:val="bottom"/>
          </w:tcPr>
          <w:p>
            <w:pPr>
              <w:ind w:left="20"/>
              <w:spacing w:after="0"/>
              <w:rPr>
                <w:sz w:val="20"/>
                <w:szCs w:val="20"/>
                <w:color w:val="auto"/>
              </w:rPr>
            </w:pPr>
            <w:r>
              <w:rPr>
                <w:rFonts w:ascii="Arial" w:cs="Arial" w:eastAsia="Arial" w:hAnsi="Arial"/>
                <w:sz w:val="17"/>
                <w:szCs w:val="17"/>
                <w:color w:val="auto"/>
              </w:rPr>
              <w:t>Variable-rate loans(1)</w:t>
            </w:r>
          </w:p>
        </w:tc>
        <w:tc>
          <w:tcPr>
            <w:tcW w:w="1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7"/>
                <w:szCs w:val="17"/>
                <w:color w:val="auto"/>
              </w:rPr>
              <w:t>655,320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35.2%</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w w:val="95"/>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7"/>
                <w:szCs w:val="17"/>
                <w:color w:val="auto"/>
                <w:w w:val="97"/>
              </w:rPr>
              <w:t>1,106,146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37.7%</w:t>
            </w:r>
          </w:p>
        </w:tc>
        <w:tc>
          <w:tcPr>
            <w:tcW w:w="980" w:type="dxa"/>
            <w:vAlign w:val="bottom"/>
            <w:gridSpan w:val="2"/>
          </w:tcPr>
          <w:p>
            <w:pPr>
              <w:ind w:left="520"/>
              <w:spacing w:after="0"/>
              <w:rPr>
                <w:sz w:val="20"/>
                <w:szCs w:val="20"/>
                <w:color w:val="auto"/>
              </w:rPr>
            </w:pPr>
            <w:r>
              <w:rPr>
                <w:rFonts w:ascii="Arial" w:cs="Arial" w:eastAsia="Arial" w:hAnsi="Arial"/>
                <w:sz w:val="17"/>
                <w:szCs w:val="17"/>
                <w:color w:val="auto"/>
                <w:w w:val="91"/>
              </w:rPr>
              <w:t>5.38%</w:t>
            </w:r>
          </w:p>
        </w:tc>
      </w:tr>
      <w:tr>
        <w:trPr>
          <w:trHeight w:val="26"/>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Non-performing loans(2)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503,112</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771,196</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N/A</w:t>
            </w:r>
          </w:p>
        </w:tc>
      </w:tr>
      <w:tr>
        <w:trPr>
          <w:trHeight w:val="274"/>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carrying value of loans</w:t>
            </w:r>
          </w:p>
        </w:tc>
        <w:tc>
          <w:tcPr>
            <w:tcW w:w="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CCEEFF"/>
            </w:tcBorders>
          </w:tcPr>
          <w:p>
            <w:pPr>
              <w:jc w:val="right"/>
              <w:ind w:right="1"/>
              <w:spacing w:after="0"/>
              <w:rPr>
                <w:sz w:val="20"/>
                <w:szCs w:val="20"/>
                <w:color w:val="auto"/>
              </w:rPr>
            </w:pPr>
            <w:r>
              <w:rPr>
                <w:rFonts w:ascii="Arial" w:cs="Arial" w:eastAsia="Arial" w:hAnsi="Arial"/>
                <w:sz w:val="17"/>
                <w:szCs w:val="17"/>
                <w:color w:val="auto"/>
                <w:w w:val="89"/>
              </w:rPr>
              <w:t>1,863,085</w:t>
            </w:r>
          </w:p>
        </w:tc>
        <w:tc>
          <w:tcPr>
            <w:tcW w:w="100" w:type="dxa"/>
            <w:vAlign w:val="bottom"/>
            <w:tcBorders>
              <w:bottom w:val="single" w:sz="8" w:color="CCEEFF"/>
            </w:tcBorders>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CCEEFF"/>
            </w:tcBorders>
          </w:tcPr>
          <w:p>
            <w:pPr>
              <w:jc w:val="right"/>
              <w:ind w:right="1"/>
              <w:spacing w:after="0"/>
              <w:rPr>
                <w:sz w:val="20"/>
                <w:szCs w:val="20"/>
                <w:color w:val="auto"/>
              </w:rPr>
            </w:pPr>
            <w:r>
              <w:rPr>
                <w:rFonts w:ascii="Arial" w:cs="Arial" w:eastAsia="Arial" w:hAnsi="Arial"/>
                <w:sz w:val="17"/>
                <w:szCs w:val="17"/>
                <w:color w:val="auto"/>
                <w:w w:val="97"/>
              </w:rPr>
              <w:t>2,934,262</w:t>
            </w:r>
          </w:p>
        </w:tc>
        <w:tc>
          <w:tcPr>
            <w:tcW w:w="100" w:type="dxa"/>
            <w:vAlign w:val="bottom"/>
            <w:tcBorders>
              <w:bottom w:val="single" w:sz="8" w:color="CCEEFF"/>
            </w:tcBorders>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32"/>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reserve for loan losses</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(33,100)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(73,500)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4"/>
        </w:trPr>
        <w:tc>
          <w:tcPr>
            <w:tcW w:w="2920" w:type="dxa"/>
            <w:vAlign w:val="bottom"/>
          </w:tcPr>
          <w:p>
            <w:pPr>
              <w:ind w:left="20"/>
              <w:spacing w:after="0"/>
              <w:rPr>
                <w:sz w:val="20"/>
                <w:szCs w:val="20"/>
                <w:color w:val="auto"/>
              </w:rPr>
            </w:pPr>
            <w:r>
              <w:rPr>
                <w:rFonts w:ascii="Arial" w:cs="Arial" w:eastAsia="Arial" w:hAnsi="Arial"/>
                <w:sz w:val="17"/>
                <w:szCs w:val="17"/>
                <w:color w:val="auto"/>
              </w:rPr>
              <w:t>Total loans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w w:val="89"/>
              </w:rPr>
              <w:t>1,829,985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w w:val="97"/>
              </w:rPr>
              <w:t>2,860,762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December 31, 2012 and 2011, includes $286.3 million and $398.5 million, respectively, of loans with a weighted average interest rate floor of 3.30% and 3.16%, respectively.</w:t>
      </w:r>
    </w:p>
    <w:p>
      <w:pPr>
        <w:spacing w:after="0" w:line="9" w:lineRule="exact"/>
        <w:rPr>
          <w:rFonts w:ascii="Arial" w:cs="Arial" w:eastAsia="Arial" w:hAnsi="Arial"/>
          <w:sz w:val="13"/>
          <w:szCs w:val="13"/>
          <w:color w:val="auto"/>
        </w:rPr>
      </w:pPr>
    </w:p>
    <w:p>
      <w:pPr>
        <w:ind w:left="601" w:hanging="601"/>
        <w:spacing w:after="0" w:line="249" w:lineRule="auto"/>
        <w:tabs>
          <w:tab w:leader="none" w:pos="601"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Performing and non-performing loans are presented net of asset-specific loan loss reserves of $15.3 million and $476.1 million, respectively, as of December 31, 2012, and $16.0 million and $557.1 million, respectively, as of December 31, 2011.</w:t>
      </w:r>
    </w:p>
    <w:p>
      <w:pPr>
        <w:spacing w:after="0" w:line="105" w:lineRule="exact"/>
        <w:rPr>
          <w:sz w:val="20"/>
          <w:szCs w:val="20"/>
          <w:color w:val="auto"/>
        </w:rPr>
      </w:pPr>
    </w:p>
    <w:p>
      <w:pPr>
        <w:ind w:left="401"/>
        <w:spacing w:after="0"/>
        <w:rPr>
          <w:sz w:val="20"/>
          <w:szCs w:val="20"/>
          <w:color w:val="auto"/>
        </w:rPr>
      </w:pPr>
      <w:r>
        <w:rPr>
          <w:rFonts w:ascii="Arial" w:cs="Arial" w:eastAsia="Arial" w:hAnsi="Arial"/>
          <w:sz w:val="17"/>
          <w:szCs w:val="17"/>
          <w:i w:val="1"/>
          <w:iCs w:val="1"/>
          <w:color w:val="auto"/>
        </w:rPr>
        <w:t>Summary of Loan Maturities</w:t>
      </w:r>
      <w:r>
        <w:rPr>
          <w:rFonts w:ascii="Arial" w:cs="Arial" w:eastAsia="Arial" w:hAnsi="Arial"/>
          <w:sz w:val="17"/>
          <w:szCs w:val="17"/>
          <w:color w:val="auto"/>
        </w:rPr>
        <w:t>—As of December 31, 2012, the Company's loans receivable had the following maturities ($ in thousands):</w:t>
      </w:r>
    </w:p>
    <w:p>
      <w:pPr>
        <w:spacing w:after="0" w:line="255" w:lineRule="exact"/>
        <w:rPr>
          <w:sz w:val="20"/>
          <w:szCs w:val="20"/>
          <w:color w:val="auto"/>
        </w:rPr>
      </w:pPr>
    </w:p>
    <w:tbl>
      <w:tblPr>
        <w:tblLayout w:type="fixed"/>
        <w:tblInd w:w="2141"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88"/>
              </w:rPr>
              <w:t>Loans</w:t>
            </w:r>
          </w:p>
        </w:tc>
        <w:tc>
          <w:tcPr>
            <w:tcW w:w="220" w:type="dxa"/>
            <w:vAlign w:val="bottom"/>
          </w:tcPr>
          <w:p>
            <w:pPr>
              <w:spacing w:after="0"/>
              <w:rPr>
                <w:sz w:val="11"/>
                <w:szCs w:val="11"/>
                <w:color w:val="auto"/>
              </w:rPr>
            </w:pPr>
          </w:p>
        </w:tc>
        <w:tc>
          <w:tcPr>
            <w:tcW w:w="960" w:type="dxa"/>
            <w:vAlign w:val="bottom"/>
          </w:tcPr>
          <w:p>
            <w:pPr>
              <w:jc w:val="right"/>
              <w:ind w:right="240"/>
              <w:spacing w:after="0" w:line="137" w:lineRule="exact"/>
              <w:rPr>
                <w:sz w:val="20"/>
                <w:szCs w:val="20"/>
                <w:color w:val="auto"/>
              </w:rPr>
            </w:pPr>
            <w:r>
              <w:rPr>
                <w:rFonts w:ascii="Arial" w:cs="Arial" w:eastAsia="Arial" w:hAnsi="Arial"/>
                <w:sz w:val="13"/>
                <w:szCs w:val="13"/>
                <w:b w:val="1"/>
                <w:bCs w:val="1"/>
                <w:color w:val="auto"/>
              </w:rPr>
              <w:t>Carrying</w:t>
            </w:r>
          </w:p>
        </w:tc>
        <w:tc>
          <w:tcPr>
            <w:tcW w:w="1060" w:type="dxa"/>
            <w:vAlign w:val="bottom"/>
            <w:gridSpan w:val="2"/>
          </w:tcPr>
          <w:p>
            <w:pPr>
              <w:jc w:val="right"/>
              <w:ind w:right="334"/>
              <w:spacing w:after="0" w:line="137"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Year of Maturity</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Maturing</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of Total</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545,034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22"/>
        </w:trPr>
        <w:tc>
          <w:tcPr>
            <w:tcW w:w="3720" w:type="dxa"/>
            <w:vAlign w:val="bottom"/>
          </w:tcPr>
          <w:p>
            <w:pPr>
              <w:ind w:left="40"/>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170,161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137,829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2"/>
        </w:trPr>
        <w:tc>
          <w:tcPr>
            <w:tcW w:w="3720" w:type="dxa"/>
            <w:vAlign w:val="bottom"/>
          </w:tcPr>
          <w:p>
            <w:pPr>
              <w:ind w:left="4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148,526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37,532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2"/>
        </w:trPr>
        <w:tc>
          <w:tcPr>
            <w:tcW w:w="3820" w:type="dxa"/>
            <w:vAlign w:val="bottom"/>
            <w:gridSpan w:val="2"/>
          </w:tcPr>
          <w:p>
            <w:pPr>
              <w:ind w:left="40"/>
              <w:spacing w:after="0"/>
              <w:rPr>
                <w:sz w:val="20"/>
                <w:szCs w:val="20"/>
                <w:color w:val="auto"/>
              </w:rPr>
            </w:pPr>
            <w:r>
              <w:rPr>
                <w:rFonts w:ascii="Arial" w:cs="Arial" w:eastAsia="Arial" w:hAnsi="Arial"/>
                <w:sz w:val="17"/>
                <w:szCs w:val="17"/>
                <w:color w:val="auto"/>
              </w:rPr>
              <w:t>2018 and thereafter</w:t>
            </w:r>
          </w:p>
        </w:tc>
        <w:tc>
          <w:tcPr>
            <w:tcW w:w="9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320,891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performing loans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1,359,973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22"/>
        </w:trPr>
        <w:tc>
          <w:tcPr>
            <w:tcW w:w="3820" w:type="dxa"/>
            <w:vAlign w:val="bottom"/>
            <w:gridSpan w:val="2"/>
          </w:tcPr>
          <w:p>
            <w:pPr>
              <w:ind w:left="40"/>
              <w:spacing w:after="0"/>
              <w:rPr>
                <w:sz w:val="20"/>
                <w:szCs w:val="20"/>
                <w:color w:val="auto"/>
              </w:rPr>
            </w:pPr>
            <w:r>
              <w:rPr>
                <w:rFonts w:ascii="Arial" w:cs="Arial" w:eastAsia="Arial" w:hAnsi="Arial"/>
                <w:sz w:val="17"/>
                <w:szCs w:val="17"/>
                <w:color w:val="auto"/>
              </w:rPr>
              <w:t>Non-performing loans</w:t>
            </w:r>
          </w:p>
        </w:tc>
        <w:tc>
          <w:tcPr>
            <w:tcW w:w="9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503,112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carrying value of loans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1,863,085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7"/>
                <w:szCs w:val="17"/>
                <w:color w:val="auto"/>
              </w:rPr>
              <w:t>General reserve for loan losses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(33,100)</w:t>
            </w: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loans receivable, net</w:t>
            </w: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1,829,985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Performing and non-performing loans are presented net of asset-specific loan loss reserves of $15.3 million and $476.1 million, respectively.</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Net Leasing</w:t>
      </w:r>
    </w:p>
    <w:p>
      <w:pPr>
        <w:spacing w:after="0" w:line="251" w:lineRule="exact"/>
        <w:rPr>
          <w:sz w:val="20"/>
          <w:szCs w:val="20"/>
          <w:color w:val="auto"/>
        </w:rPr>
      </w:pPr>
    </w:p>
    <w:p>
      <w:pPr>
        <w:jc w:val="both"/>
        <w:ind w:left="1" w:firstLine="397"/>
        <w:spacing w:after="0" w:line="249" w:lineRule="auto"/>
        <w:rPr>
          <w:sz w:val="20"/>
          <w:szCs w:val="20"/>
          <w:color w:val="auto"/>
        </w:rPr>
      </w:pPr>
      <w:r>
        <w:rPr>
          <w:rFonts w:ascii="Arial" w:cs="Arial" w:eastAsia="Arial" w:hAnsi="Arial"/>
          <w:sz w:val="17"/>
          <w:szCs w:val="17"/>
          <w:color w:val="auto"/>
        </w:rPr>
        <w:t>The net lease portfolio is primarily comprised of properties owned by the Company and leased to single creditworthy tenants where the properties are subject to long-term leases. Most or all of the leases provide for expenses at the facility to be paid by the tenant on a triple net lease basis. The Company generally intends to hold its net lease assets ("NLAs") for long-term investment. However, subject to certain tax restrictions, the Company may dispose of assets if it deems the disposition to be in the Company's best interests.</w:t>
      </w:r>
    </w:p>
    <w:p>
      <w:pPr>
        <w:spacing w:after="0" w:line="231"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Under a typical net lease agreement, the corporate customer agrees to pay a base monthly operating lease payment and most or all of the facility operating expenses (including taxes, utilities, maintenance and insurance). The Company generally targets corporate customers with facilities that are mission-critical to their ongoing businesses.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1"/>
          </w:cols>
          <w:pgMar w:left="239" w:top="120" w:right="239" w:bottom="1440" w:gutter="0" w:footer="0" w:header="0"/>
        </w:sectPr>
      </w:pPr>
    </w:p>
    <w:bookmarkStart w:id="10" w:name="page11"/>
    <w:bookmarkEnd w:id="10"/>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Company's net leasing portfolio included the following ($ in thousands):</w:t>
      </w:r>
    </w:p>
    <w:p>
      <w:pPr>
        <w:spacing w:after="0" w:line="330" w:lineRule="exact"/>
        <w:rPr>
          <w:sz w:val="20"/>
          <w:szCs w:val="20"/>
          <w:color w:val="auto"/>
        </w:rPr>
      </w:pPr>
    </w:p>
    <w:tbl>
      <w:tblPr>
        <w:tblLayout w:type="fixed"/>
        <w:tblInd w:w="2861"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3"/>
                <w:szCs w:val="13"/>
                <w:b w:val="1"/>
                <w:bCs w:val="1"/>
                <w:color w:val="auto"/>
              </w:rPr>
              <w:t>As of December 31,</w:t>
            </w:r>
          </w:p>
        </w:tc>
      </w:tr>
      <w:tr>
        <w:trPr>
          <w:trHeight w:val="241"/>
        </w:trPr>
        <w:tc>
          <w:tcPr>
            <w:tcW w:w="3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2011</w:t>
            </w:r>
          </w:p>
        </w:tc>
      </w:tr>
      <w:tr>
        <w:trPr>
          <w:trHeight w:val="22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at cost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1,639,320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1,773,149</w:t>
            </w:r>
          </w:p>
        </w:tc>
      </w:tr>
      <w:tr>
        <w:trPr>
          <w:trHeight w:val="222"/>
        </w:trPr>
        <w:tc>
          <w:tcPr>
            <w:tcW w:w="3160" w:type="dxa"/>
            <w:vAlign w:val="bottom"/>
          </w:tcPr>
          <w:p>
            <w:pPr>
              <w:ind w:left="40"/>
              <w:spacing w:after="0"/>
              <w:rPr>
                <w:sz w:val="20"/>
                <w:szCs w:val="20"/>
                <w:color w:val="auto"/>
              </w:rPr>
            </w:pPr>
            <w:r>
              <w:rPr>
                <w:rFonts w:ascii="Arial" w:cs="Arial" w:eastAsia="Arial" w:hAnsi="Arial"/>
                <w:sz w:val="17"/>
                <w:szCs w:val="17"/>
                <w:color w:val="auto"/>
              </w:rPr>
              <w:t>Less: accumulated 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(315,699)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(302,851)</w:t>
            </w:r>
          </w:p>
        </w:tc>
      </w:tr>
      <w:tr>
        <w:trPr>
          <w:trHeight w:val="26"/>
        </w:trPr>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net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1,323,621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1,470,298</w:t>
            </w:r>
          </w:p>
        </w:tc>
      </w:tr>
      <w:tr>
        <w:trPr>
          <w:trHeight w:val="222"/>
        </w:trPr>
        <w:tc>
          <w:tcPr>
            <w:tcW w:w="3160" w:type="dxa"/>
            <w:vAlign w:val="bottom"/>
          </w:tcPr>
          <w:p>
            <w:pPr>
              <w:ind w:left="40"/>
              <w:spacing w:after="0"/>
              <w:rPr>
                <w:sz w:val="20"/>
                <w:szCs w:val="20"/>
                <w:color w:val="auto"/>
              </w:rPr>
            </w:pPr>
            <w:r>
              <w:rPr>
                <w:rFonts w:ascii="Arial" w:cs="Arial" w:eastAsia="Arial" w:hAnsi="Arial"/>
                <w:sz w:val="17"/>
                <w:szCs w:val="17"/>
                <w:color w:val="auto"/>
              </w:rPr>
              <w:t>Real estate available and held for sale</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16,297</w:t>
            </w:r>
          </w:p>
        </w:tc>
      </w:tr>
      <w:tr>
        <w:trPr>
          <w:trHeight w:val="234"/>
        </w:trPr>
        <w:tc>
          <w:tcPr>
            <w:tcW w:w="3160" w:type="dxa"/>
            <w:vAlign w:val="bottom"/>
          </w:tcPr>
          <w:p>
            <w:pPr>
              <w:ind w:left="4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1,340,001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1,486,595</w:t>
            </w: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i w:val="1"/>
          <w:iCs w:val="1"/>
          <w:color w:val="auto"/>
        </w:rPr>
        <w:t>Summary of Portfolio Characteristics</w:t>
      </w:r>
      <w:r>
        <w:rPr>
          <w:rFonts w:ascii="Arial" w:cs="Arial" w:eastAsia="Arial" w:hAnsi="Arial"/>
          <w:sz w:val="17"/>
          <w:szCs w:val="17"/>
          <w:color w:val="auto"/>
        </w:rPr>
        <w:t>—As of December 31, 2012, the Company owned 277 facilities, comprising 20.6 million square feet in 34 states. In addition, net</w:t>
      </w:r>
      <w:r>
        <w:rPr>
          <w:rFonts w:ascii="Arial" w:cs="Arial" w:eastAsia="Arial" w:hAnsi="Arial"/>
          <w:sz w:val="17"/>
          <w:szCs w:val="17"/>
          <w:i w:val="1"/>
          <w:iCs w:val="1"/>
          <w:color w:val="auto"/>
        </w:rPr>
        <w:t xml:space="preserve"> </w:t>
      </w:r>
      <w:r>
        <w:rPr>
          <w:rFonts w:ascii="Arial" w:cs="Arial" w:eastAsia="Arial" w:hAnsi="Arial"/>
          <w:sz w:val="17"/>
          <w:szCs w:val="17"/>
          <w:color w:val="auto"/>
        </w:rPr>
        <w:t>lease assets were 94.8% leased with a weighted average remaining lease term of approximately 12 years. The Company's annual average effective base rent per square foot, net of any tenant concessions, was $7.48 per square foot.</w:t>
      </w:r>
    </w:p>
    <w:p>
      <w:pPr>
        <w:spacing w:after="0" w:line="104" w:lineRule="exact"/>
        <w:rPr>
          <w:sz w:val="20"/>
          <w:szCs w:val="20"/>
          <w:color w:val="auto"/>
        </w:rPr>
      </w:pPr>
    </w:p>
    <w:p>
      <w:pPr>
        <w:jc w:val="both"/>
        <w:ind w:left="1" w:firstLine="372"/>
        <w:spacing w:after="0" w:line="275" w:lineRule="auto"/>
        <w:rPr>
          <w:sz w:val="20"/>
          <w:szCs w:val="20"/>
          <w:color w:val="auto"/>
        </w:rPr>
      </w:pPr>
      <w:r>
        <w:rPr>
          <w:rFonts w:ascii="Arial" w:cs="Arial" w:eastAsia="Arial" w:hAnsi="Arial"/>
          <w:sz w:val="16"/>
          <w:szCs w:val="16"/>
          <w:i w:val="1"/>
          <w:iCs w:val="1"/>
          <w:color w:val="auto"/>
        </w:rPr>
        <w:t>Portfolio Activity</w:t>
      </w:r>
      <w:r>
        <w:rPr>
          <w:rFonts w:ascii="Arial" w:cs="Arial" w:eastAsia="Arial" w:hAnsi="Arial"/>
          <w:sz w:val="16"/>
          <w:szCs w:val="16"/>
          <w:color w:val="auto"/>
        </w:rPr>
        <w:t>—During the year ended December 31, 2012, the Company funded $11.6 million of capital expenditures and also entered into a $40.0 million build-to-suit that will be subject to an 18 year lease when completed. The Company did not purchase any net lease assets and sold assets with a net carrying value of $115.5 million during 2012. See Item 8 —"Financial Statements and Supplemental Data—Note 4" for further details on net lease asset activities.</w:t>
      </w:r>
    </w:p>
    <w:p>
      <w:pPr>
        <w:spacing w:after="0" w:line="87" w:lineRule="exact"/>
        <w:rPr>
          <w:sz w:val="20"/>
          <w:szCs w:val="20"/>
          <w:color w:val="auto"/>
        </w:rPr>
      </w:pPr>
    </w:p>
    <w:p>
      <w:pPr>
        <w:ind w:left="401"/>
        <w:spacing w:after="0"/>
        <w:rPr>
          <w:sz w:val="20"/>
          <w:szCs w:val="20"/>
          <w:color w:val="auto"/>
        </w:rPr>
      </w:pPr>
      <w:r>
        <w:rPr>
          <w:rFonts w:ascii="Arial" w:cs="Arial" w:eastAsia="Arial" w:hAnsi="Arial"/>
          <w:sz w:val="17"/>
          <w:szCs w:val="17"/>
          <w:i w:val="1"/>
          <w:iCs w:val="1"/>
          <w:color w:val="auto"/>
        </w:rPr>
        <w:t>Summary of Lease Expirations</w:t>
      </w:r>
      <w:r>
        <w:rPr>
          <w:rFonts w:ascii="Arial" w:cs="Arial" w:eastAsia="Arial" w:hAnsi="Arial"/>
          <w:sz w:val="17"/>
          <w:szCs w:val="17"/>
          <w:color w:val="auto"/>
        </w:rPr>
        <w:t>—As of December 31, 2012, lease expirations on the Company's net lease assets are as follows ($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2081"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Annualized NLA</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 of NLA In-Place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7"/>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5"/>
              </w:rPr>
              <w:t>Number of</w:t>
            </w:r>
          </w:p>
        </w:tc>
        <w:tc>
          <w:tcPr>
            <w:tcW w:w="11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Square Feet of</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2"/>
              </w:rPr>
              <w:t>In-Place</w:t>
            </w:r>
          </w:p>
        </w:tc>
        <w:tc>
          <w:tcPr>
            <w:tcW w:w="11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Operating</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7"/>
        </w:trPr>
        <w:tc>
          <w:tcPr>
            <w:tcW w:w="1500" w:type="dxa"/>
            <w:vAlign w:val="bottom"/>
            <w:gridSpan w:val="2"/>
          </w:tcPr>
          <w:p>
            <w:pPr>
              <w:ind w:left="20"/>
              <w:spacing w:after="0" w:line="137" w:lineRule="exact"/>
              <w:rPr>
                <w:sz w:val="20"/>
                <w:szCs w:val="20"/>
                <w:color w:val="auto"/>
              </w:rPr>
            </w:pPr>
            <w:r>
              <w:rPr>
                <w:rFonts w:ascii="Arial" w:cs="Arial" w:eastAsia="Arial" w:hAnsi="Arial"/>
                <w:sz w:val="13"/>
                <w:szCs w:val="13"/>
                <w:b w:val="1"/>
                <w:bCs w:val="1"/>
                <w:color w:val="auto"/>
              </w:rPr>
              <w:t>Year of Lease</w:t>
            </w:r>
          </w:p>
        </w:tc>
        <w:tc>
          <w:tcPr>
            <w:tcW w:w="100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86"/>
              </w:rPr>
              <w:t>Leases</w:t>
            </w:r>
          </w:p>
        </w:tc>
        <w:tc>
          <w:tcPr>
            <w:tcW w:w="11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Leases Expiring</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4"/>
              </w:rPr>
              <w:t>Operating</w:t>
            </w:r>
          </w:p>
        </w:tc>
        <w:tc>
          <w:tcPr>
            <w:tcW w:w="11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6"/>
              </w:rPr>
              <w:t>Lease</w:t>
            </w:r>
          </w:p>
        </w:tc>
        <w:tc>
          <w:tcPr>
            <w:tcW w:w="100" w:type="dxa"/>
            <w:vAlign w:val="bottom"/>
          </w:tcPr>
          <w:p>
            <w:pPr>
              <w:spacing w:after="0"/>
              <w:rPr>
                <w:sz w:val="11"/>
                <w:szCs w:val="11"/>
                <w:color w:val="auto"/>
              </w:rPr>
            </w:pPr>
          </w:p>
        </w:tc>
        <w:tc>
          <w:tcPr>
            <w:tcW w:w="900" w:type="dxa"/>
            <w:vAlign w:val="bottom"/>
          </w:tcPr>
          <w:p>
            <w:pPr>
              <w:jc w:val="right"/>
              <w:ind w:right="94"/>
              <w:spacing w:after="0" w:line="137" w:lineRule="exact"/>
              <w:rPr>
                <w:sz w:val="20"/>
                <w:szCs w:val="20"/>
                <w:color w:val="auto"/>
              </w:rPr>
            </w:pPr>
            <w:r>
              <w:rPr>
                <w:rFonts w:ascii="Arial" w:cs="Arial" w:eastAsia="Arial" w:hAnsi="Arial"/>
                <w:sz w:val="13"/>
                <w:szCs w:val="13"/>
                <w:b w:val="1"/>
                <w:bCs w:val="1"/>
                <w:color w:val="auto"/>
              </w:rPr>
              <w:t>% of Total</w:t>
            </w:r>
          </w:p>
        </w:tc>
      </w:tr>
      <w:tr>
        <w:trPr>
          <w:trHeight w:val="176"/>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Expiration</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Expiring</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2"/>
              </w:rPr>
              <w:t>Lease Income(1)</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Revenue(2)</w:t>
            </w:r>
          </w:p>
        </w:tc>
      </w:tr>
      <w:tr>
        <w:trPr>
          <w:trHeight w:val="226"/>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6,656</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1400" w:type="dxa"/>
            <w:vAlign w:val="bottom"/>
          </w:tcPr>
          <w:p>
            <w:pPr>
              <w:ind w:left="20"/>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485</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8"/>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2"/>
        </w:trPr>
        <w:tc>
          <w:tcPr>
            <w:tcW w:w="1400" w:type="dxa"/>
            <w:vAlign w:val="bottom"/>
          </w:tcPr>
          <w:p>
            <w:pPr>
              <w:ind w:left="2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5,966</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26"/>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8"/>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1400" w:type="dxa"/>
            <w:vAlign w:val="bottom"/>
          </w:tcPr>
          <w:p>
            <w:pPr>
              <w:ind w:left="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3,743</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6"/>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8"/>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2"/>
        </w:trPr>
        <w:tc>
          <w:tcPr>
            <w:tcW w:w="1400" w:type="dxa"/>
            <w:vAlign w:val="bottom"/>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3,859</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6"/>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8"/>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4,513</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140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10,209</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2.7%</w:t>
            </w:r>
          </w:p>
        </w:tc>
      </w:tr>
      <w:tr>
        <w:trPr>
          <w:trHeight w:val="26"/>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8"/>
              </w:rPr>
              <w:t>2023 and thereafter</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103,238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74"/>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19,507</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145,854</w:t>
            </w:r>
          </w:p>
        </w:tc>
        <w:tc>
          <w:tcPr>
            <w:tcW w:w="80" w:type="dxa"/>
            <w:vAlign w:val="bottom"/>
            <w:tcBorders>
              <w:bottom w:val="single" w:sz="8" w:color="CCEEFF"/>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170"/>
        </w:trPr>
        <w:tc>
          <w:tcPr>
            <w:tcW w:w="15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7"/>
                <w:szCs w:val="17"/>
                <w:color w:val="auto"/>
              </w:rPr>
              <w:t>Weighted average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remaining lease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term</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12.3 years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
        </w:trPr>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Reflects annualized GAAP operating lease income for NLA leases in-place at December 31, 2012.</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Reflects the percentage of annualized GAAP operating lease income for NLA leases in-place at December 31, 2012 as a percentage of annualized total revenue for the quarter ended December 31, 2012.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1"/>
          </w:cols>
          <w:pgMar w:left="239" w:top="120" w:right="2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Properties</w:t>
      </w:r>
    </w:p>
    <w:p>
      <w:pPr>
        <w:spacing w:after="0" w:line="127" w:lineRule="exact"/>
        <w:rPr>
          <w:sz w:val="20"/>
          <w:szCs w:val="20"/>
          <w:color w:val="auto"/>
        </w:rPr>
      </w:pPr>
    </w:p>
    <w:p>
      <w:pPr>
        <w:jc w:val="both"/>
        <w:ind w:firstLine="447"/>
        <w:spacing w:after="0" w:line="248" w:lineRule="auto"/>
        <w:rPr>
          <w:sz w:val="20"/>
          <w:szCs w:val="20"/>
          <w:color w:val="auto"/>
        </w:rPr>
      </w:pPr>
      <w:r>
        <w:rPr>
          <w:rFonts w:ascii="Arial" w:cs="Arial" w:eastAsia="Arial" w:hAnsi="Arial"/>
          <w:sz w:val="17"/>
          <w:szCs w:val="17"/>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and hotel properties. The residential properties within this portfolio are generally luxury condominium projects located in major U.S. cities where the Company's strategy is to sell individual condominium units through retail distribution channels.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operating properties portfolio included the following ($ in thousands):</w:t>
      </w: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5600"/>
        <w:spacing w:after="0"/>
        <w:rPr>
          <w:sz w:val="20"/>
          <w:szCs w:val="20"/>
          <w:color w:val="auto"/>
        </w:rPr>
      </w:pPr>
      <w:r>
        <w:rPr>
          <w:rFonts w:ascii="Arial" w:cs="Arial" w:eastAsia="Arial" w:hAnsi="Arial"/>
          <w:sz w:val="13"/>
          <w:szCs w:val="13"/>
          <w:b w:val="1"/>
          <w:bCs w:val="1"/>
          <w:color w:val="auto"/>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20320</wp:posOffset>
            </wp:positionV>
            <wp:extent cx="11112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1250" cy="7620"/>
                    </a:xfrm>
                    <a:prstGeom prst="rect">
                      <a:avLst/>
                    </a:prstGeom>
                    <a:noFill/>
                  </pic:spPr>
                </pic:pic>
              </a:graphicData>
            </a:graphic>
          </wp:anchor>
        </w:drawing>
      </w:r>
    </w:p>
    <w:p>
      <w:pPr>
        <w:spacing w:after="0" w:line="79" w:lineRule="exact"/>
        <w:rPr>
          <w:sz w:val="20"/>
          <w:szCs w:val="20"/>
          <w:color w:val="auto"/>
        </w:rPr>
      </w:pPr>
    </w:p>
    <w:p>
      <w:pPr>
        <w:jc w:val="center"/>
        <w:ind w:left="56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27940</wp:posOffset>
            </wp:positionV>
            <wp:extent cx="11112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0" cy="7620"/>
                    </a:xfrm>
                    <a:prstGeom prst="rect">
                      <a:avLst/>
                    </a:prstGeom>
                    <a:noFill/>
                  </pic:spPr>
                </pic:pic>
              </a:graphicData>
            </a:graphic>
          </wp:anchor>
        </w:drawing>
      </w:r>
    </w:p>
    <w:p>
      <w:pPr>
        <w:spacing w:after="0" w:line="103" w:lineRule="exact"/>
        <w:rPr>
          <w:sz w:val="20"/>
          <w:szCs w:val="20"/>
          <w:color w:val="auto"/>
        </w:rPr>
      </w:pPr>
    </w:p>
    <w:p>
      <w:pPr>
        <w:ind w:left="5560"/>
        <w:spacing w:after="0"/>
        <w:tabs>
          <w:tab w:leader="none" w:pos="6480" w:val="left"/>
        </w:tabs>
        <w:rPr>
          <w:sz w:val="20"/>
          <w:szCs w:val="20"/>
          <w:color w:val="auto"/>
        </w:rPr>
      </w:pPr>
      <w:r>
        <w:rPr>
          <w:rFonts w:ascii="Arial" w:cs="Arial" w:eastAsia="Arial" w:hAnsi="Arial"/>
          <w:sz w:val="11"/>
          <w:szCs w:val="11"/>
          <w:b w:val="1"/>
          <w:bCs w:val="1"/>
          <w:color w:val="auto"/>
        </w:rPr>
        <w:t>2012</w:t>
      </w:r>
      <w:r>
        <w:rPr>
          <w:sz w:val="20"/>
          <w:szCs w:val="20"/>
          <w:color w:val="auto"/>
        </w:rPr>
        <w:tab/>
      </w:r>
      <w:r>
        <w:rPr>
          <w:rFonts w:ascii="Arial" w:cs="Arial" w:eastAsia="Arial" w:hAnsi="Arial"/>
          <w:sz w:val="11"/>
          <w:szCs w:val="11"/>
          <w:b w:val="1"/>
          <w:bCs w:val="1"/>
          <w:color w:val="auto"/>
        </w:rPr>
        <w:t>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2820"/>
        <w:spacing w:after="0"/>
        <w:rPr>
          <w:sz w:val="20"/>
          <w:szCs w:val="20"/>
          <w:color w:val="auto"/>
        </w:rPr>
      </w:pPr>
      <w:r>
        <w:rPr>
          <w:rFonts w:ascii="Arial" w:cs="Arial" w:eastAsia="Arial" w:hAnsi="Arial"/>
          <w:sz w:val="13"/>
          <w:szCs w:val="13"/>
          <w:b w:val="1"/>
          <w:bCs w:val="1"/>
          <w:color w:val="auto"/>
        </w:rPr>
        <w:t>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20320</wp:posOffset>
            </wp:positionV>
            <wp:extent cx="10718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880" cy="7620"/>
                    </a:xfrm>
                    <a:prstGeom prst="rect">
                      <a:avLst/>
                    </a:prstGeom>
                    <a:noFill/>
                  </pic:spPr>
                </pic:pic>
              </a:graphicData>
            </a:graphic>
          </wp:anchor>
        </w:drawing>
      </w:r>
    </w:p>
    <w:p>
      <w:pPr>
        <w:spacing w:after="0" w:line="79" w:lineRule="exact"/>
        <w:rPr>
          <w:sz w:val="20"/>
          <w:szCs w:val="20"/>
          <w:color w:val="auto"/>
        </w:rPr>
      </w:pPr>
    </w:p>
    <w:p>
      <w:pPr>
        <w:jc w:val="center"/>
        <w:ind w:right="282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34925</wp:posOffset>
            </wp:positionV>
            <wp:extent cx="10718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7620"/>
                    </a:xfrm>
                    <a:prstGeom prst="rect">
                      <a:avLst/>
                    </a:prstGeom>
                    <a:noFill/>
                  </pic:spPr>
                </pic:pic>
              </a:graphicData>
            </a:graphic>
          </wp:anchor>
        </w:drawing>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1"/>
          <w:szCs w:val="11"/>
          <w:b w:val="1"/>
          <w:bCs w:val="1"/>
          <w:color w:val="auto"/>
        </w:rPr>
        <w:t>2012</w:t>
      </w:r>
      <w:r>
        <w:rPr>
          <w:sz w:val="20"/>
          <w:szCs w:val="20"/>
          <w:color w:val="auto"/>
        </w:rPr>
        <w:tab/>
      </w:r>
      <w:r>
        <w:rPr>
          <w:rFonts w:ascii="Arial" w:cs="Arial" w:eastAsia="Arial" w:hAnsi="Arial"/>
          <w:sz w:val="11"/>
          <w:szCs w:val="11"/>
          <w:b w:val="1"/>
          <w:bCs w:val="1"/>
          <w:color w:val="auto"/>
        </w:rPr>
        <w:t>2011</w:t>
      </w:r>
    </w:p>
    <w:p>
      <w:pPr>
        <w:spacing w:after="0" w:line="43" w:lineRule="exact"/>
        <w:rPr>
          <w:sz w:val="20"/>
          <w:szCs w:val="20"/>
          <w:color w:val="auto"/>
        </w:rPr>
      </w:pPr>
    </w:p>
    <w:p>
      <w:pPr>
        <w:sectPr>
          <w:pgSz w:w="11900" w:h="16838" w:orient="portrait"/>
          <w:cols w:equalWidth="0" w:num="2">
            <w:col w:w="6760" w:space="660"/>
            <w:col w:w="4000"/>
          </w:cols>
          <w:pgMar w:left="240" w:top="120" w:right="239" w:bottom="1440" w:gutter="0" w:footer="0" w:header="0"/>
          <w:type w:val="continuous"/>
        </w:sectPr>
      </w:pPr>
    </w:p>
    <w:tbl>
      <w:tblPr>
        <w:tblLayout w:type="fixed"/>
        <w:tblInd w:w="2600" w:type="dxa"/>
        <w:tblCellMar>
          <w:top w:w="0" w:type="dxa"/>
          <w:left w:w="0" w:type="dxa"/>
          <w:bottom w:w="0" w:type="dxa"/>
          <w:right w:w="0" w:type="dxa"/>
        </w:tblCellMar>
      </w:tblPr>
      <w:tr>
        <w:trPr>
          <w:trHeight w:val="232"/>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at cost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4"/>
              </w:rPr>
              <w:t>801,214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720,251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2700" w:type="dxa"/>
            <w:vAlign w:val="bottom"/>
          </w:tcPr>
          <w:p>
            <w:pPr>
              <w:ind w:left="20"/>
              <w:spacing w:after="0"/>
              <w:rPr>
                <w:sz w:val="20"/>
                <w:szCs w:val="20"/>
                <w:color w:val="auto"/>
              </w:rPr>
            </w:pPr>
            <w:r>
              <w:rPr>
                <w:rFonts w:ascii="Arial" w:cs="Arial" w:eastAsia="Arial" w:hAnsi="Arial"/>
                <w:sz w:val="17"/>
                <w:szCs w:val="17"/>
                <w:color w:val="auto"/>
                <w:w w:val="97"/>
              </w:rPr>
              <w:t>Less: accumulated depreciation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(109,634)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4"/>
              </w:rPr>
              <w:t>691,580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629,868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00" w:type="dxa"/>
            <w:vAlign w:val="bottom"/>
          </w:tcPr>
          <w:p>
            <w:pPr>
              <w:ind w:left="20"/>
              <w:spacing w:after="0"/>
              <w:rPr>
                <w:sz w:val="20"/>
                <w:szCs w:val="20"/>
                <w:color w:val="auto"/>
              </w:rPr>
            </w:pPr>
            <w:r>
              <w:rPr>
                <w:rFonts w:ascii="Arial" w:cs="Arial" w:eastAsia="Arial" w:hAnsi="Arial"/>
                <w:sz w:val="17"/>
                <w:szCs w:val="17"/>
                <w:color w:val="auto"/>
                <w:w w:val="92"/>
              </w:rPr>
              <w:t>Real estate available and held for sale</w:t>
            </w:r>
          </w:p>
        </w:tc>
        <w:tc>
          <w:tcPr>
            <w:tcW w:w="12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7"/>
                <w:szCs w:val="17"/>
                <w:color w:val="auto"/>
              </w:rPr>
              <w:t>80,504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132,964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374,083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419,034</w:t>
            </w:r>
          </w:p>
        </w:tc>
      </w:tr>
      <w:tr>
        <w:trPr>
          <w:trHeight w:val="26"/>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37,957</w:t>
            </w:r>
          </w:p>
        </w:tc>
      </w:tr>
      <w:tr>
        <w:trPr>
          <w:trHeight w:val="234"/>
        </w:trPr>
        <w:tc>
          <w:tcPr>
            <w:tcW w:w="2700" w:type="dxa"/>
            <w:vAlign w:val="bottom"/>
          </w:tcPr>
          <w:p>
            <w:pPr>
              <w:ind w:left="20"/>
              <w:spacing w:after="0"/>
              <w:rPr>
                <w:sz w:val="20"/>
                <w:szCs w:val="20"/>
                <w:color w:val="auto"/>
              </w:rPr>
            </w:pPr>
            <w:r>
              <w:rPr>
                <w:rFonts w:ascii="Arial" w:cs="Arial" w:eastAsia="Arial" w:hAnsi="Arial"/>
                <w:sz w:val="17"/>
                <w:szCs w:val="17"/>
                <w:color w:val="auto"/>
              </w:rPr>
              <w:t>Total portfolio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94"/>
              </w:rPr>
              <w:t>786,683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762,832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385,229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456,991</w:t>
            </w: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Arial" w:cs="Arial" w:eastAsia="Arial" w:hAnsi="Arial"/>
          <w:sz w:val="17"/>
          <w:szCs w:val="17"/>
          <w:i w:val="1"/>
          <w:iCs w:val="1"/>
          <w:u w:val="single" w:color="auto"/>
          <w:color w:val="auto"/>
        </w:rPr>
        <w:t>Commercial Properties</w:t>
      </w:r>
    </w:p>
    <w:p>
      <w:pPr>
        <w:spacing w:after="0" w:line="251"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i w:val="1"/>
          <w:iCs w:val="1"/>
          <w:color w:val="auto"/>
        </w:rPr>
        <w:t>Summary of Portfolio Characteristics—</w:t>
      </w:r>
      <w:r>
        <w:rPr>
          <w:rFonts w:ascii="Arial" w:cs="Arial" w:eastAsia="Arial" w:hAnsi="Arial"/>
          <w:sz w:val="16"/>
          <w:szCs w:val="16"/>
          <w:color w:val="auto"/>
        </w:rPr>
        <w:t>As of December 31, 2012, commercial properties within the operating properties portfolio included 36 facilities, comprising</w:t>
      </w:r>
      <w:r>
        <w:rPr>
          <w:rFonts w:ascii="Arial" w:cs="Arial" w:eastAsia="Arial" w:hAnsi="Arial"/>
          <w:sz w:val="16"/>
          <w:szCs w:val="16"/>
          <w:i w:val="1"/>
          <w:iCs w:val="1"/>
          <w:color w:val="auto"/>
        </w:rPr>
        <w:t xml:space="preserve"> </w:t>
      </w:r>
      <w:r>
        <w:rPr>
          <w:rFonts w:ascii="Arial" w:cs="Arial" w:eastAsia="Arial" w:hAnsi="Arial"/>
          <w:sz w:val="16"/>
          <w:szCs w:val="16"/>
          <w:color w:val="auto"/>
        </w:rPr>
        <w:t>5.8 million square feet in 11 states. Excluding hotels and multifamily properties, the properties were 58.1% leased with a weighted average remaining lease term of approximately 6.6 years. The Company had 11 commercial operating properties classified as held for sale as of December 31, 2012 and their operating results are presented in "Income from discontinued operations" on the Company's Consolidated Statements of Operations.</w:t>
      </w:r>
    </w:p>
    <w:p>
      <w:pPr>
        <w:spacing w:after="0" w:line="21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2012, the Company acquired title to $63.4 million of commercial properties through the resolution of non-performing loans, sold properties with a carrying value of $29.3 million and funded capital expenditures of $40.6 million, nearly all of which was spent on assets held for investment.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0" w:right="239" w:bottom="1440" w:gutter="0" w:footer="0" w:header="0"/>
          <w:type w:val="continuous"/>
        </w:sectPr>
      </w:pPr>
    </w:p>
    <w:bookmarkStart w:id="12" w:name="page13"/>
    <w:bookmarkEnd w:id="12"/>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As of December 31, 2012, lease expirations on commercial properties within the operating properties portfolio were as follows ($ in thousands)(1):</w:t>
      </w:r>
    </w:p>
    <w:p>
      <w:pPr>
        <w:spacing w:after="0" w:line="255" w:lineRule="exact"/>
        <w:rPr>
          <w:sz w:val="20"/>
          <w:szCs w:val="20"/>
          <w:color w:val="auto"/>
        </w:rPr>
      </w:pPr>
    </w:p>
    <w:tbl>
      <w:tblPr>
        <w:tblLayout w:type="fixed"/>
        <w:tblInd w:w="1641"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 of In-Place</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Square Feet of</w:t>
            </w:r>
          </w:p>
        </w:tc>
        <w:tc>
          <w:tcPr>
            <w:tcW w:w="160" w:type="dxa"/>
            <w:vAlign w:val="bottom"/>
          </w:tcPr>
          <w:p>
            <w:pPr>
              <w:spacing w:after="0"/>
              <w:rPr>
                <w:sz w:val="11"/>
                <w:szCs w:val="11"/>
                <w:color w:val="auto"/>
              </w:rPr>
            </w:pPr>
          </w:p>
        </w:tc>
        <w:tc>
          <w:tcPr>
            <w:tcW w:w="1620" w:type="dxa"/>
            <w:vAlign w:val="bottom"/>
            <w:gridSpan w:val="2"/>
          </w:tcPr>
          <w:p>
            <w:pPr>
              <w:ind w:left="40"/>
              <w:spacing w:after="0" w:line="137" w:lineRule="exact"/>
              <w:rPr>
                <w:sz w:val="20"/>
                <w:szCs w:val="20"/>
                <w:color w:val="auto"/>
              </w:rPr>
            </w:pPr>
            <w:r>
              <w:rPr>
                <w:rFonts w:ascii="Arial" w:cs="Arial" w:eastAsia="Arial" w:hAnsi="Arial"/>
                <w:sz w:val="13"/>
                <w:szCs w:val="13"/>
                <w:b w:val="1"/>
                <w:bCs w:val="1"/>
                <w:color w:val="auto"/>
              </w:rPr>
              <w:t>Annualized Operating</w:t>
            </w:r>
          </w:p>
        </w:tc>
        <w:tc>
          <w:tcPr>
            <w:tcW w:w="12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Operating Property</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7"/>
        </w:trPr>
        <w:tc>
          <w:tcPr>
            <w:tcW w:w="1520" w:type="dxa"/>
            <w:vAlign w:val="bottom"/>
            <w:gridSpan w:val="2"/>
          </w:tcPr>
          <w:p>
            <w:pPr>
              <w:ind w:left="320"/>
              <w:spacing w:after="0" w:line="137" w:lineRule="exact"/>
              <w:rPr>
                <w:sz w:val="20"/>
                <w:szCs w:val="20"/>
                <w:color w:val="auto"/>
              </w:rPr>
            </w:pPr>
            <w:r>
              <w:rPr>
                <w:rFonts w:ascii="Arial" w:cs="Arial" w:eastAsia="Arial" w:hAnsi="Arial"/>
                <w:sz w:val="13"/>
                <w:szCs w:val="13"/>
                <w:b w:val="1"/>
                <w:bCs w:val="1"/>
                <w:color w:val="auto"/>
              </w:rPr>
              <w:t>Year of Lease</w:t>
            </w:r>
          </w:p>
        </w:tc>
        <w:tc>
          <w:tcPr>
            <w:tcW w:w="1220" w:type="dxa"/>
            <w:vAlign w:val="bottom"/>
            <w:gridSpan w:val="2"/>
          </w:tcPr>
          <w:p>
            <w:pPr>
              <w:jc w:val="right"/>
              <w:ind w:right="160"/>
              <w:spacing w:after="0" w:line="137" w:lineRule="exact"/>
              <w:rPr>
                <w:sz w:val="20"/>
                <w:szCs w:val="20"/>
                <w:color w:val="auto"/>
              </w:rPr>
            </w:pPr>
            <w:r>
              <w:rPr>
                <w:rFonts w:ascii="Arial" w:cs="Arial" w:eastAsia="Arial" w:hAnsi="Arial"/>
                <w:sz w:val="13"/>
                <w:szCs w:val="13"/>
                <w:b w:val="1"/>
                <w:bCs w:val="1"/>
                <w:color w:val="auto"/>
                <w:w w:val="92"/>
              </w:rPr>
              <w:t>Number of Leases</w:t>
            </w:r>
          </w:p>
        </w:tc>
        <w:tc>
          <w:tcPr>
            <w:tcW w:w="11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Leases Expiring</w:t>
            </w:r>
          </w:p>
        </w:tc>
        <w:tc>
          <w:tcPr>
            <w:tcW w:w="1780" w:type="dxa"/>
            <w:vAlign w:val="bottom"/>
            <w:gridSpan w:val="3"/>
          </w:tcPr>
          <w:p>
            <w:pPr>
              <w:ind w:left="20"/>
              <w:spacing w:after="0" w:line="137" w:lineRule="exact"/>
              <w:rPr>
                <w:sz w:val="20"/>
                <w:szCs w:val="20"/>
                <w:color w:val="auto"/>
              </w:rPr>
            </w:pPr>
            <w:r>
              <w:rPr>
                <w:rFonts w:ascii="Arial" w:cs="Arial" w:eastAsia="Arial" w:hAnsi="Arial"/>
                <w:sz w:val="13"/>
                <w:szCs w:val="13"/>
                <w:b w:val="1"/>
                <w:bCs w:val="1"/>
                <w:color w:val="auto"/>
              </w:rPr>
              <w:t>Property In-Place Operating</w:t>
            </w:r>
          </w:p>
        </w:tc>
        <w:tc>
          <w:tcPr>
            <w:tcW w:w="12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2"/>
              </w:rPr>
              <w:t>Operating Lease</w:t>
            </w:r>
          </w:p>
        </w:tc>
        <w:tc>
          <w:tcPr>
            <w:tcW w:w="100" w:type="dxa"/>
            <w:vAlign w:val="bottom"/>
          </w:tcPr>
          <w:p>
            <w:pPr>
              <w:spacing w:after="0"/>
              <w:rPr>
                <w:sz w:val="11"/>
                <w:szCs w:val="11"/>
                <w:color w:val="auto"/>
              </w:rPr>
            </w:pPr>
          </w:p>
        </w:tc>
        <w:tc>
          <w:tcPr>
            <w:tcW w:w="1100" w:type="dxa"/>
            <w:vAlign w:val="bottom"/>
          </w:tcPr>
          <w:p>
            <w:pPr>
              <w:jc w:val="right"/>
              <w:ind w:right="194"/>
              <w:spacing w:after="0" w:line="137" w:lineRule="exact"/>
              <w:rPr>
                <w:sz w:val="20"/>
                <w:szCs w:val="20"/>
                <w:color w:val="auto"/>
              </w:rPr>
            </w:pPr>
            <w:r>
              <w:rPr>
                <w:rFonts w:ascii="Arial" w:cs="Arial" w:eastAsia="Arial" w:hAnsi="Arial"/>
                <w:sz w:val="13"/>
                <w:szCs w:val="13"/>
                <w:b w:val="1"/>
                <w:bCs w:val="1"/>
                <w:color w:val="auto"/>
              </w:rPr>
              <w:t>% of Total</w:t>
            </w:r>
          </w:p>
        </w:tc>
      </w:tr>
      <w:tr>
        <w:trPr>
          <w:trHeight w:val="176"/>
        </w:trPr>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Expiration</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Expiring</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Lease Income(2)</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Revenue(3)</w:t>
            </w:r>
          </w:p>
        </w:tc>
      </w:tr>
      <w:tr>
        <w:trPr>
          <w:trHeight w:val="226"/>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1420" w:type="dxa"/>
            <w:vAlign w:val="bottom"/>
          </w:tcPr>
          <w:p>
            <w:pPr>
              <w:ind w:left="20"/>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5,815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26"/>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3,906</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1420" w:type="dxa"/>
            <w:vAlign w:val="bottom"/>
          </w:tcPr>
          <w:p>
            <w:pPr>
              <w:ind w:left="2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3,259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0.9%</w:t>
            </w:r>
          </w:p>
        </w:tc>
      </w:tr>
      <w:tr>
        <w:trPr>
          <w:trHeight w:val="26"/>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6,110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1420" w:type="dxa"/>
            <w:vAlign w:val="bottom"/>
          </w:tcPr>
          <w:p>
            <w:pPr>
              <w:ind w:left="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7,288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1.9%</w:t>
            </w:r>
          </w:p>
        </w:tc>
      </w:tr>
      <w:tr>
        <w:trPr>
          <w:trHeight w:val="26"/>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1420" w:type="dxa"/>
            <w:vAlign w:val="bottom"/>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4,085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1.1%</w:t>
            </w:r>
          </w:p>
        </w:tc>
      </w:tr>
      <w:tr>
        <w:trPr>
          <w:trHeight w:val="26"/>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142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5,446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6"/>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8"/>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9"/>
              </w:rPr>
              <w:t>2023 and thereafter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14,024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74"/>
        </w:trPr>
        <w:tc>
          <w:tcPr>
            <w:tcW w:w="15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Borders>
              <w:bottom w:val="single" w:sz="8" w:color="CCEEFF"/>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3,389</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65,890</w:t>
            </w:r>
          </w:p>
        </w:tc>
        <w:tc>
          <w:tcPr>
            <w:tcW w:w="100" w:type="dxa"/>
            <w:vAlign w:val="bottom"/>
            <w:tcBorders>
              <w:bottom w:val="single" w:sz="8" w:color="CCEEFF"/>
            </w:tcBorders>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r>
      <w:tr>
        <w:trPr>
          <w:trHeight w:val="170"/>
        </w:trPr>
        <w:tc>
          <w:tcPr>
            <w:tcW w:w="152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7"/>
                <w:szCs w:val="17"/>
                <w:color w:val="auto"/>
              </w:rPr>
              <w:t>Weighted average</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9"/>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remaining lease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9"/>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term</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 years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6"/>
        </w:trPr>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hotels and multifamily properties included in the commercial operating properties portfolio.</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Reflects annualized GAAP operating lease income for operating property leases in-place at December 31, 2012.</w:t>
      </w:r>
    </w:p>
    <w:p>
      <w:pPr>
        <w:ind w:left="601" w:hanging="601"/>
        <w:spacing w:after="0" w:line="249" w:lineRule="auto"/>
        <w:tabs>
          <w:tab w:leader="none" w:pos="601"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Reflects the percentage of annualized GAAP operating lease income for operating property leases in-place at December 31, 2012 as a percentage of annualized total revenue for the quarter ended December 31, 2012.</w:t>
      </w:r>
    </w:p>
    <w:p>
      <w:pPr>
        <w:spacing w:after="0" w:line="105" w:lineRule="exact"/>
        <w:rPr>
          <w:sz w:val="20"/>
          <w:szCs w:val="20"/>
          <w:color w:val="auto"/>
        </w:rPr>
      </w:pPr>
    </w:p>
    <w:p>
      <w:pPr>
        <w:ind w:left="401"/>
        <w:spacing w:after="0"/>
        <w:rPr>
          <w:sz w:val="20"/>
          <w:szCs w:val="20"/>
          <w:color w:val="auto"/>
        </w:rPr>
      </w:pPr>
      <w:r>
        <w:rPr>
          <w:rFonts w:ascii="Arial" w:cs="Arial" w:eastAsia="Arial" w:hAnsi="Arial"/>
          <w:sz w:val="17"/>
          <w:szCs w:val="17"/>
          <w:i w:val="1"/>
          <w:iCs w:val="1"/>
          <w:u w:val="single" w:color="auto"/>
          <w:color w:val="auto"/>
        </w:rPr>
        <w:t>Residential Properties</w:t>
      </w:r>
    </w:p>
    <w:p>
      <w:pPr>
        <w:spacing w:after="0" w:line="251"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i w:val="1"/>
          <w:iCs w:val="1"/>
          <w:color w:val="auto"/>
        </w:rPr>
        <w:t>Summary of Portfolio Characteristics</w:t>
      </w:r>
      <w:r>
        <w:rPr>
          <w:rFonts w:ascii="Arial" w:cs="Arial" w:eastAsia="Arial" w:hAnsi="Arial"/>
          <w:sz w:val="17"/>
          <w:szCs w:val="17"/>
          <w:color w:val="auto"/>
        </w:rPr>
        <w:t>—As of December 31, 2012, residential properties within the operating properties portfolio included 17 residential projects,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representing approximately 974 units located in major cities throughout the United States. The projects are substantially completed and 15 of the projects are actively selling units.</w:t>
      </w:r>
    </w:p>
    <w:p>
      <w:pPr>
        <w:spacing w:after="0" w:line="228" w:lineRule="exact"/>
        <w:rPr>
          <w:sz w:val="20"/>
          <w:szCs w:val="20"/>
          <w:color w:val="auto"/>
        </w:rPr>
      </w:pPr>
    </w:p>
    <w:p>
      <w:pPr>
        <w:jc w:val="both"/>
        <w:ind w:left="1" w:firstLine="397"/>
        <w:spacing w:after="0" w:line="249"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2012, the Company acquired title to $172.4 million of residential properties through resolution of non-performing loans and sold 529 units for net proceeds of $319.3 million, resulting in gains on sales of residential units of $63.5 million. During the same period, the Company funded $19.3 million of capital expenditures related to these projects and also incurred $26.5 million of net carrying costs that were reflected in "Real estate expenses" on the Company's Consolidated Statements of Operations.</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Land</w:t>
      </w:r>
    </w:p>
    <w:p>
      <w:pPr>
        <w:spacing w:after="0" w:line="127" w:lineRule="exact"/>
        <w:rPr>
          <w:sz w:val="20"/>
          <w:szCs w:val="20"/>
          <w:color w:val="auto"/>
        </w:rPr>
      </w:pPr>
    </w:p>
    <w:p>
      <w:pPr>
        <w:jc w:val="both"/>
        <w:ind w:left="1" w:firstLine="596"/>
        <w:spacing w:after="0" w:line="310" w:lineRule="auto"/>
        <w:rPr>
          <w:sz w:val="20"/>
          <w:szCs w:val="20"/>
          <w:color w:val="auto"/>
        </w:rPr>
      </w:pPr>
      <w:r>
        <w:rPr>
          <w:rFonts w:ascii="Arial" w:cs="Arial" w:eastAsia="Arial" w:hAnsi="Arial"/>
          <w:sz w:val="14"/>
          <w:szCs w:val="14"/>
          <w:color w:val="auto"/>
        </w:rPr>
        <w:t>The Company's land portfolio primarily consists of 11 master planned community projects, seven urban infill land parcels and six waterfront land parcels located throughout the United States. Master planned communities represent large-scale residential projects that the Company intends to plan and/or develop and may sell through retail channels to home builders or in bulk. The Company currently has entitlements at these projects for more than 25,000 lots. Waterfront parcels are generally entitled for residential projects and urban infill parcels are generally entitled for mixed-use projects. The Company may develop these properties itself or sell to or partner with commercial real estate developers. These projects are currently entitled for approximately 6,000 residential units, and select projects include commercial, retail and office uses. As of December 31, 2012, the Company had four land projects in production, nine in development and 11 in the pre-development phase.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1"/>
          </w:cols>
          <w:pgMar w:left="239" w:top="120" w:right="239" w:bottom="1440" w:gutter="0" w:footer="0" w:header="0"/>
        </w:sectPr>
      </w:pPr>
    </w:p>
    <w:bookmarkStart w:id="13" w:name="page14"/>
    <w:bookmarkEnd w:id="13"/>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Company's land portfolio included the following ($ in thousands):</w:t>
      </w:r>
    </w:p>
    <w:p>
      <w:pPr>
        <w:spacing w:after="0" w:line="368" w:lineRule="exact"/>
        <w:rPr>
          <w:sz w:val="20"/>
          <w:szCs w:val="20"/>
          <w:color w:val="auto"/>
        </w:rPr>
      </w:pPr>
    </w:p>
    <w:tbl>
      <w:tblPr>
        <w:tblLayout w:type="fixed"/>
        <w:tblInd w:w="2861"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3"/>
                <w:szCs w:val="13"/>
                <w:b w:val="1"/>
                <w:bCs w:val="1"/>
                <w:color w:val="auto"/>
              </w:rPr>
              <w:t>As of December 31,</w:t>
            </w:r>
          </w:p>
        </w:tc>
      </w:tr>
      <w:tr>
        <w:trPr>
          <w:trHeight w:val="241"/>
        </w:trPr>
        <w:tc>
          <w:tcPr>
            <w:tcW w:w="3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2011</w:t>
            </w:r>
          </w:p>
        </w:tc>
      </w:tr>
      <w:tr>
        <w:trPr>
          <w:trHeight w:val="22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net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783,822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847,745</w:t>
            </w:r>
          </w:p>
        </w:tc>
      </w:tr>
      <w:tr>
        <w:trPr>
          <w:trHeight w:val="222"/>
        </w:trPr>
        <w:tc>
          <w:tcPr>
            <w:tcW w:w="3220" w:type="dxa"/>
            <w:vAlign w:val="bottom"/>
          </w:tcPr>
          <w:p>
            <w:pPr>
              <w:ind w:left="40"/>
              <w:spacing w:after="0"/>
              <w:rPr>
                <w:sz w:val="20"/>
                <w:szCs w:val="20"/>
                <w:color w:val="auto"/>
              </w:rPr>
            </w:pPr>
            <w:r>
              <w:rPr>
                <w:rFonts w:ascii="Arial" w:cs="Arial" w:eastAsia="Arial" w:hAnsi="Arial"/>
                <w:sz w:val="17"/>
                <w:szCs w:val="17"/>
                <w:color w:val="auto"/>
              </w:rPr>
              <w:t>Real estate available and held for sale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125,460</w:t>
            </w:r>
          </w:p>
        </w:tc>
      </w:tr>
      <w:tr>
        <w:trPr>
          <w:trHeight w:val="26"/>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14,845</w:t>
            </w:r>
          </w:p>
        </w:tc>
      </w:tr>
      <w:tr>
        <w:trPr>
          <w:trHeight w:val="234"/>
        </w:trPr>
        <w:tc>
          <w:tcPr>
            <w:tcW w:w="3220" w:type="dxa"/>
            <w:vAlign w:val="bottom"/>
          </w:tcPr>
          <w:p>
            <w:pPr>
              <w:ind w:left="4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970,593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988,050</w:t>
            </w:r>
          </w:p>
        </w:tc>
      </w:tr>
      <w:tr>
        <w:trPr>
          <w:trHeight w:val="20"/>
        </w:trPr>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left="1" w:firstLine="397"/>
        <w:spacing w:after="0" w:line="291" w:lineRule="auto"/>
        <w:rPr>
          <w:sz w:val="20"/>
          <w:szCs w:val="20"/>
          <w:color w:val="auto"/>
        </w:rPr>
      </w:pPr>
      <w:r>
        <w:rPr>
          <w:rFonts w:ascii="Arial" w:cs="Arial" w:eastAsia="Arial" w:hAnsi="Arial"/>
          <w:sz w:val="16"/>
          <w:szCs w:val="16"/>
          <w:i w:val="1"/>
          <w:iCs w:val="1"/>
          <w:color w:val="auto"/>
        </w:rPr>
        <w:t>Summary of Portfolio Characteristics</w:t>
      </w:r>
      <w:r>
        <w:rPr>
          <w:rFonts w:ascii="Arial" w:cs="Arial" w:eastAsia="Arial" w:hAnsi="Arial"/>
          <w:sz w:val="16"/>
          <w:szCs w:val="16"/>
          <w:color w:val="auto"/>
        </w:rPr>
        <w:t>—As of December 31, 2012, the Company's Land Segment included 24 properties, comprised of 11 master planned community</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seven infill land parcels and six waterfront land parcels located throughout the United States. The master planned communities are currently entitled for more than 25,000 lots and the waterfront and urban infill parcels are currently entitled for approximately 6,000 units.</w:t>
      </w:r>
    </w:p>
    <w:p>
      <w:pPr>
        <w:spacing w:after="0" w:line="199" w:lineRule="exact"/>
        <w:rPr>
          <w:sz w:val="20"/>
          <w:szCs w:val="20"/>
          <w:color w:val="auto"/>
        </w:rPr>
      </w:pPr>
    </w:p>
    <w:p>
      <w:pPr>
        <w:jc w:val="both"/>
        <w:ind w:left="1" w:firstLine="397"/>
        <w:spacing w:after="0" w:line="260"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2012, the Company acquired title to $33.3 million of land assets through resolution of non-performing loans,</w:t>
      </w:r>
      <w:r>
        <w:rPr>
          <w:rFonts w:ascii="Arial" w:cs="Arial" w:eastAsia="Arial" w:hAnsi="Arial"/>
          <w:sz w:val="17"/>
          <w:szCs w:val="17"/>
          <w:i w:val="1"/>
          <w:iCs w:val="1"/>
          <w:color w:val="auto"/>
        </w:rPr>
        <w:t xml:space="preserve"> </w:t>
      </w:r>
      <w:r>
        <w:rPr>
          <w:rFonts w:ascii="Arial" w:cs="Arial" w:eastAsia="Arial" w:hAnsi="Arial"/>
          <w:sz w:val="17"/>
          <w:szCs w:val="17"/>
          <w:color w:val="auto"/>
        </w:rPr>
        <w:t>sold assets with a carrying value of $72.1 million and funded $20.5 million of capital expenditures in the portfolio.</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Policies with Respect to Other Activities</w:t>
      </w:r>
    </w:p>
    <w:p>
      <w:pPr>
        <w:spacing w:after="0" w:line="255" w:lineRule="exact"/>
        <w:rPr>
          <w:sz w:val="20"/>
          <w:szCs w:val="20"/>
          <w:color w:val="auto"/>
        </w:rPr>
      </w:pPr>
    </w:p>
    <w:p>
      <w:pPr>
        <w:jc w:val="both"/>
        <w:ind w:left="1" w:firstLine="397"/>
        <w:spacing w:after="0" w:line="332" w:lineRule="auto"/>
        <w:rPr>
          <w:sz w:val="20"/>
          <w:szCs w:val="20"/>
          <w:color w:val="auto"/>
        </w:rPr>
      </w:pPr>
      <w:r>
        <w:rPr>
          <w:rFonts w:ascii="Arial" w:cs="Arial" w:eastAsia="Arial" w:hAnsi="Arial"/>
          <w:sz w:val="14"/>
          <w:szCs w:val="14"/>
          <w:color w:val="auto"/>
        </w:rPr>
        <w:t>The Company's investment, financing and corporate governance policies (including conflicts of interests policies) are managed under the ultimate supervision of the Company's Board of Directors. The Company can amend, revise or eliminate these policies at anytime without a vote of its shareholders. The Company currently intends to make investments in a manner consistent with the requirements of the Internal Revenue Code of 1986, as amended (the "Code") for the Company to qualify as a REIT.</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Investment Restrictions or Limitations</w:t>
      </w:r>
    </w:p>
    <w:p>
      <w:pPr>
        <w:spacing w:after="0" w:line="255" w:lineRule="exact"/>
        <w:rPr>
          <w:sz w:val="20"/>
          <w:szCs w:val="20"/>
          <w:color w:val="auto"/>
        </w:rPr>
      </w:pPr>
    </w:p>
    <w:p>
      <w:pPr>
        <w:jc w:val="both"/>
        <w:ind w:left="1" w:firstLine="397"/>
        <w:spacing w:after="0" w:line="260" w:lineRule="auto"/>
        <w:rPr>
          <w:sz w:val="20"/>
          <w:szCs w:val="20"/>
          <w:color w:val="auto"/>
        </w:rPr>
      </w:pPr>
      <w:r>
        <w:rPr>
          <w:rFonts w:ascii="Arial" w:cs="Arial" w:eastAsia="Arial" w:hAnsi="Arial"/>
          <w:sz w:val="17"/>
          <w:szCs w:val="17"/>
          <w:color w:val="auto"/>
        </w:rPr>
        <w:t>The Company does not have any prescribed allocation among investments or product lines. Instead, the Company focuses on corporate and real estate credit underwriting to develop an analysis of the risk/reward trade-offs in determining the pricing and advisability of each particular transaction.</w:t>
      </w:r>
    </w:p>
    <w:p>
      <w:pPr>
        <w:spacing w:after="0" w:line="222" w:lineRule="exact"/>
        <w:rPr>
          <w:sz w:val="20"/>
          <w:szCs w:val="20"/>
          <w:color w:val="auto"/>
        </w:rPr>
      </w:pPr>
    </w:p>
    <w:p>
      <w:pPr>
        <w:jc w:val="both"/>
        <w:ind w:left="1" w:firstLine="397"/>
        <w:spacing w:after="0" w:line="263" w:lineRule="auto"/>
        <w:rPr>
          <w:sz w:val="20"/>
          <w:szCs w:val="20"/>
          <w:color w:val="auto"/>
        </w:rPr>
      </w:pPr>
      <w:r>
        <w:rPr>
          <w:rFonts w:ascii="Arial" w:cs="Arial" w:eastAsia="Arial" w:hAnsi="Arial"/>
          <w:sz w:val="16"/>
          <w:szCs w:val="16"/>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estate-related assets (subject to reduction to the extent the Company invests more than 55% of its assets in Qualifying Interests). The Company's senior mortgages, real estate assets and certain of its subordinated mortgages generally constitute Qualifying Interests. Subject to the limitations on ownership of certain types of assets and the gross income tests imposed by the Code, the Company also may invest in the securities of other REITs, other entities engaged in real estate activities or other issuers, including for the purpose of exercising control over such entities.</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Competition</w:t>
      </w:r>
    </w:p>
    <w:p>
      <w:pPr>
        <w:spacing w:after="0" w:line="255" w:lineRule="exact"/>
        <w:rPr>
          <w:sz w:val="20"/>
          <w:szCs w:val="20"/>
          <w:color w:val="auto"/>
        </w:rPr>
      </w:pPr>
    </w:p>
    <w:p>
      <w:pPr>
        <w:jc w:val="both"/>
        <w:ind w:left="1" w:firstLine="397"/>
        <w:spacing w:after="0" w:line="260" w:lineRule="auto"/>
        <w:rPr>
          <w:sz w:val="20"/>
          <w:szCs w:val="20"/>
          <w:color w:val="auto"/>
        </w:rPr>
      </w:pPr>
      <w:r>
        <w:rPr>
          <w:rFonts w:ascii="Arial" w:cs="Arial" w:eastAsia="Arial" w:hAnsi="Arial"/>
          <w:sz w:val="17"/>
          <w:szCs w:val="17"/>
          <w:color w:val="auto"/>
        </w:rPr>
        <w:t>The Company operates in a competitive market. See Item 1a—Risk factors—"We compete with a variety of investment, financing and leasing sources for our customers," for a discussion of how we may be affected by competition.</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Regulation</w:t>
      </w:r>
    </w:p>
    <w:p>
      <w:pPr>
        <w:spacing w:after="0" w:line="255" w:lineRule="exact"/>
        <w:rPr>
          <w:sz w:val="20"/>
          <w:szCs w:val="20"/>
          <w:color w:val="auto"/>
        </w:rPr>
      </w:pPr>
    </w:p>
    <w:p>
      <w:pPr>
        <w:jc w:val="both"/>
        <w:ind w:left="1" w:firstLine="397"/>
        <w:spacing w:after="0" w:line="304" w:lineRule="auto"/>
        <w:rPr>
          <w:sz w:val="20"/>
          <w:szCs w:val="20"/>
          <w:color w:val="auto"/>
        </w:rPr>
      </w:pPr>
      <w:r>
        <w:rPr>
          <w:rFonts w:ascii="Arial" w:cs="Arial" w:eastAsia="Arial" w:hAnsi="Arial"/>
          <w:sz w:val="14"/>
          <w:szCs w:val="14"/>
          <w:color w:val="auto"/>
        </w:rPr>
        <w:t>The operations of the Company are subject, in certain instances, to supervision and regulation by state and federal governmental authorities and may be subject to various laws and judicial and administrative decisions imposing various requirements and restrictions, which, among other things: (1) regulate credit granting activities;</w:t>
      </w:r>
    </w:p>
    <w:p>
      <w:pPr>
        <w:jc w:val="both"/>
        <w:ind w:left="1" w:hanging="1"/>
        <w:spacing w:after="0" w:line="244" w:lineRule="auto"/>
        <w:tabs>
          <w:tab w:leader="none" w:pos="2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maximum interest rates, finance charges and other charges; (3) require disclosures to customers; (4) govern secured transactions; and (5) set collection, foreclosure, repossession and claims-handling procedures and other trade practices.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1"/>
          </w:cols>
          <w:pgMar w:left="239" w:top="120" w:right="2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In the judgment of management, existing statutes and regulations have not had a material adverse effect on the business conducted by the Company. It is not possible at this time to forecast the exact nature of any future legislation, regulations, judicial decisions, orders or interpretations, nor their impact upon the future business, financial condition or results of operations or prospects of the Company.</w:t>
      </w:r>
    </w:p>
    <w:p>
      <w:pPr>
        <w:spacing w:after="0" w:line="228" w:lineRule="exact"/>
        <w:rPr>
          <w:sz w:val="20"/>
          <w:szCs w:val="20"/>
          <w:color w:val="auto"/>
        </w:rPr>
      </w:pPr>
    </w:p>
    <w:p>
      <w:pPr>
        <w:jc w:val="both"/>
        <w:ind w:firstLine="397"/>
        <w:spacing w:after="0" w:line="246" w:lineRule="auto"/>
        <w:rPr>
          <w:sz w:val="20"/>
          <w:szCs w:val="20"/>
          <w:color w:val="auto"/>
        </w:rPr>
      </w:pPr>
      <w:r>
        <w:rPr>
          <w:rFonts w:ascii="Arial" w:cs="Arial" w:eastAsia="Arial" w:hAnsi="Arial"/>
          <w:sz w:val="17"/>
          <w:szCs w:val="17"/>
          <w:color w:val="auto"/>
        </w:rPr>
        <w:t>The Company has elected and expects to continue to qualify to be taxed as a REIT under Section 856 through 860 of the Code. As a REIT, the Company must generally distribute at least 90% of its net taxable income, excluding capital gains, to its shareholders each year. In addition, the Company must distribute 100% of its net taxable income each year to avoid paying federal income taxes.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255" w:lineRule="exact"/>
        <w:rPr>
          <w:sz w:val="20"/>
          <w:szCs w:val="20"/>
          <w:color w:val="auto"/>
        </w:rPr>
      </w:pPr>
    </w:p>
    <w:p>
      <w:pPr>
        <w:jc w:val="both"/>
        <w:ind w:firstLine="397"/>
        <w:spacing w:after="0" w:line="263" w:lineRule="auto"/>
        <w:rPr>
          <w:sz w:val="20"/>
          <w:szCs w:val="20"/>
          <w:color w:val="auto"/>
        </w:rPr>
      </w:pPr>
      <w:r>
        <w:rPr>
          <w:rFonts w:ascii="Arial" w:cs="Arial" w:eastAsia="Arial" w:hAnsi="Arial"/>
          <w:sz w:val="16"/>
          <w:szCs w:val="16"/>
          <w:color w:val="auto"/>
        </w:rPr>
        <w:t xml:space="preserve">The Company has adopted a Code of Conduct that sets forth the principles of conduct and ethics to be followed by our directors, officers and employees. The purpose of the Code of Conduct is to promote honest and ethical conduct, compliance with applicable governmental rules and regulations, full, fair, accurate, timely and understandable disclosure in periodic reports, prompt internal reporting of violations of the Code of Conduct and a culture of honesty and accountability. A copy of the Code of Conduct has been provided to each of our directors, officers and employees, who are required to acknowledge that they have received and will comply with the Code of Conduct. A copy of the Company's Code of Conduct has been previously filed with the SEC and is incorporated by reference in this Annual Report on Form 10-K as Exhibit 14.0. The Code of Conduct is also available on the Company's website at </w:t>
      </w:r>
      <w:r>
        <w:rPr>
          <w:rFonts w:ascii="Arial" w:cs="Arial" w:eastAsia="Arial" w:hAnsi="Arial"/>
          <w:sz w:val="16"/>
          <w:szCs w:val="16"/>
          <w:i w:val="1"/>
          <w:iCs w:val="1"/>
          <w:color w:val="auto"/>
        </w:rPr>
        <w:t>www.istarfinancial.com</w:t>
      </w:r>
      <w:r>
        <w:rPr>
          <w:rFonts w:ascii="Arial" w:cs="Arial" w:eastAsia="Arial" w:hAnsi="Arial"/>
          <w:sz w:val="16"/>
          <w:szCs w:val="16"/>
          <w:color w:val="auto"/>
        </w:rPr>
        <w:t>. The Company will disclose to shareholders material changes to its Code of Conduct, or any waivers for directors or executive officers, if any, within four business days of any such event. As of December 31, 2012, there were no waivers or changes since adoption of the current Code of Conduct in October 2002.</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55"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As of February 1, 2013, the Company had 170 employees and believes its relationships with its employees to be good. The Company's employees are not represented by any collective bargaining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55" w:lineRule="exact"/>
        <w:rPr>
          <w:sz w:val="20"/>
          <w:szCs w:val="20"/>
          <w:color w:val="auto"/>
        </w:rPr>
      </w:pPr>
    </w:p>
    <w:p>
      <w:pPr>
        <w:jc w:val="both"/>
        <w:ind w:firstLine="397"/>
        <w:spacing w:after="0" w:line="308" w:lineRule="auto"/>
        <w:rPr>
          <w:sz w:val="20"/>
          <w:szCs w:val="20"/>
          <w:color w:val="auto"/>
        </w:rPr>
      </w:pPr>
      <w:r>
        <w:rPr>
          <w:rFonts w:ascii="Arial" w:cs="Arial" w:eastAsia="Arial" w:hAnsi="Arial"/>
          <w:sz w:val="14"/>
          <w:szCs w:val="14"/>
          <w:color w:val="auto"/>
        </w:rPr>
        <w:t xml:space="preserve">In addition to this Annual Report, the Company files quarterly and special reports, proxy statements and other information with the SEC. All documents are filed with the SEC and are available free of charge on the Company's corporate website, which is </w:t>
      </w:r>
      <w:r>
        <w:rPr>
          <w:rFonts w:ascii="Arial" w:cs="Arial" w:eastAsia="Arial" w:hAnsi="Arial"/>
          <w:sz w:val="14"/>
          <w:szCs w:val="14"/>
          <w:i w:val="1"/>
          <w:iCs w:val="1"/>
          <w:color w:val="auto"/>
        </w:rPr>
        <w:t>www.istarfinancial.com</w:t>
      </w:r>
      <w:r>
        <w:rPr>
          <w:rFonts w:ascii="Arial" w:cs="Arial" w:eastAsia="Arial" w:hAnsi="Arial"/>
          <w:sz w:val="14"/>
          <w:szCs w:val="14"/>
          <w:color w:val="auto"/>
        </w:rPr>
        <w:t xml:space="preserve">. Through the Company's website, the Company makes available free of charge its annual proxy statement,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You may also read and copy any document filed at the public reference facilities at 100 F Street, N.E., Washington, D.C. 25049. Please call the SEC at (800) SEC-0330 for further information about the public reference facilities. These documents also may be accessed through the SEC's electronic data gathering, analysis and retrieval system ("EDGAR") via electronic means, including on the SEC's homepage, which can be found at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0" w:right="2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55"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In addition to the other information in this report, you should consider carefully the following risk factors in evaluating an investment in our securities. Any of these risks or the occurrence of any one or more of the uncertainties described below could have a material adverse effect on our business, financial condition, results of operations, cash flows and trading price of our common stock. The risks set forth below speak only as of the date of this report and we disclaim any duty to update them except as required by law. For purposes of these risk factors, the terms "our Company," "we," "our" and "us" refer to iStar Financial Inc. and its consolidated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general economic conditions may adversely affect our business.</w:t>
      </w:r>
    </w:p>
    <w:p>
      <w:pPr>
        <w:spacing w:after="0" w:line="251"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Our success is generally dependent upon economic conditions in the U.S. and, in particular, the geographic areas in which our investments are located. Substantially all businesses, including ours, were negatively affected by the recent economic recession and illiquidity and volatility in the credit and commercial real estate markets. Although there have been signs of improvement in the commercial real estate and credit markets since 2010, such markets remain volatile and it is not possible for us to predict whether these trends will continue in the future or quantify the impact of these or other trends on our financial results. Deterioration in economic trends could have a material adverse effect on our financial performance and our ability to meet our debt obligations.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suffered adverse consequences as a result of our credit ratings.</w:t>
      </w:r>
    </w:p>
    <w:p>
      <w:pPr>
        <w:spacing w:after="0" w:line="251"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color w:val="auto"/>
        </w:rPr>
        <w:t>Our borrowing costs and our access to the debt capital markets depend significantly on our credit ratings. Our unsecured corporate credit ratings from major national credit rating agencies are currently below investment grade. Having below investment grade credit ratings has increased our borrowing costs and caused restrictive covenants in our public debt instruments to become operative. These restrictive covenants are described below in "Covenants in our indebtedness could limit our flexibility and adversely affect our financial condition." These factors have adversely impacted our financial performance and will continue to do so unless our credit ratings improve.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our indebtedness could limit our flexibility and adversely affect our financial condition.</w:t>
      </w:r>
    </w:p>
    <w:p>
      <w:pPr>
        <w:spacing w:after="0" w:line="251"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which may put limitations on our ability to make new investments, we will continue to be permitted to incur indebtedness for the purpose of refinancing existing indebtedness and for other permitted purposes under the indentures.</w:t>
      </w:r>
    </w:p>
    <w:p>
      <w:pPr>
        <w:spacing w:after="0" w:line="221"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Our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 us to distribute 100% of our REIT taxable income on an annual basis and the October 2012 Secured Credit Facility permits us to distribute up to $200 million of real property assets, or interests therein. We may not pay common dividends if we cease to qualify as a REIT.</w:t>
      </w:r>
    </w:p>
    <w:p>
      <w:pPr>
        <w:spacing w:after="0" w:line="218"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4"/>
          <w:szCs w:val="14"/>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 A default by us on our indebtedness would have a material adverse effect on our business and the market prices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indebtedness and limitations on our liquidity and ability to raise capital may adversely affect us.</w:t>
      </w:r>
    </w:p>
    <w:p>
      <w:pPr>
        <w:spacing w:after="0" w:line="25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Sufficient liquidity is critical to the management of our balance sheet and our ability to meet our scheduled debt payments. We have relied on secured borrowings, proceeds from issuance of unsecured debt, repayments from our loan assets and proceeds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0" w:right="2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jc w:val="both"/>
        <w:spacing w:after="0" w:line="314" w:lineRule="auto"/>
        <w:rPr>
          <w:sz w:val="20"/>
          <w:szCs w:val="20"/>
          <w:color w:val="auto"/>
        </w:rPr>
      </w:pPr>
      <w:r>
        <w:rPr>
          <w:rFonts w:ascii="Arial" w:cs="Arial" w:eastAsia="Arial" w:hAnsi="Arial"/>
          <w:sz w:val="14"/>
          <w:szCs w:val="14"/>
          <w:color w:val="auto"/>
        </w:rPr>
        <w:t>from asset sales to fund our operations and meet our debt maturities, and we expect to continue to rely primarily on these sources of liquidity for the foreseeable future. While our access to capital improved in 2012, as we completed our first unsecured debt offerings since May 2008, our ability to access capital in the future will be subject to a number of factors, many of which are outside of our control, such as conditions prevailing in the credit and real estate markets. There can be no assurance that we will have access to liquidity when needed or, on terms that are acceptable to us. We may also encounter difficulty in selling assets or executing capital raising strategies on acceptable terms in a timely manner, which could impact our ability to make scheduled repayments on our outstanding debt.</w:t>
      </w:r>
    </w:p>
    <w:p>
      <w:pPr>
        <w:spacing w:after="0" w:line="188"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As of December 31, 2012, we had $545.3 million of debt maturing on or before December 31, 2013, including $96.8 million of senior unsecured notes due in June 2013 and $448.5 million senior unsecured notes due in October 2013.</w:t>
      </w:r>
    </w:p>
    <w:p>
      <w:pPr>
        <w:spacing w:after="0" w:line="22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As of December 31, 2012, we had unrestricted cash of $256.3 million and other unencumbered assets with a carrying value of $2.75 billion that are available to repay these maturities through asset sales or debt refinancing transactions. Failure to repay or refinance our borrowings as they come due would be an event of default under the relevant debt instruments, which could result in a cross default and acceleration of our other outstanding debt obligations, all of which would have a material adverse effect on our business and stock price.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utilize derivative instruments to hedge risk, which may adversely affect our borrowing cost and expose us to other risks.</w:t>
      </w:r>
    </w:p>
    <w:p>
      <w:pPr>
        <w:spacing w:after="0" w:line="251"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The derivative instruments we may use are typically in the form of interest rate swaps and foreign currency swaps. Interest rate swaps effectively change variable-rate debt obligations to fixed-rate debt obligations or fixed-rate debt obligations to variable-rate debt obligations. Foreign currency swaps limit or offset our exposure to changes in currency rates in respect of certain investments denominated in foreign currencies.</w:t>
      </w:r>
    </w:p>
    <w:p>
      <w:pPr>
        <w:spacing w:after="0" w:line="228" w:lineRule="exact"/>
        <w:rPr>
          <w:sz w:val="20"/>
          <w:szCs w:val="20"/>
          <w:color w:val="auto"/>
        </w:rPr>
      </w:pPr>
    </w:p>
    <w:p>
      <w:pPr>
        <w:jc w:val="both"/>
        <w:ind w:firstLine="397"/>
        <w:spacing w:after="0" w:line="275" w:lineRule="auto"/>
        <w:rPr>
          <w:sz w:val="20"/>
          <w:szCs w:val="20"/>
          <w:color w:val="auto"/>
        </w:rPr>
      </w:pPr>
      <w:r>
        <w:rPr>
          <w:rFonts w:ascii="Arial" w:cs="Arial" w:eastAsia="Arial" w:hAnsi="Arial"/>
          <w:sz w:val="16"/>
          <w:szCs w:val="16"/>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As a matter of policy, we enter into hedging arrangements with counterparties that are large, creditworthy financial institutions typically rated at least "A/A2" by S&amp;P and Moody's, respectively.</w:t>
      </w:r>
    </w:p>
    <w:p>
      <w:pPr>
        <w:spacing w:after="0" w:line="211"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Developing an effective strategy for dealing with movements in interest rates and foreign currencies is complex and no strategy can completely insulate us from risks associated with such fluctuations. There can be no assurance that any hedging activities will have the desired beneficial impact on our results of operations or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increases in interest rates could have an adverse effect on our operating results.</w:t>
      </w:r>
    </w:p>
    <w:p>
      <w:pPr>
        <w:spacing w:after="0" w:line="251"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4"/>
          <w:szCs w:val="14"/>
          <w:color w:val="auto"/>
        </w:rPr>
        <w:t>Our operating results depend in part on the difference between the interest and related income earned on our assets and the interest expense incurred in connection with our interest bearing liabilities. Changes in the general level of interest rates prevailing in the financial markets will affect the spread between our interest earning assets and interest bearing liabilities subject to the impact of interest rate floors and caps, as well as the amounts of floating rate assets and liabilities. Any significant compression of the spreads between interest earning assets and interest bearing liabilities could have a material adverse effect on us. In the event of a significant rising interest rate environment, rates could exceed the interest rate floors that exist on certain of our floating rate debt and create a mismatch between our floating rate loans and our floating rate debt that could have a significant adverse effect on our operating results. In addition, an increase in interest rates could, among other things, reduce the value of our fixed-rate interest bearing assets and our ability to realize gains from the sale of such assets. Interest rates are highly sensitive to many factors, including governmental monetary and tax policies, domestic and international economic and political conditions, and other factors beyond our control.</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222"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color w:val="auto"/>
        </w:rPr>
        <w:t>Material estimates that are particularly susceptible to significant change relate to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reserves for loan losses may prove inadequate, which could have a material adverse effect on our financial results.</w:t>
      </w:r>
    </w:p>
    <w:p>
      <w:pPr>
        <w:spacing w:after="0" w:line="25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We maintain loan loss reserves to protect against potential losses and conduct a review of the adequacy of these reserves on a quarterly basis. Our general loan loss reserve reflects management's then-current estimation of the probability and severity of losses within our portfolio, based on this quarterly review. In addition, our determination of asset-specific loan loss reserves relies on material estimates regarding the fair value of loan collateral. Estimation of ultimate loan losses, provision expenses and loss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0" w:right="2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reserves is a complex and subjective process. As such, there can be no assurance that management's judgment will prove to be correct and that reserves will be adequate over time to protect against potential future losses. Such losses could be caused by factors including, but not limited to, unanticipated adverse changes in the economy or events adversely affecting specific assets, borrowers, industries in which our borrowers operate or markets in which our borrowers or their properties are located. In particular, during the previous financial crisis, the weak economy and disruption of the credit markets adversely impacted the ability and willingness of many of our borrowers to service their debt and refinance our loans to them at maturity. If our reserves for credit losses prove inadequate we may suffer additional losses which would have a material adverse effect on our financial performance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suffered losses when a borrower defaults on a loan and the underlying collateral value is not sufficient, and we may suffer additional losses in the future.</w:t>
      </w:r>
    </w:p>
    <w:p>
      <w:pPr>
        <w:spacing w:after="0" w:line="286" w:lineRule="exact"/>
        <w:rPr>
          <w:sz w:val="20"/>
          <w:szCs w:val="20"/>
          <w:color w:val="auto"/>
        </w:rPr>
      </w:pPr>
    </w:p>
    <w:p>
      <w:pPr>
        <w:jc w:val="both"/>
        <w:ind w:firstLine="397"/>
        <w:spacing w:after="0" w:line="310" w:lineRule="auto"/>
        <w:rPr>
          <w:sz w:val="20"/>
          <w:szCs w:val="20"/>
          <w:color w:val="auto"/>
        </w:rPr>
      </w:pPr>
      <w:r>
        <w:rPr>
          <w:rFonts w:ascii="Arial" w:cs="Arial" w:eastAsia="Arial" w:hAnsi="Arial"/>
          <w:sz w:val="14"/>
          <w:szCs w:val="14"/>
          <w:color w:val="auto"/>
        </w:rPr>
        <w:t>We have suffered losses arising from borrower defaults on our loan assets and we may suffer additional losses in the future. In the event of a default by a borrower on a non-recourse loan, we will only have recourse to the real estate-related assets collateralizing the loan. If the underlying collateral value is less than the loan amount, we will suffer a loss. Conversely, we sometimes make loans that are unsecured or are secured only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 In cases described above, we may lack control over the underlying asset collateralizing our loan or the underlying assets of the borrower prior to a default, and as a result the value of the collateral may be reduced by acts or omissions by owners or managers of the assets.</w:t>
      </w:r>
    </w:p>
    <w:p>
      <w:pPr>
        <w:spacing w:after="0" w:line="192" w:lineRule="exact"/>
        <w:rPr>
          <w:sz w:val="20"/>
          <w:szCs w:val="20"/>
          <w:color w:val="auto"/>
        </w:rPr>
      </w:pPr>
    </w:p>
    <w:p>
      <w:pPr>
        <w:jc w:val="both"/>
        <w:ind w:firstLine="397"/>
        <w:spacing w:after="0" w:line="310" w:lineRule="auto"/>
        <w:rPr>
          <w:sz w:val="20"/>
          <w:szCs w:val="20"/>
          <w:color w:val="auto"/>
        </w:rPr>
      </w:pPr>
      <w:r>
        <w:rPr>
          <w:rFonts w:ascii="Arial" w:cs="Arial" w:eastAsia="Arial" w:hAnsi="Arial"/>
          <w:sz w:val="14"/>
          <w:szCs w:val="14"/>
          <w:color w:val="auto"/>
        </w:rPr>
        <w:t>We sometimes obtain individual or corporate guarantees from borrowers or their affiliates.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or where the value of the collateral proves insufficient, we will only have recourse as an unsecured creditor to the general assets of the borrower or guarantor, some or all of which may be pledged to satisfy other lenders. There can be no assurance that a borrower or guarantor will comply with its financial covenants, or that sufficient assets will be available to pay amounts owed to us under our loans and guarantees. As a result of these factors, we may suffer additional losses which could have a material adverse effect on our financial performance.</w:t>
      </w:r>
    </w:p>
    <w:p>
      <w:pPr>
        <w:spacing w:after="0" w:line="192"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color w:val="auto"/>
        </w:rPr>
        <w:t>In the event of a borrower bankruptcy, we may not have full recourse to the assets of the borrower in order to satisfy our loan. In addition, certain of our loans are subordinate to other debts of the borrower. If a borrower defaults on our loan or on debt senior to our loan, or in the event of a borrower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collection costs and losses and the time necessary to acquire title to the underlying collateral, during which time the collateral may decline in value, causing us to suffer additional losses.</w:t>
      </w:r>
    </w:p>
    <w:p>
      <w:pPr>
        <w:spacing w:after="0" w:line="22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If the value of collateral underlying our loan declines or interest rates increase during the term of our loan, a borrower may not be able to obtain the necessary funds to repay our loan at maturity through refinancing. Decreasing collateral value and/or increasing interest rates may hinder a borrower's ability to refinance our loan because the underlying property cannot satisfy the debt service coverage requirements necessary to obtain new financing. If a borrower is unable to repay our loan at maturity, we could suffer additional loss which may adversely impact our financial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additional risks associated with loan participations.</w:t>
      </w:r>
    </w:p>
    <w:p>
      <w:pPr>
        <w:spacing w:after="0" w:line="251"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color w:val="auto"/>
        </w:rPr>
        <w:t>Some of our loans are participation interests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 which we will be bound if our participation interest represents a minority interest. We may be adversely affected by this lack of full control.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0" w:right="2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additional risk associated with owning and developing real estate.</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have obtained title to a number of assets that previously served as collateral on defaulted loans. These assets are predominantly land and operating properties.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These assets expose us to additional risks, including, without limitation:</w:t>
      </w:r>
    </w:p>
    <w:p>
      <w:pPr>
        <w:spacing w:after="0" w:line="116" w:lineRule="exact"/>
        <w:rPr>
          <w:sz w:val="20"/>
          <w:szCs w:val="20"/>
          <w:color w:val="auto"/>
        </w:rPr>
      </w:pPr>
    </w:p>
    <w:p>
      <w:pPr>
        <w:ind w:left="600" w:hanging="303"/>
        <w:spacing w:after="0" w:line="250"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must incur costs to carry these assets and in some cases make repairs to defects in construction, make improvements to, or complete the assets, which requires additional liquidity and results in additional expenses that impact our operating results.</w:t>
      </w:r>
    </w:p>
    <w:p>
      <w:pPr>
        <w:ind w:left="600" w:hanging="303"/>
        <w:spacing w:after="0" w:line="243"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Real estate projects are not liquid and, to the extent we need to raise liquidity through asset sales, we may be limited in our ability to sell these assets in a short-time frame.</w:t>
      </w:r>
    </w:p>
    <w:p>
      <w:pPr>
        <w:spacing w:after="0" w:line="1" w:lineRule="exact"/>
        <w:rPr>
          <w:rFonts w:ascii="Arial" w:cs="Arial" w:eastAsia="Arial" w:hAnsi="Arial"/>
          <w:sz w:val="17"/>
          <w:szCs w:val="17"/>
          <w:color w:val="auto"/>
        </w:rPr>
      </w:pPr>
    </w:p>
    <w:p>
      <w:pPr>
        <w:ind w:left="600" w:hanging="303"/>
        <w:spacing w:after="0" w:line="243"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Uncertainty associated with rezoning, obtaining governmental permits and approvals, concerns of community associations and reliance on third party contractors may materially delay our completion of rehabilitation and development activities and materially increase their cost to us.</w:t>
      </w:r>
    </w:p>
    <w:p>
      <w:pPr>
        <w:spacing w:after="0" w:line="1" w:lineRule="exact"/>
        <w:rPr>
          <w:rFonts w:ascii="Arial" w:cs="Arial" w:eastAsia="Arial" w:hAnsi="Arial"/>
          <w:sz w:val="17"/>
          <w:szCs w:val="17"/>
          <w:color w:val="auto"/>
        </w:rPr>
      </w:pPr>
    </w:p>
    <w:p>
      <w:pPr>
        <w:jc w:val="both"/>
        <w:ind w:left="600" w:hanging="303"/>
        <w:spacing w:after="0" w:line="245"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values of our real estate investments are subject to a number of factors outside of our control, including changes in the general economic climate, changes in interest rates and the availability of attractive financing, over-building or decreasing demand in the markets where we own assets, and changes in law and governmental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losses if the creditworthiness of our tenants deteriorates and they are unable to meet their lease obligations.</w:t>
      </w:r>
    </w:p>
    <w:p>
      <w:pPr>
        <w:spacing w:after="0" w:line="164"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6"/>
          <w:szCs w:val="16"/>
          <w:color w:val="auto"/>
        </w:rPr>
        <w:t>We own properties leased to tenants of our real estate assets and receive rents from tenants during the contracted term of such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real estate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that it intends to reject.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could be materially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relating to our asset concentration.</w:t>
      </w:r>
    </w:p>
    <w:p>
      <w:pPr>
        <w:spacing w:after="0" w:line="164" w:lineRule="exact"/>
        <w:rPr>
          <w:sz w:val="20"/>
          <w:szCs w:val="20"/>
          <w:color w:val="auto"/>
        </w:rPr>
      </w:pPr>
    </w:p>
    <w:p>
      <w:pPr>
        <w:jc w:val="both"/>
        <w:ind w:firstLine="397"/>
        <w:spacing w:after="0" w:line="308" w:lineRule="auto"/>
        <w:rPr>
          <w:sz w:val="20"/>
          <w:szCs w:val="20"/>
          <w:color w:val="auto"/>
        </w:rPr>
      </w:pPr>
      <w:r>
        <w:rPr>
          <w:rFonts w:ascii="Arial" w:cs="Arial" w:eastAsia="Arial" w:hAnsi="Arial"/>
          <w:sz w:val="14"/>
          <w:szCs w:val="14"/>
          <w:color w:val="auto"/>
        </w:rPr>
        <w:t>Our portfolio consists primarily of real estate and commercial real estate loans which are generally diversified by asset type, obligor, property type and geographic location. However, as of December 31, 2012, approximately 22% of the carrying value of our assets related to land, 12% related to office properties, 11% related to condominium assets and 11% related to industrial/R&amp;D properties. All of these property types have been adversely affected by the previous financial crisis. In addition, as of December 31, 2012, approximately 23% of the carrying value of our assets related to properties located in the western U.S., 19% related to properties located in the northeastern U.S., 15% related to properties located in the southeast U.S and 13% related to properties located in the southwestern U.S. These regions include areas that were particularly hard hit by the prior downturn in the residential real estate markets. In addition, we have $228.7 million of European assets, which are subject to increased risks due to the current economic uncertainty in the Eurozone. We may suffer additional losses on our assets due to these concentrations.</w:t>
      </w:r>
    </w:p>
    <w:p>
      <w:pPr>
        <w:spacing w:after="0" w:line="105"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4"/>
          <w:szCs w:val="14"/>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customer, the inability of that borrower or tenant to make its payment could have an adverse effect on us. As of December 31, 2012, our five largest borrowers or tenants of net lease assets collectively accounted for approximately 22% of our aggregate annualized interest and operating lease revenue, of which no single customer accounts for more than 7%.</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expirations, lease defaults and lease terminations may adversely affect our revenue.</w:t>
      </w:r>
    </w:p>
    <w:p>
      <w:pPr>
        <w:spacing w:after="0" w:line="16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Lease expirations and lease terminations may result in reduced revenues if the lease payments received from replacement tenants are less than the lease payments received from the expiring or terminating corporate tenants. In addition, lease defaults or lease terminations by one or more significant tenants or the failure of tenants under expiring leases to elect to renew their leases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0" w:right="2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could cause us to experience long periods of vacancy with no revenue from a facility and to incur substantial capital expenditures and/or lease concessions in order to obtain replacement tenants.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compete with a variety of financing and leasing sources for our customers.</w:t>
      </w:r>
    </w:p>
    <w:p>
      <w:pPr>
        <w:spacing w:after="0" w:line="164"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The financial services industry and commercial real estate markets are highly competitive. Our competitors include finance companies, other REITs, commercial banks and thrift institutions, investment banks and hedge funds. Our competitors seek to compete aggressively on the basis of a number of factors including transaction pricing, terms and structure. We may have difficulty competing to the extent we are unwilling to match our competitors' deal terms in order to maintain our interest margins and/or credit standards. To the extent that we match competitors' pricing, terms or structure, we may experience decreased interest margins and/or increased risk of credit losses, which could have an adverse effect on our financial performance.</w:t>
      </w:r>
    </w:p>
    <w:p>
      <w:pPr>
        <w:spacing w:after="0" w:line="131"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color w:val="auto"/>
        </w:rPr>
        <w:t>We face significant competition within our net leasing business from other owners, operators and developers of properties, many of which own properties similar to ours in markets where we operate. Such competition may affect our ability to attract and retain tenants and reduce the rents we are able to charge. These competing properties may have vacancy rates higher than our properties, which may result in their owners offering lower rental rates than we would or providing greater tenant improvement allowances or other leasing concessions. This combination of circumstances could adversely affect our revenues and financial performance.</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We are subject to certain risks associated with investing in real estate, including potential liabilities under environmental laws and risks of loss from earthquakes, terrorism and climate change.</w:t>
      </w:r>
    </w:p>
    <w:p>
      <w:pPr>
        <w:spacing w:after="0" w:line="135" w:lineRule="exact"/>
        <w:rPr>
          <w:sz w:val="20"/>
          <w:szCs w:val="20"/>
          <w:color w:val="auto"/>
        </w:rPr>
      </w:pPr>
    </w:p>
    <w:p>
      <w:pPr>
        <w:jc w:val="both"/>
        <w:ind w:firstLine="397"/>
        <w:spacing w:after="0" w:line="304" w:lineRule="auto"/>
        <w:rPr>
          <w:sz w:val="20"/>
          <w:szCs w:val="20"/>
          <w:color w:val="auto"/>
        </w:rPr>
      </w:pPr>
      <w:r>
        <w:rPr>
          <w:rFonts w:ascii="Arial" w:cs="Arial" w:eastAsia="Arial" w:hAnsi="Arial"/>
          <w:sz w:val="14"/>
          <w:szCs w:val="14"/>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under our net lease assets we require our tenants to undertake the obligation for environmental compliance and indemnify us from liability with respect thereto. There can be no assurance that our tenants will have sufficient resources to satisfy their obligations to us.</w:t>
      </w:r>
    </w:p>
    <w:p>
      <w:pPr>
        <w:spacing w:after="0" w:line="312"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6"/>
          <w:szCs w:val="16"/>
          <w:color w:val="auto"/>
        </w:rPr>
        <w:t>As of December 31, 2012, approximately 26% of the carrying value of our assets was located in the Western and Northwestern United States, geographic areas at higher risk for earthquakes. In addition, a significant number of our properties are located in major urban areas which, in recent years, have been high risk geographical areas for terrorism and threats of terrorism. The value of our properties will potentially also be subject to the risks associated with long-term effects of climate change. Future earthquakes, acts of terrorism or effects of climate change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earthquake, terrorist attack or effect of climate change, whether or not insured, could have a material adverse effect on our financial performance, the market price of our Common Stock and our ability to pay dividends. In addition, there is a risk that one or more of our property insurers may not be able to fulfill its obligations with respect to claims payments due to a deterioration in its financial condition.</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From time to time we make investments in companies over which we do not have sole control. Some of these companies operate in industries that differ from our current operations, with different risks than investing in real estate.</w:t>
      </w:r>
    </w:p>
    <w:p>
      <w:pPr>
        <w:spacing w:after="0" w:line="135"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From time to time we make debt or equity investments in other companies that we may not control or over which we may not have sole control. These investments include but are not limited to: LNR Property Corporation ("LNR"), Madison Funds and other equity and mezzanine investments. Although these businesses generally have a significant real estate component, some of them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0" w:right="2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Declines in the market values of our equity investments may adversely affect periodic reported results.</w:t>
      </w:r>
    </w:p>
    <w:p>
      <w:pPr>
        <w:spacing w:after="0" w:line="164"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Most of our equity investments are in funds or companies that are not publicly traded and their fair value may not be readily determinable. We may periodically estimate the fair value of these investments, based upon available information and management's judgment. Because such valuations are inherently uncertain, they may fluctuate over short periods of time. In addition, our determinations regarding the fair value of these investments may be materially higher than the values that we ultimately realize upon their disposal, which could result in losses that have a material adverse effect on our financial performance, the market price of our common stock and our ability to pay dividends.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results may fluctuate and may not be indicative of future quarterly performance.</w:t>
      </w:r>
    </w:p>
    <w:p>
      <w:pPr>
        <w:spacing w:after="0" w:line="164"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loan and real estate portfolio performance, levels of non-performing assets and related provisions, market values of investments, costs associated with debt, general economic conditions, the state of the real estate and financial markets and the degree to which we encounter competition in our markets.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retain and attract key personnel is critical to our success.</w:t>
      </w:r>
    </w:p>
    <w:p>
      <w:pPr>
        <w:spacing w:after="0" w:line="164"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Our success depends on our ability to retain our senior management and the other key members of our management team and recruit additional qualified personnel. We rely in part on equity compensation to retain and incentivize our personnel. In addition, if members of our management join competitors or form competing companies, the competition could have a material adverse effect on our business. Efforts to retain or attract professionals may result in additional compensation expense, which could affect our financial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information systems, and systems failures could significantly disrupt our business.</w:t>
      </w:r>
    </w:p>
    <w:p>
      <w:pPr>
        <w:spacing w:after="0" w:line="164" w:lineRule="exact"/>
        <w:rPr>
          <w:sz w:val="20"/>
          <w:szCs w:val="20"/>
          <w:color w:val="auto"/>
        </w:rPr>
      </w:pPr>
    </w:p>
    <w:p>
      <w:pPr>
        <w:jc w:val="both"/>
        <w:ind w:firstLine="397"/>
        <w:spacing w:after="0" w:line="292" w:lineRule="auto"/>
        <w:rPr>
          <w:sz w:val="20"/>
          <w:szCs w:val="20"/>
          <w:color w:val="auto"/>
        </w:rPr>
      </w:pPr>
      <w:r>
        <w:rPr>
          <w:rFonts w:ascii="Arial" w:cs="Arial" w:eastAsia="Arial" w:hAnsi="Arial"/>
          <w:sz w:val="16"/>
          <w:szCs w:val="16"/>
          <w:color w:val="auto"/>
        </w:rPr>
        <w:t>Our business is highly dependent on communications, information, financial and operational systems. Any failure or interruption of our systems could cause delays or other problems in our business activities, which could have a material adverse effect on our operations and financial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change certain of our policies without stockholder approval.</w:t>
      </w:r>
    </w:p>
    <w:p>
      <w:pPr>
        <w:spacing w:after="0" w:line="16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Our charter does not set forth specific percentages of the types of investments we may make. We can amend, revise or eliminate our investment financing and conflict of interest policies at any time at our discretion without a vote of our shareholders. A change in these policies could adversely affect our financial condition or results of operations or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provisions in our charter may inhibit a change in control.</w:t>
      </w:r>
    </w:p>
    <w:p>
      <w:pPr>
        <w:spacing w:after="0" w:line="164"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would be subject to adverse consequences if we fail to qualify as a REIT.</w:t>
      </w:r>
    </w:p>
    <w:p>
      <w:pPr>
        <w:spacing w:after="0" w:line="164"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We believe that we have been organized and operated in a manner so as to qualify for taxation as a REIT for U.S. federal income tax purposes commencing with our taxable year ended December 31, 1998. However, our qualification as a REIT has depended and will continue to depend on our ability to meet various requirements concerning, among other things, the ownership of our outstanding stock, the nature of our assets, the sources of our income and the amount of our distributions to our shareholders.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0" w:right="2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4"/>
          <w:szCs w:val="14"/>
          <w:color w:val="auto"/>
        </w:rPr>
        <w:t>If we were to fail to qualify as a REIT for any taxable year, we would not be allowed a deduction for distributions to our shareholders in computing our net taxable income and would be subject to U.S. federal income tax, including any applicable alternative minimum tax, or "AMT," on our net taxable income at regular corporate rates, as well as applicable state and local taxes. Unless entitled to relief under certain Code provisions, we would also be disqualified from treatment as a REIT for the four subsequent taxable years following the year during which our REIT qualification was lost. As a result, cash available for distribution would be reduced for each of the years involved. Furthermore, it is possible that future economic, market, legal, tax or other considerations may cause our REIT qualification to be revoked.</w:t>
      </w:r>
    </w:p>
    <w:p>
      <w:pPr>
        <w:spacing w:after="0" w:line="10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Our Secured Credit Facilities (see Item 8—"Financial Statements and Supplemental Data—Note 8") prohibit us from paying dividends on our common stock if we no longer qualify as a REIT.</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To qualify as a REIT, we may be forced to borrow funds, sell assets or take other actions during unfavorable market conditions. In addition, we may be required to limit certain activities or conduct them through taxable entities.</w:t>
      </w:r>
    </w:p>
    <w:p>
      <w:pPr>
        <w:spacing w:after="0" w:line="13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color w:val="auto"/>
        </w:rPr>
        <w:t>To qualify as a REIT, we generally must distribute to our shareholders at least 90% of our net taxable income, excluding net capital gains each year, and we will be subject to U.S. federal income tax, as well as applicable state and local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w:t>
      </w:r>
    </w:p>
    <w:p>
      <w:pPr>
        <w:spacing w:after="0" w:line="123" w:lineRule="exact"/>
        <w:rPr>
          <w:sz w:val="20"/>
          <w:szCs w:val="20"/>
          <w:color w:val="auto"/>
        </w:rPr>
      </w:pPr>
    </w:p>
    <w:p>
      <w:pPr>
        <w:jc w:val="both"/>
        <w:ind w:firstLine="372"/>
        <w:spacing w:after="0" w:line="271" w:lineRule="auto"/>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 the event that principal, premium or interest payments with respect to a particular debt instrument that we hold are not made when due, we may nonetheless be</w:t>
      </w:r>
      <w:r>
        <w:rPr>
          <w:rFonts w:ascii="Arial" w:cs="Arial" w:eastAsia="Arial" w:hAnsi="Arial"/>
          <w:sz w:val="18"/>
          <w:szCs w:val="18"/>
          <w:color w:val="auto"/>
        </w:rPr>
        <w:t xml:space="preserve"> </w:t>
      </w:r>
      <w:r>
        <w:rPr>
          <w:rFonts w:ascii="Arial" w:cs="Arial" w:eastAsia="Arial" w:hAnsi="Arial"/>
          <w:sz w:val="16"/>
          <w:szCs w:val="16"/>
          <w:color w:val="auto"/>
        </w:rPr>
        <w:t>required to continue to recognize the unpaid amounts as taxable income. Due to these and other potential timing differences between income recognition or expense deduction and cash receipts or disbursements, there is a significant risk that we may have substantial taxable income in excess of cash available for distribution. In order to qualify as a REIT and avoid the payment of income and excise taxes, we may need to borrow funds or take other actions to meet our REIT distribution requirements for the taxable year in which the "phantom income" is recognized.</w:t>
      </w:r>
    </w:p>
    <w:p>
      <w:pPr>
        <w:spacing w:after="0" w:line="130"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In addition, we may be required to limit certain activities that generate non-qualifying REIT income, such as land development and sales of condominiums, and/or we may be required to conduct such activities through "taxable REIT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activities, including our use of taxable REIT subsidiaries, are subject to taxes that could reduce our cash flows.</w:t>
      </w:r>
    </w:p>
    <w:p>
      <w:pPr>
        <w:spacing w:after="0" w:line="164" w:lineRule="exact"/>
        <w:rPr>
          <w:sz w:val="20"/>
          <w:szCs w:val="20"/>
          <w:color w:val="auto"/>
        </w:rPr>
      </w:pPr>
    </w:p>
    <w:p>
      <w:pPr>
        <w:jc w:val="both"/>
        <w:ind w:firstLine="397"/>
        <w:spacing w:after="0" w:line="305" w:lineRule="auto"/>
        <w:rPr>
          <w:sz w:val="20"/>
          <w:szCs w:val="20"/>
          <w:color w:val="auto"/>
        </w:rPr>
      </w:pPr>
      <w:r>
        <w:rPr>
          <w:rFonts w:ascii="Arial" w:cs="Arial" w:eastAsia="Arial" w:hAnsi="Arial"/>
          <w:sz w:val="14"/>
          <w:szCs w:val="14"/>
          <w:color w:val="auto"/>
        </w:rPr>
        <w:t>Even if we qualify as a REIT for U.S. federal income tax purposes, we will be required to pay some U.S. federal, state, local and non-U.S. taxes on our income and property, including taxes on any undistributed income, taxes on income from certain activities conducted as a result of foreclosures, and property and transfer taxes. We would be required to pay taxes on net taxable income that we fail to distribute to our shareholders. In addition, we hold a significant amount of assets in our "taxable REIT subsidiaries," including assets that we have acquired through foreclosure, assets that may be treated as dealer property and other assets that could adversely affect our ability to qualify as a REIT if held directly by us. As a result, we will be required to pay income taxes on the taxable income generated by these assets. There are also limitations on the ability of taxable REIT subsidiaries to make interest payments to affiliated REITs. Furthermore, we will be subject to a 100% penalty tax to the extent our economic arrangements with our tenants or our taxable REIT subsidiaries are not comparable to similar arrangements among unrelated parties. We will also be subject to a 100% tax to the extent we derive income from the sale of assets to customers in the ordinary course of business. To the extent we or our taxable REIT subsidiaries are required to pay U.S. federal, state, local or non-U.S. taxes, we will have less cash available for distribution to our shareholders.</w:t>
      </w:r>
    </w:p>
    <w:p>
      <w:pPr>
        <w:spacing w:after="0" w:line="107" w:lineRule="exact"/>
        <w:rPr>
          <w:sz w:val="20"/>
          <w:szCs w:val="20"/>
          <w:color w:val="auto"/>
        </w:rPr>
      </w:pPr>
    </w:p>
    <w:p>
      <w:pPr>
        <w:jc w:val="both"/>
        <w:ind w:firstLine="372"/>
        <w:spacing w:after="0" w:line="314" w:lineRule="auto"/>
        <w:rPr>
          <w:sz w:val="20"/>
          <w:szCs w:val="20"/>
          <w:color w:val="auto"/>
        </w:rPr>
      </w:pPr>
      <w:r>
        <w:rPr>
          <w:rFonts w:ascii="Arial" w:cs="Arial" w:eastAsia="Arial" w:hAnsi="Arial"/>
          <w:sz w:val="14"/>
          <w:szCs w:val="14"/>
          <w:color w:val="auto"/>
        </w:rPr>
        <w:t>We have substantial net operating and net capital loss carry forwards which we use to offset our tax and distribution requirements. In the event that we experience an "ownership change" for purposes of Section 382 of the Internal Revenue Code of 1986, as amended, or the Internal Revenue Code, our ability to use these losses will be limited. An "ownership change" is determined based upon complex rules which track the changes in ownership that occur in our Common Stock for a trailing three year period. We have experienced volatility and significant trading in our Common Stock in recent years. The occurrence of an ownership change is generally beyond our control and, if triggered, may increase our tax and distribution obligations for which we may not have sufficient cash flow.</w:t>
      </w:r>
    </w:p>
    <w:p>
      <w:pPr>
        <w:spacing w:after="0" w:line="101" w:lineRule="exact"/>
        <w:rPr>
          <w:sz w:val="20"/>
          <w:szCs w:val="20"/>
          <w:color w:val="auto"/>
        </w:rPr>
      </w:pPr>
    </w:p>
    <w:p>
      <w:pPr>
        <w:ind w:right="280" w:firstLine="372"/>
        <w:spacing w:after="0" w:line="260" w:lineRule="auto"/>
        <w:rPr>
          <w:sz w:val="20"/>
          <w:szCs w:val="20"/>
          <w:color w:val="auto"/>
        </w:rPr>
      </w:pPr>
      <w:r>
        <w:rPr>
          <w:rFonts w:ascii="Arial" w:cs="Arial" w:eastAsia="Arial" w:hAnsi="Arial"/>
          <w:sz w:val="17"/>
          <w:szCs w:val="17"/>
          <w:b w:val="1"/>
          <w:bCs w:val="1"/>
          <w:i w:val="1"/>
          <w:iCs w:val="1"/>
          <w:color w:val="auto"/>
        </w:rPr>
        <w:t>A failure to comply with the limits on our ownership of and relationship with our taxable REIT subsidiaries would jeopardize our REIT qualification and may result in the application of a 100% excise tax.</w:t>
      </w:r>
    </w:p>
    <w:p>
      <w:pPr>
        <w:spacing w:after="0" w:line="135"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No more than 25% of the value of a REIT's total assets may consist of stock or securities of one or more taxable REIT subsidiaries. This requirement limits the extent to which we can conduct activities through taxable REIT subsidiaries or expand the activities that we conduct through taxable REIT subsidiaries. The values of some of our assets, including assets that we hold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0" w:right="2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through taxable REIT subsidiaries may not be subject to precise determination, and values are subject to change in the future. In addition, we hold certain loans to one or more of our taxable REIT subsidiaries that are secured by real property. We treat these mortgage loans as qualifying assets for purposes of the REIT assets tests to the extent that they are secured by real property. If the IRS were to successfully challenge the treatment of any such loans, our ability to meet the REIT asset tests and other REIT requirements could be adversely affected. Accordingly, there can be no assurance that we have met or will be able to continue to comply with the taxable REIT subsidiary 25% limitation.</w:t>
      </w:r>
    </w:p>
    <w:p>
      <w:pPr>
        <w:spacing w:after="0" w:line="144" w:lineRule="exact"/>
        <w:rPr>
          <w:sz w:val="20"/>
          <w:szCs w:val="20"/>
          <w:color w:val="auto"/>
        </w:rPr>
      </w:pPr>
    </w:p>
    <w:p>
      <w:pPr>
        <w:jc w:val="both"/>
        <w:ind w:firstLine="372"/>
        <w:spacing w:after="0" w:line="247" w:lineRule="auto"/>
        <w:rPr>
          <w:sz w:val="20"/>
          <w:szCs w:val="20"/>
          <w:color w:val="auto"/>
        </w:rPr>
      </w:pPr>
      <w:r>
        <w:rPr>
          <w:rFonts w:ascii="Arial" w:cs="Arial" w:eastAsia="Arial" w:hAnsi="Arial"/>
          <w:sz w:val="17"/>
          <w:szCs w:val="17"/>
          <w:color w:val="auto"/>
        </w:rPr>
        <w:t>In addition, we may from time to time need to make distributions from a taxable REIT subsidiary in order to keep the value of our taxable REIT subsidiaries below 25% of our total assets. However, taxable REIT subsidiary dividends will generally not constitute qualifying income for purposes of the 75% REIT gross income test. While we will monitor our compliance with both this income test and the limitation on the percentage of our total assets represented by taxable REIT subsidiary securities, and intend to conduct our affairs so as to comply with both, the two may at times be in conflict with one another. For example, it is possible that we may wish to distribute a dividend from a taxable REIT subsidiary in order to reduce the value of our taxable REIT subsidiaries below 25% of our assets, but we may be unable to do so without violating the 75% REIT gross income test.</w:t>
      </w:r>
    </w:p>
    <w:p>
      <w:pPr>
        <w:spacing w:after="0" w:line="146" w:lineRule="exact"/>
        <w:rPr>
          <w:sz w:val="20"/>
          <w:szCs w:val="20"/>
          <w:color w:val="auto"/>
        </w:rPr>
      </w:pPr>
    </w:p>
    <w:p>
      <w:pPr>
        <w:jc w:val="both"/>
        <w:ind w:firstLine="372"/>
        <w:spacing w:after="0" w:line="260" w:lineRule="auto"/>
        <w:rPr>
          <w:sz w:val="20"/>
          <w:szCs w:val="20"/>
          <w:color w:val="auto"/>
        </w:rPr>
      </w:pPr>
      <w:r>
        <w:rPr>
          <w:rFonts w:ascii="Arial" w:cs="Arial" w:eastAsia="Arial" w:hAnsi="Arial"/>
          <w:sz w:val="17"/>
          <w:szCs w:val="17"/>
          <w:color w:val="auto"/>
        </w:rPr>
        <w:t>Although there are other measures we can take in such circumstances in order to remain in compliance with the requirements for REIT qualification, there can be no assurance that we will be able to comply with both of these tests in all market conditions.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Investment Company Act exemption limits our investment discretion and loss of the exemption would adversely affect us.</w:t>
      </w:r>
    </w:p>
    <w:p>
      <w:pPr>
        <w:spacing w:after="0" w:line="164"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44"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 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and the market price of our securities.</w:t>
      </w:r>
    </w:p>
    <w:p>
      <w:pPr>
        <w:spacing w:after="0" w:line="97" w:lineRule="exact"/>
        <w:rPr>
          <w:sz w:val="20"/>
          <w:szCs w:val="20"/>
          <w:color w:val="auto"/>
        </w:rPr>
      </w:pPr>
    </w:p>
    <w:p>
      <w:pPr>
        <w:jc w:val="both"/>
        <w:spacing w:after="0" w:line="368" w:lineRule="auto"/>
        <w:rPr>
          <w:sz w:val="20"/>
          <w:szCs w:val="20"/>
          <w:color w:val="auto"/>
        </w:rPr>
      </w:pPr>
      <w:r>
        <w:rPr>
          <w:rFonts w:ascii="Arial" w:cs="Arial" w:eastAsia="Arial" w:hAnsi="Arial"/>
          <w:sz w:val="14"/>
          <w:szCs w:val="14"/>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65"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In light of the recent financial crisis, the Obama Administration, Congress and regulators have increased their focus on the regulation of the financial industry. New or modified regulations and related regulatory guidance, including under the Dodd-Frank Wall Street Reform Act, or the Dodd-Frank Act, may have unforeseen or unintended adverse effects on the financial industry. Laws, regulations or policies, including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3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In addition to the enactment of the Dodd-Frank Act, 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26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0" w:right="2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55"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 xml:space="preserve">The Company's principal executive and administrative offices are located at 1114 Avenue of the Americas, New York, NY 10036. Its telephone number, general facsimile number and web address are (212) 930-9400, (212) 930-9494 and </w:t>
      </w:r>
      <w:r>
        <w:rPr>
          <w:rFonts w:ascii="Arial" w:cs="Arial" w:eastAsia="Arial" w:hAnsi="Arial"/>
          <w:sz w:val="17"/>
          <w:szCs w:val="17"/>
          <w:i w:val="1"/>
          <w:iCs w:val="1"/>
          <w:color w:val="auto"/>
        </w:rPr>
        <w:t>www.istarfinancial.com</w:t>
      </w:r>
      <w:r>
        <w:rPr>
          <w:rFonts w:ascii="Arial" w:cs="Arial" w:eastAsia="Arial" w:hAnsi="Arial"/>
          <w:sz w:val="17"/>
          <w:szCs w:val="17"/>
          <w:color w:val="auto"/>
        </w:rPr>
        <w:t>, respectively. The lease for the Company's principal executive and administrative offices expires in February 2021. The Company's principal regional offices are located in Atlanta, Georgia; Dallas, Texas; Hartford, Connecticut; San Francisco, California and three offices in the Los Angeles, California metropolitan area.</w:t>
      </w:r>
    </w:p>
    <w:p>
      <w:pPr>
        <w:spacing w:after="0" w:line="23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See Item 1—"Net Leasing," "Operating Properties" and "Land" for a discussion of properties held by the Company for investment purposes and Item 8—"Financial Statements and Supplemental Data—Schedule III," for a detailed listing of such facilities.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0" w:right="2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68" w:lineRule="exact"/>
        <w:rPr>
          <w:sz w:val="20"/>
          <w:szCs w:val="20"/>
          <w:color w:val="auto"/>
        </w:rPr>
      </w:pPr>
    </w:p>
    <w:p>
      <w:pPr>
        <w:jc w:val="both"/>
        <w:ind w:firstLine="596"/>
        <w:spacing w:after="0" w:line="332" w:lineRule="auto"/>
        <w:rPr>
          <w:sz w:val="20"/>
          <w:szCs w:val="20"/>
          <w:color w:val="auto"/>
        </w:rPr>
      </w:pPr>
      <w:r>
        <w:rPr>
          <w:rFonts w:ascii="Arial" w:cs="Arial" w:eastAsia="Arial" w:hAnsi="Arial"/>
          <w:sz w:val="14"/>
          <w:szCs w:val="14"/>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 related proceedings. In addition to such matters, the Company or its subsidiaries is a party to, or any of their property is the subject of, the following pending legal proceedings.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Citiline Holdings, Inc., et al. v. iStar Financial, Inc., et al.</w:t>
      </w:r>
    </w:p>
    <w:p>
      <w:pPr>
        <w:spacing w:after="0" w:line="168"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6"/>
          <w:szCs w:val="16"/>
          <w:color w:val="auto"/>
        </w:rPr>
        <w:t>As previously reported, in April 2008, two putative class action complaints were filed in the United States District Court for the Southern District of New York alleging violations of federal securities laws by the Company and certain of its current and former executive officers in connection with the Company's December 13, 2007 public offering (the "Citiline Action"). On June 4, 2012, we reached an agreement in principle with the plaintiffs' Court-appointed representatives in the Citiline Action to settle the litigation. The parties to the Citiline Action have executed a final settlement stipulation, including releases of liability in favor of the defendants conditioned on final Court approval. On December 5, 2012, the Court issued an order preliminarily approving the settlement, certifying a class of persons (other than persons who timely and validly request exclusion from the class) entitled to participate in the settlement, approving the notice and proof of claim to be sent to all class members and scheduling a hearing to be held on April 5, 2013 for final approval of the settlement. The required settlement payments ($2.0 million contributed by us and the balance funded by our insurance carriers) have been deposited with an independent claims administrator. Notices of the proposed settlement and proof of claim forms have been mailed to all class members.</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Upon final Court approval of the settlement, the Citiline Action will be dismissed in its entirety with prejudice and the settlement will be final.</w:t>
      </w:r>
    </w:p>
    <w:p>
      <w:pPr>
        <w:spacing w:after="0" w:line="28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5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4"/>
          <w:szCs w:val="14"/>
          <w:b w:val="1"/>
          <w:bCs w:val="1"/>
          <w:color w:val="auto"/>
        </w:rPr>
        <w:t>Market for Registrant's Equity and Related Share Matters</w:t>
      </w:r>
    </w:p>
    <w:p>
      <w:pPr>
        <w:spacing w:after="0" w:line="255"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The Company's Common Stock trades on the New York Stock Exchange ("NYSE") under the symbol "SFI. " The high and low closing prices per share of Common Stock are set forth below for the periods indicated.</w:t>
      </w:r>
    </w:p>
    <w:p>
      <w:pPr>
        <w:spacing w:after="0" w:line="301" w:lineRule="exact"/>
        <w:rPr>
          <w:sz w:val="20"/>
          <w:szCs w:val="20"/>
          <w:color w:val="auto"/>
        </w:rPr>
      </w:pPr>
    </w:p>
    <w:tbl>
      <w:tblPr>
        <w:tblLayout w:type="fixed"/>
        <w:tblInd w:w="152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2012</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2011</w:t>
            </w:r>
          </w:p>
        </w:tc>
        <w:tc>
          <w:tcPr>
            <w:tcW w:w="640" w:type="dxa"/>
            <w:vAlign w:val="bottom"/>
            <w:tcBorders>
              <w:bottom w:val="single" w:sz="8" w:color="auto"/>
            </w:tcBorders>
          </w:tcPr>
          <w:p>
            <w:pPr>
              <w:spacing w:after="0"/>
              <w:rPr>
                <w:sz w:val="15"/>
                <w:szCs w:val="15"/>
                <w:color w:val="auto"/>
              </w:rPr>
            </w:pPr>
          </w:p>
        </w:tc>
      </w:tr>
      <w:tr>
        <w:trPr>
          <w:trHeight w:val="241"/>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Quarter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High</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Low</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High</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Low</w:t>
            </w:r>
          </w:p>
        </w:tc>
      </w:tr>
      <w:tr>
        <w:trPr>
          <w:trHeight w:val="220"/>
        </w:trPr>
        <w:tc>
          <w:tcPr>
            <w:tcW w:w="4700" w:type="dxa"/>
            <w:vAlign w:val="bottom"/>
            <w:gridSpan w:val="2"/>
          </w:tcPr>
          <w:p>
            <w:pPr>
              <w:ind w:left="20"/>
              <w:spacing w:after="0"/>
              <w:rPr>
                <w:sz w:val="20"/>
                <w:szCs w:val="20"/>
                <w:color w:val="auto"/>
              </w:rPr>
            </w:pPr>
            <w:r>
              <w:rPr>
                <w:rFonts w:ascii="Arial" w:cs="Arial" w:eastAsia="Arial" w:hAnsi="Arial"/>
                <w:sz w:val="17"/>
                <w:szCs w:val="17"/>
                <w:color w:val="auto"/>
              </w:rPr>
              <w:t>December 31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8.93</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5.09</w:t>
            </w:r>
          </w:p>
        </w:tc>
      </w:tr>
      <w:tr>
        <w:trPr>
          <w:trHeight w:val="26"/>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September 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22"/>
        </w:trPr>
        <w:tc>
          <w:tcPr>
            <w:tcW w:w="4700" w:type="dxa"/>
            <w:vAlign w:val="bottom"/>
            <w:gridSpan w:val="2"/>
          </w:tcPr>
          <w:p>
            <w:pPr>
              <w:ind w:left="20"/>
              <w:spacing w:after="0"/>
              <w:rPr>
                <w:sz w:val="20"/>
                <w:szCs w:val="20"/>
                <w:color w:val="auto"/>
              </w:rPr>
            </w:pPr>
            <w:r>
              <w:rPr>
                <w:rFonts w:ascii="Arial" w:cs="Arial" w:eastAsia="Arial" w:hAnsi="Arial"/>
                <w:sz w:val="17"/>
                <w:szCs w:val="17"/>
                <w:color w:val="auto"/>
              </w:rPr>
              <w:t>June 30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9.62</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7.35</w:t>
            </w:r>
          </w:p>
        </w:tc>
      </w:tr>
      <w:tr>
        <w:trPr>
          <w:trHeight w:val="26"/>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31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r>
      <w:tr>
        <w:trPr>
          <w:trHeight w:val="26"/>
        </w:trPr>
        <w:tc>
          <w:tcPr>
            <w:tcW w:w="4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On February 22, 2013, the closing sale price of the Common Stock as reported by the NYSE was $10.10. The Company had 2,388 holders of record of Common Stock as of February 22, 2013.</w:t>
      </w:r>
    </w:p>
    <w:p>
      <w:pPr>
        <w:spacing w:after="0" w:line="222" w:lineRule="exact"/>
        <w:rPr>
          <w:sz w:val="20"/>
          <w:szCs w:val="20"/>
          <w:color w:val="auto"/>
        </w:rPr>
      </w:pPr>
    </w:p>
    <w:p>
      <w:pPr>
        <w:jc w:val="both"/>
        <w:ind w:firstLine="397"/>
        <w:spacing w:after="0" w:line="368" w:lineRule="auto"/>
        <w:rPr>
          <w:sz w:val="20"/>
          <w:szCs w:val="20"/>
          <w:color w:val="auto"/>
        </w:rPr>
      </w:pPr>
      <w:r>
        <w:rPr>
          <w:rFonts w:ascii="Arial" w:cs="Arial" w:eastAsia="Arial" w:hAnsi="Arial"/>
          <w:sz w:val="14"/>
          <w:szCs w:val="14"/>
          <w:color w:val="auto"/>
        </w:rPr>
        <w:t>At December 31, 2012, the Company had five series of preferred stock outstanding: 8.000% Series D Preferred Stock, 7.875% Series E Preferred Stock, 7.8% Series F Preferred Stock, 7.65% Series G Preferred Stock and 7.50% Series I Preferred Stock. Each of the Series D, E, F, G and I preferred stock is publicly traded.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5"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The Board of Directors has not established any minimum distribution level. In order to maintain its qualification as a REIT, the Company intends to pay dividends to its shareholders that, on an annual basis, will represent at least 90% of its taxable income (which may not necessarily equal net income as calculated in accordance with GAAP), determined without regard to the deduction for dividends paid and excluding any net capital gains.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0" w:right="239" w:bottom="1440" w:gutter="0" w:footer="0" w:header="0"/>
        </w:sectPr>
      </w:pPr>
    </w:p>
    <w:bookmarkStart w:id="25" w:name="page26"/>
    <w:bookmarkEnd w:id="25"/>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jc w:val="both"/>
        <w:ind w:left="1" w:firstLine="397"/>
        <w:spacing w:after="0" w:line="308" w:lineRule="auto"/>
        <w:rPr>
          <w:sz w:val="20"/>
          <w:szCs w:val="20"/>
          <w:color w:val="auto"/>
        </w:rPr>
      </w:pPr>
      <w:r>
        <w:rPr>
          <w:rFonts w:ascii="Arial" w:cs="Arial" w:eastAsia="Arial" w:hAnsi="Arial"/>
          <w:sz w:val="14"/>
          <w:szCs w:val="14"/>
          <w:color w:val="auto"/>
        </w:rPr>
        <w:t>Holders of Common Stock, vested High Performance Units and certain unvested restricted stock units and common share equivalents will be entitled to receive distributions if, as and when the Board of Directors authorizes and declares distributions. However, rights to distributions may be subordinated to the rights of holders of preferred stock, when preferred stock is issued and outstanding. In addition, the Company's Secured Credit Facilities (see Item 8—"Financial Statements and Supplemental Data—Note 8") permit the Company to distribute 100% of its REIT taxable income on an annual basis, for so long as the Company maintains its qualification as a REIT. The Secured Credit Facilities generally restrict the Company from paying any common dividends if it ceases to qualify as a REIT. In any liquidation, dissolution or winding up of the Company, each outstanding share of Common Stock and HPU share equivalent will entitle its holder to a proportionate share of the assets that remain after the Company pays its liabilities and any preferential distributions owed to preferred shareholders.</w:t>
      </w:r>
    </w:p>
    <w:p>
      <w:pPr>
        <w:spacing w:after="0" w:line="192" w:lineRule="exact"/>
        <w:rPr>
          <w:sz w:val="20"/>
          <w:szCs w:val="20"/>
          <w:color w:val="auto"/>
        </w:rPr>
      </w:pPr>
    </w:p>
    <w:p>
      <w:pPr>
        <w:jc w:val="both"/>
        <w:ind w:left="1" w:firstLine="397"/>
        <w:spacing w:after="0" w:line="332" w:lineRule="auto"/>
        <w:rPr>
          <w:sz w:val="20"/>
          <w:szCs w:val="20"/>
          <w:color w:val="auto"/>
        </w:rPr>
      </w:pPr>
      <w:r>
        <w:rPr>
          <w:rFonts w:ascii="Arial" w:cs="Arial" w:eastAsia="Arial" w:hAnsi="Arial"/>
          <w:sz w:val="14"/>
          <w:szCs w:val="14"/>
          <w:color w:val="auto"/>
        </w:rPr>
        <w:t>The Company did not declare or pay dividends on its Common Stock for the years ended December 31, 2012 and 2011. The Company declared and paid dividends of $8.0 million, $11.0 million, $7.8 million, $6.1 million and $9.4 million on its Series D, E, F, G and I preferred stock, respectively, for each of the years ended December 31, 2012 and 2011, all of which qualified as return of capital for tax reporting purposes. There are no dividend arrearages on any of the preferred shares currently outstanding.</w:t>
      </w:r>
    </w:p>
    <w:p>
      <w:pPr>
        <w:spacing w:after="0" w:line="176"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Distributions to shareholders will generally be taxable as ordinary income, although all or a portion of such distributions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pacing w:after="0" w:line="228" w:lineRule="exact"/>
        <w:rPr>
          <w:sz w:val="20"/>
          <w:szCs w:val="20"/>
          <w:color w:val="auto"/>
        </w:rPr>
      </w:pPr>
    </w:p>
    <w:p>
      <w:pPr>
        <w:jc w:val="both"/>
        <w:ind w:left="1" w:firstLine="397"/>
        <w:spacing w:after="0" w:line="249" w:lineRule="auto"/>
        <w:rPr>
          <w:sz w:val="20"/>
          <w:szCs w:val="20"/>
          <w:color w:val="auto"/>
        </w:rPr>
      </w:pPr>
      <w:r>
        <w:rPr>
          <w:rFonts w:ascii="Arial" w:cs="Arial" w:eastAsia="Arial" w:hAnsi="Arial"/>
          <w:sz w:val="17"/>
          <w:szCs w:val="17"/>
          <w:color w:val="auto"/>
        </w:rPr>
        <w:t>No assurance can be given as to the amounts or timing of future distributions, as such distributions are subject to the Company's taxable income after giving effect to its net operating loss carryforwards, financial condition, capital requirements, debt covenants, any change in the Company's intention to maintain its REIT qualification and such other factors as the Company's Board of Directors deems relevant. The Company may elect to satisfy some of its 2012 REIT distribution requirements, if any, through qualifying stock dividends.</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Disclosure of Equity Compensation Plan Information</w:t>
      </w:r>
    </w:p>
    <w:p>
      <w:pPr>
        <w:spacing w:after="0" w:line="259" w:lineRule="exact"/>
        <w:rPr>
          <w:sz w:val="20"/>
          <w:szCs w:val="20"/>
          <w:color w:val="auto"/>
        </w:rPr>
      </w:pPr>
    </w:p>
    <w:tbl>
      <w:tblPr>
        <w:tblLayout w:type="fixed"/>
        <w:tblInd w:w="1501" w:type="dxa"/>
        <w:tblCellMar>
          <w:top w:w="0" w:type="dxa"/>
          <w:left w:w="0" w:type="dxa"/>
          <w:bottom w:w="0" w:type="dxa"/>
          <w:right w:w="0" w:type="dxa"/>
        </w:tblCellMar>
      </w:tblPr>
      <w:tr>
        <w:trPr>
          <w:trHeight w:val="149"/>
        </w:trPr>
        <w:tc>
          <w:tcPr>
            <w:tcW w:w="18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40" w:type="dxa"/>
            <w:vAlign w:val="bottom"/>
          </w:tcPr>
          <w:p>
            <w:pPr>
              <w:jc w:val="center"/>
              <w:ind w:left="294"/>
              <w:spacing w:after="0"/>
              <w:rPr>
                <w:sz w:val="20"/>
                <w:szCs w:val="20"/>
                <w:color w:val="auto"/>
              </w:rPr>
            </w:pPr>
            <w:r>
              <w:rPr>
                <w:rFonts w:ascii="Arial" w:cs="Arial" w:eastAsia="Arial" w:hAnsi="Arial"/>
                <w:sz w:val="13"/>
                <w:szCs w:val="13"/>
                <w:b w:val="1"/>
                <w:bCs w:val="1"/>
                <w:color w:val="auto"/>
              </w:rPr>
              <w:t>(c)</w:t>
            </w:r>
          </w:p>
        </w:tc>
      </w:tr>
      <w:tr>
        <w:trPr>
          <w:trHeight w:val="137"/>
        </w:trPr>
        <w:tc>
          <w:tcPr>
            <w:tcW w:w="18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40" w:type="dxa"/>
            <w:vAlign w:val="bottom"/>
          </w:tcPr>
          <w:p>
            <w:pPr>
              <w:jc w:val="center"/>
              <w:ind w:left="294"/>
              <w:spacing w:after="0" w:line="137" w:lineRule="exact"/>
              <w:rPr>
                <w:sz w:val="20"/>
                <w:szCs w:val="20"/>
                <w:color w:val="auto"/>
              </w:rPr>
            </w:pPr>
            <w:r>
              <w:rPr>
                <w:rFonts w:ascii="Arial" w:cs="Arial" w:eastAsia="Arial" w:hAnsi="Arial"/>
                <w:sz w:val="13"/>
                <w:szCs w:val="13"/>
                <w:b w:val="1"/>
                <w:bCs w:val="1"/>
                <w:color w:val="auto"/>
                <w:w w:val="89"/>
              </w:rPr>
              <w:t>Number of securities</w:t>
            </w:r>
          </w:p>
        </w:tc>
      </w:tr>
      <w:tr>
        <w:trPr>
          <w:trHeight w:val="137"/>
        </w:trPr>
        <w:tc>
          <w:tcPr>
            <w:tcW w:w="1800" w:type="dxa"/>
            <w:vAlign w:val="bottom"/>
          </w:tcPr>
          <w:p>
            <w:pPr>
              <w:spacing w:after="0"/>
              <w:rPr>
                <w:sz w:val="11"/>
                <w:szCs w:val="11"/>
                <w:color w:val="auto"/>
              </w:rPr>
            </w:pPr>
          </w:p>
        </w:tc>
        <w:tc>
          <w:tcPr>
            <w:tcW w:w="2600" w:type="dxa"/>
            <w:vAlign w:val="bottom"/>
          </w:tcPr>
          <w:p>
            <w:pPr>
              <w:jc w:val="center"/>
              <w:ind w:left="534"/>
              <w:spacing w:after="0" w:line="137" w:lineRule="exact"/>
              <w:rPr>
                <w:sz w:val="20"/>
                <w:szCs w:val="20"/>
                <w:color w:val="auto"/>
              </w:rPr>
            </w:pPr>
            <w:r>
              <w:rPr>
                <w:rFonts w:ascii="Arial" w:cs="Arial" w:eastAsia="Arial" w:hAnsi="Arial"/>
                <w:sz w:val="13"/>
                <w:szCs w:val="13"/>
                <w:b w:val="1"/>
                <w:bCs w:val="1"/>
                <w:color w:val="auto"/>
              </w:rPr>
              <w:t>(a)</w:t>
            </w:r>
          </w:p>
        </w:tc>
        <w:tc>
          <w:tcPr>
            <w:tcW w:w="18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6"/>
              </w:rPr>
              <w:t>(b)</w:t>
            </w:r>
          </w:p>
        </w:tc>
        <w:tc>
          <w:tcPr>
            <w:tcW w:w="1840" w:type="dxa"/>
            <w:vAlign w:val="bottom"/>
          </w:tcPr>
          <w:p>
            <w:pPr>
              <w:jc w:val="center"/>
              <w:ind w:left="294"/>
              <w:spacing w:after="0" w:line="137" w:lineRule="exact"/>
              <w:rPr>
                <w:sz w:val="20"/>
                <w:szCs w:val="20"/>
                <w:color w:val="auto"/>
              </w:rPr>
            </w:pPr>
            <w:r>
              <w:rPr>
                <w:rFonts w:ascii="Arial" w:cs="Arial" w:eastAsia="Arial" w:hAnsi="Arial"/>
                <w:sz w:val="13"/>
                <w:szCs w:val="13"/>
                <w:b w:val="1"/>
                <w:bCs w:val="1"/>
                <w:color w:val="auto"/>
                <w:w w:val="93"/>
              </w:rPr>
              <w:t>remaining available for</w:t>
            </w:r>
          </w:p>
        </w:tc>
      </w:tr>
      <w:tr>
        <w:trPr>
          <w:trHeight w:val="137"/>
        </w:trPr>
        <w:tc>
          <w:tcPr>
            <w:tcW w:w="1800" w:type="dxa"/>
            <w:vAlign w:val="bottom"/>
          </w:tcPr>
          <w:p>
            <w:pPr>
              <w:spacing w:after="0"/>
              <w:rPr>
                <w:sz w:val="11"/>
                <w:szCs w:val="11"/>
                <w:color w:val="auto"/>
              </w:rPr>
            </w:pPr>
          </w:p>
        </w:tc>
        <w:tc>
          <w:tcPr>
            <w:tcW w:w="2600" w:type="dxa"/>
            <w:vAlign w:val="bottom"/>
          </w:tcPr>
          <w:p>
            <w:pPr>
              <w:jc w:val="center"/>
              <w:ind w:left="534"/>
              <w:spacing w:after="0" w:line="137" w:lineRule="exact"/>
              <w:rPr>
                <w:sz w:val="20"/>
                <w:szCs w:val="20"/>
                <w:color w:val="auto"/>
              </w:rPr>
            </w:pPr>
            <w:r>
              <w:rPr>
                <w:rFonts w:ascii="Arial" w:cs="Arial" w:eastAsia="Arial" w:hAnsi="Arial"/>
                <w:sz w:val="13"/>
                <w:szCs w:val="13"/>
                <w:b w:val="1"/>
                <w:bCs w:val="1"/>
                <w:color w:val="auto"/>
                <w:w w:val="90"/>
              </w:rPr>
              <w:t>Number of securities to</w:t>
            </w:r>
          </w:p>
        </w:tc>
        <w:tc>
          <w:tcPr>
            <w:tcW w:w="18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Weighted-average</w:t>
            </w:r>
          </w:p>
        </w:tc>
        <w:tc>
          <w:tcPr>
            <w:tcW w:w="1840" w:type="dxa"/>
            <w:vAlign w:val="bottom"/>
          </w:tcPr>
          <w:p>
            <w:pPr>
              <w:jc w:val="center"/>
              <w:ind w:left="294"/>
              <w:spacing w:after="0" w:line="137" w:lineRule="exact"/>
              <w:rPr>
                <w:sz w:val="20"/>
                <w:szCs w:val="20"/>
                <w:color w:val="auto"/>
              </w:rPr>
            </w:pPr>
            <w:r>
              <w:rPr>
                <w:rFonts w:ascii="Arial" w:cs="Arial" w:eastAsia="Arial" w:hAnsi="Arial"/>
                <w:sz w:val="13"/>
                <w:szCs w:val="13"/>
                <w:b w:val="1"/>
                <w:bCs w:val="1"/>
                <w:color w:val="auto"/>
                <w:w w:val="91"/>
              </w:rPr>
              <w:t>future issuance under</w:t>
            </w:r>
          </w:p>
        </w:tc>
      </w:tr>
      <w:tr>
        <w:trPr>
          <w:trHeight w:val="137"/>
        </w:trPr>
        <w:tc>
          <w:tcPr>
            <w:tcW w:w="1800" w:type="dxa"/>
            <w:vAlign w:val="bottom"/>
          </w:tcPr>
          <w:p>
            <w:pPr>
              <w:spacing w:after="0"/>
              <w:rPr>
                <w:sz w:val="11"/>
                <w:szCs w:val="11"/>
                <w:color w:val="auto"/>
              </w:rPr>
            </w:pPr>
          </w:p>
        </w:tc>
        <w:tc>
          <w:tcPr>
            <w:tcW w:w="2600" w:type="dxa"/>
            <w:vAlign w:val="bottom"/>
          </w:tcPr>
          <w:p>
            <w:pPr>
              <w:jc w:val="center"/>
              <w:ind w:left="514"/>
              <w:spacing w:after="0" w:line="137" w:lineRule="exact"/>
              <w:rPr>
                <w:sz w:val="20"/>
                <w:szCs w:val="20"/>
                <w:color w:val="auto"/>
              </w:rPr>
            </w:pPr>
            <w:r>
              <w:rPr>
                <w:rFonts w:ascii="Arial" w:cs="Arial" w:eastAsia="Arial" w:hAnsi="Arial"/>
                <w:sz w:val="13"/>
                <w:szCs w:val="13"/>
                <w:b w:val="1"/>
                <w:bCs w:val="1"/>
                <w:color w:val="auto"/>
                <w:w w:val="86"/>
              </w:rPr>
              <w:t>be issued upon exercise</w:t>
            </w:r>
          </w:p>
        </w:tc>
        <w:tc>
          <w:tcPr>
            <w:tcW w:w="18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exercise price of</w:t>
            </w:r>
          </w:p>
        </w:tc>
        <w:tc>
          <w:tcPr>
            <w:tcW w:w="1840" w:type="dxa"/>
            <w:vAlign w:val="bottom"/>
          </w:tcPr>
          <w:p>
            <w:pPr>
              <w:jc w:val="center"/>
              <w:ind w:left="294"/>
              <w:spacing w:after="0" w:line="137" w:lineRule="exact"/>
              <w:rPr>
                <w:sz w:val="20"/>
                <w:szCs w:val="20"/>
                <w:color w:val="auto"/>
              </w:rPr>
            </w:pPr>
            <w:r>
              <w:rPr>
                <w:rFonts w:ascii="Arial" w:cs="Arial" w:eastAsia="Arial" w:hAnsi="Arial"/>
                <w:sz w:val="13"/>
                <w:szCs w:val="13"/>
                <w:b w:val="1"/>
                <w:bCs w:val="1"/>
                <w:color w:val="auto"/>
                <w:w w:val="88"/>
              </w:rPr>
              <w:t>equity compensation plans</w:t>
            </w:r>
          </w:p>
        </w:tc>
      </w:tr>
      <w:tr>
        <w:trPr>
          <w:trHeight w:val="137"/>
        </w:trPr>
        <w:tc>
          <w:tcPr>
            <w:tcW w:w="1800" w:type="dxa"/>
            <w:vAlign w:val="bottom"/>
          </w:tcPr>
          <w:p>
            <w:pPr>
              <w:spacing w:after="0"/>
              <w:rPr>
                <w:sz w:val="11"/>
                <w:szCs w:val="11"/>
                <w:color w:val="auto"/>
              </w:rPr>
            </w:pPr>
          </w:p>
        </w:tc>
        <w:tc>
          <w:tcPr>
            <w:tcW w:w="2600" w:type="dxa"/>
            <w:vAlign w:val="bottom"/>
          </w:tcPr>
          <w:p>
            <w:pPr>
              <w:jc w:val="center"/>
              <w:ind w:left="534"/>
              <w:spacing w:after="0" w:line="137" w:lineRule="exact"/>
              <w:rPr>
                <w:sz w:val="20"/>
                <w:szCs w:val="20"/>
                <w:color w:val="auto"/>
              </w:rPr>
            </w:pPr>
            <w:r>
              <w:rPr>
                <w:rFonts w:ascii="Arial" w:cs="Arial" w:eastAsia="Arial" w:hAnsi="Arial"/>
                <w:sz w:val="13"/>
                <w:szCs w:val="13"/>
                <w:b w:val="1"/>
                <w:bCs w:val="1"/>
                <w:color w:val="auto"/>
                <w:w w:val="88"/>
              </w:rPr>
              <w:t>of outstanding options,</w:t>
            </w:r>
          </w:p>
        </w:tc>
        <w:tc>
          <w:tcPr>
            <w:tcW w:w="18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outstanding options,</w:t>
            </w:r>
          </w:p>
        </w:tc>
        <w:tc>
          <w:tcPr>
            <w:tcW w:w="1840" w:type="dxa"/>
            <w:vAlign w:val="bottom"/>
          </w:tcPr>
          <w:p>
            <w:pPr>
              <w:jc w:val="center"/>
              <w:ind w:left="294"/>
              <w:spacing w:after="0" w:line="137" w:lineRule="exact"/>
              <w:rPr>
                <w:sz w:val="20"/>
                <w:szCs w:val="20"/>
                <w:color w:val="auto"/>
              </w:rPr>
            </w:pPr>
            <w:r>
              <w:rPr>
                <w:rFonts w:ascii="Arial" w:cs="Arial" w:eastAsia="Arial" w:hAnsi="Arial"/>
                <w:sz w:val="13"/>
                <w:szCs w:val="13"/>
                <w:b w:val="1"/>
                <w:bCs w:val="1"/>
                <w:color w:val="auto"/>
                <w:w w:val="89"/>
              </w:rPr>
              <w:t>(excluding securities</w:t>
            </w:r>
          </w:p>
        </w:tc>
      </w:tr>
      <w:tr>
        <w:trPr>
          <w:trHeight w:val="170"/>
        </w:trPr>
        <w:tc>
          <w:tcPr>
            <w:tcW w:w="1800" w:type="dxa"/>
            <w:vAlign w:val="bottom"/>
          </w:tcPr>
          <w:p>
            <w:pPr>
              <w:spacing w:after="0"/>
              <w:rPr>
                <w:sz w:val="20"/>
                <w:szCs w:val="20"/>
                <w:color w:val="auto"/>
              </w:rPr>
            </w:pPr>
            <w:r>
              <w:rPr>
                <w:rFonts w:ascii="Arial" w:cs="Arial" w:eastAsia="Arial" w:hAnsi="Arial"/>
                <w:sz w:val="13"/>
                <w:szCs w:val="13"/>
                <w:b w:val="1"/>
                <w:bCs w:val="1"/>
                <w:color w:val="auto"/>
              </w:rPr>
              <w:t>Plans Category</w:t>
            </w:r>
          </w:p>
        </w:tc>
        <w:tc>
          <w:tcPr>
            <w:tcW w:w="2600" w:type="dxa"/>
            <w:vAlign w:val="bottom"/>
          </w:tcPr>
          <w:p>
            <w:pPr>
              <w:jc w:val="center"/>
              <w:ind w:left="534"/>
              <w:spacing w:after="0"/>
              <w:rPr>
                <w:sz w:val="20"/>
                <w:szCs w:val="20"/>
                <w:color w:val="auto"/>
              </w:rPr>
            </w:pPr>
            <w:r>
              <w:rPr>
                <w:rFonts w:ascii="Arial" w:cs="Arial" w:eastAsia="Arial" w:hAnsi="Arial"/>
                <w:sz w:val="13"/>
                <w:szCs w:val="13"/>
                <w:b w:val="1"/>
                <w:bCs w:val="1"/>
                <w:color w:val="auto"/>
                <w:w w:val="92"/>
              </w:rPr>
              <w:t>warrants and rights</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2"/>
              </w:rPr>
              <w:t>warrants and rights</w:t>
            </w:r>
          </w:p>
        </w:tc>
        <w:tc>
          <w:tcPr>
            <w:tcW w:w="1840" w:type="dxa"/>
            <w:vAlign w:val="bottom"/>
          </w:tcPr>
          <w:p>
            <w:pPr>
              <w:jc w:val="center"/>
              <w:ind w:left="294"/>
              <w:spacing w:after="0"/>
              <w:rPr>
                <w:sz w:val="20"/>
                <w:szCs w:val="20"/>
                <w:color w:val="auto"/>
              </w:rPr>
            </w:pPr>
            <w:r>
              <w:rPr>
                <w:rFonts w:ascii="Arial" w:cs="Arial" w:eastAsia="Arial" w:hAnsi="Arial"/>
                <w:sz w:val="13"/>
                <w:szCs w:val="13"/>
                <w:b w:val="1"/>
                <w:bCs w:val="1"/>
                <w:color w:val="auto"/>
                <w:w w:val="92"/>
              </w:rPr>
              <w:t>reflected in column (a))</w:t>
            </w:r>
          </w:p>
        </w:tc>
      </w:tr>
    </w:tbl>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148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Equity compensation plans</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r>
      <w:tr>
        <w:trPr>
          <w:trHeight w:val="199"/>
        </w:trPr>
        <w:tc>
          <w:tcPr>
            <w:tcW w:w="1480" w:type="dxa"/>
            <w:vAlign w:val="bottom"/>
          </w:tcPr>
          <w:p>
            <w:pPr>
              <w:spacing w:after="0"/>
              <w:rPr>
                <w:sz w:val="17"/>
                <w:szCs w:val="17"/>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approved by security holders-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16"/>
        </w:trPr>
        <w:tc>
          <w:tcPr>
            <w:tcW w:w="1480" w:type="dxa"/>
            <w:vAlign w:val="bottom"/>
          </w:tcPr>
          <w:p>
            <w:pPr>
              <w:spacing w:after="0"/>
              <w:rPr>
                <w:sz w:val="18"/>
                <w:szCs w:val="18"/>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awards(1)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5,660,843</w:t>
            </w:r>
          </w:p>
        </w:tc>
        <w:tc>
          <w:tcPr>
            <w:tcW w:w="1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7"/>
                <w:szCs w:val="17"/>
                <w:color w:val="auto"/>
              </w:rPr>
              <w:t>N/A</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4,135,419</w:t>
            </w:r>
          </w:p>
        </w:tc>
      </w:tr>
      <w:tr>
        <w:trPr>
          <w:trHeight w:val="292"/>
        </w:trPr>
        <w:tc>
          <w:tcPr>
            <w:tcW w:w="3940" w:type="dxa"/>
            <w:vAlign w:val="bottom"/>
            <w:gridSpan w:val="3"/>
          </w:tcPr>
          <w:p>
            <w:pPr>
              <w:spacing w:after="0"/>
              <w:rPr>
                <w:sz w:val="20"/>
                <w:szCs w:val="20"/>
                <w:color w:val="auto"/>
              </w:rPr>
            </w:pPr>
            <w:r>
              <w:rPr>
                <w:rFonts w:ascii="Arial" w:cs="Arial" w:eastAsia="Arial" w:hAnsi="Arial"/>
                <w:sz w:val="13"/>
                <w:szCs w:val="13"/>
                <w:b w:val="1"/>
                <w:bCs w:val="1"/>
                <w:color w:val="auto"/>
              </w:rPr>
              <w:t>Explanatory Note: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601" w:hanging="601"/>
        <w:spacing w:after="0" w:line="242" w:lineRule="auto"/>
        <w:tabs>
          <w:tab w:leader="none" w:pos="601"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Restricted Stock—The amount shown in column (a) includes 5,276,092 unvested restricted stock units which may vest in the future based on the employees' continued service to the Company. None of these unvested units are included in the Company's outstanding share balance (see Item 8—"Financial Statements and Supplementary Data—Note 12" for a more detailed description of the Company's restricted stock grants). Substantially all of the restricted stock units included in column (a) are required to be settled on a net, after-tax basis (after deducting shares for minimum required statutory withholdings); therefore, the actual number of shares issued will be less than the gross amount of the awards. The amounts shown in column (a) also includes 384,751 of common stock equivalents and restricted stock awarded to our non-employee directors in consideration of their service to us as directors. Common stock equivalents represent rights to receive shares of Common Stock at the date the common stock equivalents are settled. Common stock equivalents have dividend equivalent rights beginning on the date of grant. The amount in column (c) represents the aggregate amount of stock options, shares of restricted stock awards or other performance awards that could be granted under compensation plans approved by the Company's security holders after giving effect to previously issued awards of stock options, shares of restricted stock and other performance awards (see Item 8—"Financial Statements and Supplementary Data—Note 12" for a more detailed description of the Company's Long-Term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1"/>
          </w:cols>
          <w:pgMar w:left="239" w:top="120" w:right="2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255" w:lineRule="exact"/>
        <w:rPr>
          <w:sz w:val="20"/>
          <w:szCs w:val="20"/>
          <w:color w:val="auto"/>
        </w:rPr>
      </w:pPr>
    </w:p>
    <w:p>
      <w:pPr>
        <w:jc w:val="both"/>
        <w:ind w:firstLine="397"/>
        <w:spacing w:after="0" w:line="275" w:lineRule="auto"/>
        <w:rPr>
          <w:sz w:val="20"/>
          <w:szCs w:val="20"/>
          <w:color w:val="auto"/>
        </w:rPr>
      </w:pPr>
      <w:r>
        <w:rPr>
          <w:rFonts w:ascii="Arial" w:cs="Arial" w:eastAsia="Arial" w:hAnsi="Arial"/>
          <w:sz w:val="16"/>
          <w:szCs w:val="16"/>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 Certain prior year amounts have been reclassified to conform to the 2012 presentation as set forth in Item 8—"Financial Statements and Supplementary Data—Note 2."</w:t>
      </w:r>
    </w:p>
    <w:p>
      <w:pPr>
        <w:spacing w:after="0" w:line="200" w:lineRule="exact"/>
        <w:rPr>
          <w:sz w:val="20"/>
          <w:szCs w:val="20"/>
          <w:color w:val="auto"/>
        </w:rPr>
      </w:pPr>
    </w:p>
    <w:p>
      <w:pPr>
        <w:spacing w:after="0" w:line="215" w:lineRule="exact"/>
        <w:rPr>
          <w:sz w:val="20"/>
          <w:szCs w:val="20"/>
          <w:color w:val="auto"/>
        </w:rPr>
      </w:pPr>
    </w:p>
    <w:tbl>
      <w:tblPr>
        <w:tblLayout w:type="fixed"/>
        <w:tblInd w:w="148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center"/>
              <w:ind w:left="394"/>
              <w:spacing w:after="0"/>
              <w:rPr>
                <w:sz w:val="20"/>
                <w:szCs w:val="20"/>
                <w:color w:val="auto"/>
              </w:rPr>
            </w:pPr>
            <w:r>
              <w:rPr>
                <w:rFonts w:ascii="Arial" w:cs="Arial" w:eastAsia="Arial" w:hAnsi="Arial"/>
                <w:sz w:val="13"/>
                <w:szCs w:val="13"/>
                <w:b w:val="1"/>
                <w:bCs w:val="1"/>
                <w:color w:val="auto"/>
                <w:w w:val="92"/>
              </w:rPr>
              <w:t>For the Years Ended December 31,</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2008</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8"/>
          </w:tcPr>
          <w:p>
            <w:pPr>
              <w:jc w:val="center"/>
              <w:ind w:right="320"/>
              <w:spacing w:after="0"/>
              <w:rPr>
                <w:sz w:val="20"/>
                <w:szCs w:val="20"/>
                <w:color w:val="auto"/>
              </w:rPr>
            </w:pPr>
            <w:r>
              <w:rPr>
                <w:rFonts w:ascii="Arial" w:cs="Arial" w:eastAsia="Arial" w:hAnsi="Arial"/>
                <w:sz w:val="13"/>
                <w:szCs w:val="13"/>
                <w:b w:val="1"/>
                <w:bCs w:val="1"/>
                <w:color w:val="auto"/>
                <w:w w:val="91"/>
              </w:rPr>
              <w:t>(In thousands, except per share data and ratios)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DATA:</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620" w:type="dxa"/>
            <w:vAlign w:val="bottom"/>
          </w:tcPr>
          <w:p>
            <w:pPr>
              <w:ind w:left="40"/>
              <w:spacing w:after="0"/>
              <w:rPr>
                <w:sz w:val="20"/>
                <w:szCs w:val="20"/>
                <w:color w:val="auto"/>
              </w:rPr>
            </w:pPr>
            <w:r>
              <w:rPr>
                <w:rFonts w:ascii="Arial" w:cs="Arial" w:eastAsia="Arial" w:hAnsi="Arial"/>
                <w:sz w:val="13"/>
                <w:szCs w:val="13"/>
                <w:color w:val="auto"/>
              </w:rPr>
              <w:t>Operating lease income</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219,019</w:t>
            </w:r>
          </w:p>
        </w:tc>
        <w:tc>
          <w:tcPr>
            <w:tcW w:w="100" w:type="dxa"/>
            <w:vAlign w:val="bottom"/>
          </w:tcPr>
          <w:p>
            <w:pPr>
              <w:spacing w:after="0"/>
              <w:rPr>
                <w:sz w:val="21"/>
                <w:szCs w:val="21"/>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198,478</w:t>
            </w:r>
          </w:p>
        </w:tc>
        <w:tc>
          <w:tcPr>
            <w:tcW w:w="100" w:type="dxa"/>
            <w:vAlign w:val="bottom"/>
          </w:tcPr>
          <w:p>
            <w:pPr>
              <w:spacing w:after="0"/>
              <w:rPr>
                <w:sz w:val="21"/>
                <w:szCs w:val="21"/>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186,630</w:t>
            </w:r>
          </w:p>
        </w:tc>
        <w:tc>
          <w:tcPr>
            <w:tcW w:w="100" w:type="dxa"/>
            <w:vAlign w:val="bottom"/>
          </w:tcPr>
          <w:p>
            <w:pPr>
              <w:spacing w:after="0"/>
              <w:rPr>
                <w:sz w:val="21"/>
                <w:szCs w:val="21"/>
                <w:color w:val="auto"/>
              </w:rPr>
            </w:pPr>
          </w:p>
        </w:tc>
        <w:tc>
          <w:tcPr>
            <w:tcW w:w="3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186,082</w:t>
            </w:r>
          </w:p>
        </w:tc>
        <w:tc>
          <w:tcPr>
            <w:tcW w:w="100" w:type="dxa"/>
            <w:vAlign w:val="bottom"/>
          </w:tcPr>
          <w:p>
            <w:pPr>
              <w:spacing w:after="0"/>
              <w:rPr>
                <w:sz w:val="21"/>
                <w:szCs w:val="21"/>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186,946</w:t>
            </w: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income</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133,410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226,871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557,809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947,661</w:t>
            </w: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income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48,043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39,720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50,733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32,442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100,292</w:t>
            </w:r>
          </w:p>
        </w:tc>
        <w:tc>
          <w:tcPr>
            <w:tcW w:w="0" w:type="dxa"/>
            <w:vAlign w:val="bottom"/>
          </w:tcPr>
          <w:p>
            <w:pPr>
              <w:spacing w:after="0"/>
              <w:rPr>
                <w:sz w:val="1"/>
                <w:szCs w:val="1"/>
                <w:color w:val="auto"/>
              </w:rPr>
            </w:pPr>
          </w:p>
        </w:tc>
      </w:tr>
      <w:tr>
        <w:trPr>
          <w:trHeight w:val="228"/>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revenue</w:t>
            </w: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400,472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465,069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601,457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776,333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1,234,899</w:t>
            </w:r>
          </w:p>
        </w:tc>
        <w:tc>
          <w:tcPr>
            <w:tcW w:w="0" w:type="dxa"/>
            <w:vAlign w:val="bottom"/>
          </w:tcPr>
          <w:p>
            <w:pPr>
              <w:spacing w:after="0"/>
              <w:rPr>
                <w:sz w:val="1"/>
                <w:szCs w:val="1"/>
                <w:color w:val="auto"/>
              </w:rPr>
            </w:pPr>
          </w:p>
        </w:tc>
      </w:tr>
      <w:tr>
        <w:trPr>
          <w:trHeight w:val="228"/>
        </w:trPr>
        <w:tc>
          <w:tcPr>
            <w:tcW w:w="2620" w:type="dxa"/>
            <w:vAlign w:val="bottom"/>
          </w:tcPr>
          <w:p>
            <w:pPr>
              <w:ind w:left="40"/>
              <w:spacing w:after="0"/>
              <w:rPr>
                <w:sz w:val="20"/>
                <w:szCs w:val="20"/>
                <w:color w:val="auto"/>
              </w:rPr>
            </w:pPr>
            <w:r>
              <w:rPr>
                <w:rFonts w:ascii="Arial" w:cs="Arial" w:eastAsia="Arial" w:hAnsi="Arial"/>
                <w:sz w:val="13"/>
                <w:szCs w:val="13"/>
                <w:color w:val="auto"/>
              </w:rPr>
              <w:t>Interest expense</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355,097</w:t>
            </w:r>
          </w:p>
        </w:tc>
        <w:tc>
          <w:tcPr>
            <w:tcW w:w="100" w:type="dxa"/>
            <w:vAlign w:val="bottom"/>
          </w:tcPr>
          <w:p>
            <w:pPr>
              <w:spacing w:after="0"/>
              <w:rPr>
                <w:sz w:val="19"/>
                <w:szCs w:val="19"/>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342,186</w:t>
            </w:r>
          </w:p>
        </w:tc>
        <w:tc>
          <w:tcPr>
            <w:tcW w:w="100" w:type="dxa"/>
            <w:vAlign w:val="bottom"/>
          </w:tcPr>
          <w:p>
            <w:pPr>
              <w:spacing w:after="0"/>
              <w:rPr>
                <w:sz w:val="19"/>
                <w:szCs w:val="19"/>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313,766</w:t>
            </w:r>
          </w:p>
        </w:tc>
        <w:tc>
          <w:tcPr>
            <w:tcW w:w="100" w:type="dxa"/>
            <w:vAlign w:val="bottom"/>
          </w:tcPr>
          <w:p>
            <w:pPr>
              <w:spacing w:after="0"/>
              <w:rPr>
                <w:sz w:val="19"/>
                <w:szCs w:val="19"/>
                <w:color w:val="auto"/>
              </w:rPr>
            </w:pPr>
          </w:p>
        </w:tc>
        <w:tc>
          <w:tcPr>
            <w:tcW w:w="3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411,889</w:t>
            </w:r>
          </w:p>
        </w:tc>
        <w:tc>
          <w:tcPr>
            <w:tcW w:w="100" w:type="dxa"/>
            <w:vAlign w:val="bottom"/>
          </w:tcPr>
          <w:p>
            <w:pPr>
              <w:spacing w:after="0"/>
              <w:rPr>
                <w:sz w:val="19"/>
                <w:szCs w:val="19"/>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615,533</w:t>
            </w: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 expense</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151,827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138,943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81,794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50,010</w:t>
            </w:r>
          </w:p>
        </w:tc>
        <w:tc>
          <w:tcPr>
            <w:tcW w:w="0" w:type="dxa"/>
            <w:vAlign w:val="bottom"/>
          </w:tcPr>
          <w:p>
            <w:pPr>
              <w:spacing w:after="0"/>
              <w:rPr>
                <w:sz w:val="1"/>
                <w:szCs w:val="1"/>
                <w:color w:val="auto"/>
              </w:rPr>
            </w:pPr>
          </w:p>
        </w:tc>
      </w:tr>
      <w:tr>
        <w:trPr>
          <w:trHeight w:val="242"/>
        </w:trPr>
        <w:tc>
          <w:tcPr>
            <w:tcW w:w="26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69,350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58,662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57,741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55,470</w:t>
            </w: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80,856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105,039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124,152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138,164</w:t>
            </w:r>
          </w:p>
        </w:tc>
        <w:tc>
          <w:tcPr>
            <w:tcW w:w="0" w:type="dxa"/>
            <w:vAlign w:val="bottom"/>
          </w:tcPr>
          <w:p>
            <w:pPr>
              <w:spacing w:after="0"/>
              <w:rPr>
                <w:sz w:val="1"/>
                <w:szCs w:val="1"/>
                <w:color w:val="auto"/>
              </w:rPr>
            </w:pPr>
          </w:p>
        </w:tc>
      </w:tr>
      <w:tr>
        <w:trPr>
          <w:trHeight w:val="242"/>
        </w:trPr>
        <w:tc>
          <w:tcPr>
            <w:tcW w:w="2620" w:type="dxa"/>
            <w:vAlign w:val="bottom"/>
          </w:tcPr>
          <w:p>
            <w:pPr>
              <w:ind w:left="40"/>
              <w:spacing w:after="0"/>
              <w:rPr>
                <w:sz w:val="20"/>
                <w:szCs w:val="20"/>
                <w:color w:val="auto"/>
              </w:rPr>
            </w:pPr>
            <w:r>
              <w:rPr>
                <w:rFonts w:ascii="Arial" w:cs="Arial" w:eastAsia="Arial" w:hAnsi="Arial"/>
                <w:sz w:val="13"/>
                <w:szCs w:val="13"/>
                <w:color w:val="auto"/>
              </w:rPr>
              <w:t>Provision for loan losses</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81,740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46,412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331,487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1,255,357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1,029,322</w:t>
            </w: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of assets</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13,778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13,239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114,117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303,611</w:t>
            </w: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expense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17,266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11,070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62,329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14,582</w:t>
            </w: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costs and expenses</w:t>
            </w: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769,914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715,551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962,262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2,107,379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2,206,692</w:t>
            </w:r>
          </w:p>
        </w:tc>
        <w:tc>
          <w:tcPr>
            <w:tcW w:w="0" w:type="dxa"/>
            <w:vAlign w:val="bottom"/>
          </w:tcPr>
          <w:p>
            <w:pPr>
              <w:spacing w:after="0"/>
              <w:rPr>
                <w:sz w:val="1"/>
                <w:szCs w:val="1"/>
                <w:color w:val="auto"/>
              </w:rPr>
            </w:pPr>
          </w:p>
        </w:tc>
      </w:tr>
      <w:tr>
        <w:trPr>
          <w:trHeight w:val="125"/>
        </w:trPr>
        <w:tc>
          <w:tcPr>
            <w:tcW w:w="2620" w:type="dxa"/>
            <w:vAlign w:val="bottom"/>
          </w:tcPr>
          <w:p>
            <w:pPr>
              <w:ind w:left="40"/>
              <w:spacing w:after="0" w:line="125" w:lineRule="exact"/>
              <w:rPr>
                <w:sz w:val="20"/>
                <w:szCs w:val="20"/>
                <w:color w:val="auto"/>
              </w:rPr>
            </w:pPr>
            <w:r>
              <w:rPr>
                <w:rFonts w:ascii="Arial" w:cs="Arial" w:eastAsia="Arial" w:hAnsi="Arial"/>
                <w:sz w:val="13"/>
                <w:szCs w:val="13"/>
                <w:color w:val="auto"/>
              </w:rPr>
              <w:t>Income (loss) before earnings from equity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40"/>
              <w:spacing w:after="0"/>
              <w:rPr>
                <w:sz w:val="20"/>
                <w:szCs w:val="20"/>
                <w:color w:val="auto"/>
              </w:rPr>
            </w:pPr>
            <w:r>
              <w:rPr>
                <w:rFonts w:ascii="Arial" w:cs="Arial" w:eastAsia="Arial" w:hAnsi="Arial"/>
                <w:sz w:val="13"/>
                <w:szCs w:val="13"/>
                <w:color w:val="auto"/>
              </w:rPr>
              <w:t>method investments and other items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(369,442)</w:t>
            </w:r>
          </w:p>
        </w:tc>
        <w:tc>
          <w:tcPr>
            <w:tcW w:w="10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(250,482)</w:t>
            </w:r>
          </w:p>
        </w:tc>
        <w:tc>
          <w:tcPr>
            <w:tcW w:w="100" w:type="dxa"/>
            <w:vAlign w:val="bottom"/>
          </w:tcPr>
          <w:p>
            <w:pPr>
              <w:spacing w:after="0"/>
              <w:rPr>
                <w:sz w:val="14"/>
                <w:szCs w:val="14"/>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(360,805)</w:t>
            </w:r>
          </w:p>
        </w:tc>
        <w:tc>
          <w:tcPr>
            <w:tcW w:w="100" w:type="dxa"/>
            <w:vAlign w:val="bottom"/>
          </w:tcPr>
          <w:p>
            <w:pPr>
              <w:spacing w:after="0"/>
              <w:rPr>
                <w:sz w:val="14"/>
                <w:szCs w:val="14"/>
                <w:color w:val="auto"/>
              </w:rPr>
            </w:pPr>
          </w:p>
        </w:tc>
        <w:tc>
          <w:tcPr>
            <w:tcW w:w="3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3"/>
              </w:rPr>
              <w:t>(1,331,046)</w:t>
            </w:r>
          </w:p>
        </w:tc>
        <w:tc>
          <w:tcPr>
            <w:tcW w:w="10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(971,793)</w:t>
            </w: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7"/>
              </w:rPr>
              <w:t>Gain (loss) on early extinguishment of debt,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101,466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547,349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393,131</w:t>
            </w: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Earnings from equity method investments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103,009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95,091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51,908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5,298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286,754</w:t>
            </w:r>
          </w:p>
        </w:tc>
        <w:tc>
          <w:tcPr>
            <w:tcW w:w="0" w:type="dxa"/>
            <w:vAlign w:val="bottom"/>
          </w:tcPr>
          <w:p>
            <w:pPr>
              <w:spacing w:after="0"/>
              <w:rPr>
                <w:sz w:val="1"/>
                <w:szCs w:val="1"/>
                <w:color w:val="auto"/>
              </w:rPr>
            </w:pPr>
          </w:p>
        </w:tc>
      </w:tr>
      <w:tr>
        <w:trPr>
          <w:trHeight w:val="131"/>
        </w:trPr>
        <w:tc>
          <w:tcPr>
            <w:tcW w:w="262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color w:val="auto"/>
              </w:rPr>
              <w:t>Income (loss) from continuing operations</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before income taxes</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(304,249)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(199,974)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(778,399)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(291,908)</w:t>
            </w: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Income tax (expense) benefit</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4,719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(10,375)</w:t>
            </w: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from continuing operations</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(312,694)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(206,997)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(782,540)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(302,283)</w:t>
            </w:r>
          </w:p>
        </w:tc>
        <w:tc>
          <w:tcPr>
            <w:tcW w:w="0" w:type="dxa"/>
            <w:vAlign w:val="bottom"/>
          </w:tcPr>
          <w:p>
            <w:pPr>
              <w:spacing w:after="0"/>
              <w:rPr>
                <w:sz w:val="1"/>
                <w:szCs w:val="1"/>
                <w:color w:val="auto"/>
              </w:rPr>
            </w:pPr>
          </w:p>
        </w:tc>
      </w:tr>
      <w:tr>
        <w:trPr>
          <w:trHeight w:val="242"/>
        </w:trPr>
        <w:tc>
          <w:tcPr>
            <w:tcW w:w="2620" w:type="dxa"/>
            <w:vAlign w:val="bottom"/>
          </w:tcPr>
          <w:p>
            <w:pPr>
              <w:ind w:left="160"/>
              <w:spacing w:after="0"/>
              <w:rPr>
                <w:sz w:val="20"/>
                <w:szCs w:val="20"/>
                <w:color w:val="auto"/>
              </w:rPr>
            </w:pPr>
            <w:r>
              <w:rPr>
                <w:rFonts w:ascii="Arial" w:cs="Arial" w:eastAsia="Arial" w:hAnsi="Arial"/>
                <w:sz w:val="13"/>
                <w:szCs w:val="13"/>
                <w:color w:val="auto"/>
                <w:w w:val="98"/>
              </w:rPr>
              <w:t>Income (loss) from discontinued operations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29,058</w:t>
            </w: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Gain from discontinued operations</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27,257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25,110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270,382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12,426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91,458</w:t>
            </w:r>
          </w:p>
        </w:tc>
        <w:tc>
          <w:tcPr>
            <w:tcW w:w="0" w:type="dxa"/>
            <w:vAlign w:val="bottom"/>
          </w:tcPr>
          <w:p>
            <w:pPr>
              <w:spacing w:after="0"/>
              <w:rPr>
                <w:sz w:val="1"/>
                <w:szCs w:val="1"/>
                <w:color w:val="auto"/>
              </w:rPr>
            </w:pPr>
          </w:p>
        </w:tc>
      </w:tr>
      <w:tr>
        <w:trPr>
          <w:trHeight w:val="242"/>
        </w:trPr>
        <w:tc>
          <w:tcPr>
            <w:tcW w:w="2620" w:type="dxa"/>
            <w:vAlign w:val="bottom"/>
          </w:tcPr>
          <w:p>
            <w:pPr>
              <w:ind w:left="160"/>
              <w:spacing w:after="0"/>
              <w:rPr>
                <w:sz w:val="20"/>
                <w:szCs w:val="20"/>
                <w:color w:val="auto"/>
              </w:rPr>
            </w:pPr>
            <w:r>
              <w:rPr>
                <w:rFonts w:ascii="Arial" w:cs="Arial" w:eastAsia="Arial" w:hAnsi="Arial"/>
                <w:sz w:val="13"/>
                <w:szCs w:val="13"/>
                <w:color w:val="auto"/>
              </w:rPr>
              <w:t>Income from sales of residential property</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63,472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3"/>
                <w:szCs w:val="13"/>
                <w:color w:val="auto"/>
              </w:rPr>
              <w:t>5,721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4"/>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(241,430)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(25,693)</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80,206</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(769,847)</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(181,767)</w:t>
            </w:r>
          </w:p>
        </w:tc>
        <w:tc>
          <w:tcPr>
            <w:tcW w:w="0" w:type="dxa"/>
            <w:vAlign w:val="bottom"/>
          </w:tcPr>
          <w:p>
            <w:pPr>
              <w:spacing w:after="0"/>
              <w:rPr>
                <w:sz w:val="1"/>
                <w:szCs w:val="1"/>
                <w:color w:val="auto"/>
              </w:rPr>
            </w:pPr>
          </w:p>
        </w:tc>
      </w:tr>
      <w:tr>
        <w:trPr>
          <w:trHeight w:val="145"/>
        </w:trPr>
        <w:tc>
          <w:tcPr>
            <w:tcW w:w="2620" w:type="dxa"/>
            <w:vAlign w:val="bottom"/>
          </w:tcPr>
          <w:p>
            <w:pPr>
              <w:ind w:left="160"/>
              <w:spacing w:after="0" w:line="146" w:lineRule="exact"/>
              <w:rPr>
                <w:sz w:val="20"/>
                <w:szCs w:val="20"/>
                <w:color w:val="auto"/>
              </w:rPr>
            </w:pPr>
            <w:r>
              <w:rPr>
                <w:rFonts w:ascii="Arial" w:cs="Arial" w:eastAsia="Arial" w:hAnsi="Arial"/>
                <w:sz w:val="13"/>
                <w:szCs w:val="13"/>
                <w:color w:val="auto"/>
              </w:rPr>
              <w:t>Net (income) loss attributable to</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1,500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3,629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1,071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(21,258)</w:t>
            </w:r>
          </w:p>
        </w:tc>
        <w:tc>
          <w:tcPr>
            <w:tcW w:w="0" w:type="dxa"/>
            <w:vAlign w:val="bottom"/>
          </w:tcPr>
          <w:p>
            <w:pPr>
              <w:spacing w:after="0"/>
              <w:rPr>
                <w:sz w:val="1"/>
                <w:szCs w:val="1"/>
                <w:color w:val="auto"/>
              </w:rPr>
            </w:pPr>
          </w:p>
        </w:tc>
      </w:tr>
      <w:tr>
        <w:trPr>
          <w:trHeight w:val="131"/>
        </w:trPr>
        <w:tc>
          <w:tcPr>
            <w:tcW w:w="262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color w:val="auto"/>
              </w:rPr>
              <w:t>Net income (loss) attributable to iStar</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Financial Inc.</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(768,776)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(203,025)</w:t>
            </w:r>
          </w:p>
        </w:tc>
        <w:tc>
          <w:tcPr>
            <w:tcW w:w="0" w:type="dxa"/>
            <w:vAlign w:val="bottom"/>
          </w:tcPr>
          <w:p>
            <w:pPr>
              <w:spacing w:after="0"/>
              <w:rPr>
                <w:sz w:val="1"/>
                <w:szCs w:val="1"/>
                <w:color w:val="auto"/>
              </w:rPr>
            </w:pPr>
          </w:p>
        </w:tc>
      </w:tr>
      <w:tr>
        <w:trPr>
          <w:trHeight w:val="242"/>
        </w:trPr>
        <w:tc>
          <w:tcPr>
            <w:tcW w:w="2620" w:type="dxa"/>
            <w:vAlign w:val="bottom"/>
          </w:tcPr>
          <w:p>
            <w:pPr>
              <w:ind w:left="160"/>
              <w:spacing w:after="0"/>
              <w:rPr>
                <w:sz w:val="20"/>
                <w:szCs w:val="20"/>
                <w:color w:val="auto"/>
              </w:rPr>
            </w:pPr>
            <w:r>
              <w:rPr>
                <w:rFonts w:ascii="Arial" w:cs="Arial" w:eastAsia="Arial" w:hAnsi="Arial"/>
                <w:sz w:val="13"/>
                <w:szCs w:val="13"/>
                <w:color w:val="auto"/>
              </w:rPr>
              <w:t>Preferred dividends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(42,320)</w:t>
            </w: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8"/>
              </w:rPr>
              <w:t>Net (income) loss allocable to HPU holders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and Participating Security holders(1)</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9,253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22,526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2,855</w:t>
            </w:r>
          </w:p>
        </w:tc>
        <w:tc>
          <w:tcPr>
            <w:tcW w:w="0" w:type="dxa"/>
            <w:vAlign w:val="bottom"/>
          </w:tcPr>
          <w:p>
            <w:pPr>
              <w:spacing w:after="0"/>
              <w:rPr>
                <w:sz w:val="1"/>
                <w:szCs w:val="1"/>
                <w:color w:val="auto"/>
              </w:rPr>
            </w:pPr>
          </w:p>
        </w:tc>
      </w:tr>
      <w:tr>
        <w:trPr>
          <w:trHeight w:val="125"/>
        </w:trPr>
        <w:tc>
          <w:tcPr>
            <w:tcW w:w="2620" w:type="dxa"/>
            <w:vAlign w:val="bottom"/>
          </w:tcPr>
          <w:p>
            <w:pPr>
              <w:ind w:left="40"/>
              <w:spacing w:after="0" w:line="125" w:lineRule="exact"/>
              <w:rPr>
                <w:sz w:val="20"/>
                <w:szCs w:val="20"/>
                <w:color w:val="auto"/>
              </w:rPr>
            </w:pPr>
            <w:r>
              <w:rPr>
                <w:rFonts w:ascii="Arial" w:cs="Arial" w:eastAsia="Arial" w:hAnsi="Arial"/>
                <w:sz w:val="13"/>
                <w:szCs w:val="13"/>
                <w:color w:val="auto"/>
              </w:rPr>
              <w:t>Net income (loss) allocable to common</w:t>
            </w:r>
          </w:p>
        </w:tc>
        <w:tc>
          <w:tcPr>
            <w:tcW w:w="260" w:type="dxa"/>
            <w:vAlign w:val="bottom"/>
            <w:vMerge w:val="restart"/>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(272,997)</w:t>
            </w:r>
          </w:p>
        </w:tc>
        <w:tc>
          <w:tcPr>
            <w:tcW w:w="100" w:type="dxa"/>
            <w:vAlign w:val="bottom"/>
          </w:tcPr>
          <w:p>
            <w:pPr>
              <w:spacing w:after="0"/>
              <w:rPr>
                <w:sz w:val="10"/>
                <w:szCs w:val="10"/>
                <w:color w:val="auto"/>
              </w:rPr>
            </w:pPr>
          </w:p>
        </w:tc>
        <w:tc>
          <w:tcPr>
            <w:tcW w:w="240" w:type="dxa"/>
            <w:vAlign w:val="bottom"/>
            <w:vMerge w:val="restart"/>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(62,387)</w:t>
            </w:r>
          </w:p>
        </w:tc>
        <w:tc>
          <w:tcPr>
            <w:tcW w:w="100" w:type="dxa"/>
            <w:vAlign w:val="bottom"/>
          </w:tcPr>
          <w:p>
            <w:pPr>
              <w:spacing w:after="0"/>
              <w:rPr>
                <w:sz w:val="10"/>
                <w:szCs w:val="10"/>
                <w:color w:val="auto"/>
              </w:rPr>
            </w:pPr>
          </w:p>
        </w:tc>
        <w:tc>
          <w:tcPr>
            <w:tcW w:w="26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36,279</w:t>
            </w:r>
          </w:p>
        </w:tc>
        <w:tc>
          <w:tcPr>
            <w:tcW w:w="100" w:type="dxa"/>
            <w:vAlign w:val="bottom"/>
          </w:tcPr>
          <w:p>
            <w:pPr>
              <w:spacing w:after="0"/>
              <w:rPr>
                <w:sz w:val="10"/>
                <w:szCs w:val="10"/>
                <w:color w:val="auto"/>
              </w:rPr>
            </w:pPr>
          </w:p>
        </w:tc>
        <w:tc>
          <w:tcPr>
            <w:tcW w:w="360" w:type="dxa"/>
            <w:vAlign w:val="bottom"/>
            <w:vMerge w:val="restart"/>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(788,570)</w:t>
            </w:r>
          </w:p>
        </w:tc>
        <w:tc>
          <w:tcPr>
            <w:tcW w:w="100" w:type="dxa"/>
            <w:vAlign w:val="bottom"/>
          </w:tcPr>
          <w:p>
            <w:pPr>
              <w:spacing w:after="0"/>
              <w:rPr>
                <w:sz w:val="10"/>
                <w:szCs w:val="10"/>
                <w:color w:val="auto"/>
              </w:rPr>
            </w:pPr>
          </w:p>
        </w:tc>
        <w:tc>
          <w:tcPr>
            <w:tcW w:w="260" w:type="dxa"/>
            <w:vAlign w:val="bottom"/>
            <w:vMerge w:val="restart"/>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(242,490)</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shareholders</w:t>
            </w: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 common share data(2):</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620" w:type="dxa"/>
            <w:vAlign w:val="bottom"/>
          </w:tcPr>
          <w:p>
            <w:pPr>
              <w:ind w:left="160"/>
              <w:spacing w:after="0" w:line="146" w:lineRule="exact"/>
              <w:rPr>
                <w:sz w:val="20"/>
                <w:szCs w:val="20"/>
                <w:color w:val="auto"/>
              </w:rPr>
            </w:pPr>
            <w:r>
              <w:rPr>
                <w:rFonts w:ascii="Arial" w:cs="Arial" w:eastAsia="Arial" w:hAnsi="Arial"/>
                <w:sz w:val="13"/>
                <w:szCs w:val="13"/>
                <w:color w:val="auto"/>
              </w:rPr>
              <w:t>Income (loss) attributable to iStar</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160"/>
              <w:spacing w:after="0"/>
              <w:rPr>
                <w:sz w:val="20"/>
                <w:szCs w:val="20"/>
                <w:color w:val="auto"/>
              </w:rPr>
            </w:pPr>
            <w:r>
              <w:rPr>
                <w:rFonts w:ascii="Arial" w:cs="Arial" w:eastAsia="Arial" w:hAnsi="Arial"/>
                <w:sz w:val="13"/>
                <w:szCs w:val="13"/>
                <w:color w:val="auto"/>
              </w:rPr>
              <w:t>Financial Inc. from continuing operations: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Basic</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42"/>
        </w:trPr>
        <w:tc>
          <w:tcPr>
            <w:tcW w:w="2620" w:type="dxa"/>
            <w:vAlign w:val="bottom"/>
          </w:tcPr>
          <w:p>
            <w:pPr>
              <w:ind w:left="260"/>
              <w:spacing w:after="0"/>
              <w:rPr>
                <w:sz w:val="20"/>
                <w:szCs w:val="20"/>
                <w:color w:val="auto"/>
              </w:rPr>
            </w:pPr>
            <w:r>
              <w:rPr>
                <w:rFonts w:ascii="Arial" w:cs="Arial" w:eastAsia="Arial" w:hAnsi="Arial"/>
                <w:sz w:val="13"/>
                <w:szCs w:val="13"/>
                <w:color w:val="auto"/>
              </w:rPr>
              <w:t>Diluted</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21"/>
                <w:szCs w:val="21"/>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(0.89)</w:t>
            </w:r>
          </w:p>
        </w:tc>
        <w:tc>
          <w:tcPr>
            <w:tcW w:w="100" w:type="dxa"/>
            <w:vAlign w:val="bottom"/>
          </w:tcPr>
          <w:p>
            <w:pPr>
              <w:spacing w:after="0"/>
              <w:rPr>
                <w:sz w:val="21"/>
                <w:szCs w:val="21"/>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21"/>
                <w:szCs w:val="21"/>
                <w:color w:val="auto"/>
              </w:rPr>
            </w:pPr>
          </w:p>
        </w:tc>
        <w:tc>
          <w:tcPr>
            <w:tcW w:w="3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21"/>
                <w:szCs w:val="21"/>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 attributable to iStar</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Financial Inc.:</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620" w:type="dxa"/>
            <w:vAlign w:val="bottom"/>
          </w:tcPr>
          <w:p>
            <w:pPr>
              <w:ind w:left="260"/>
              <w:spacing w:after="0"/>
              <w:rPr>
                <w:sz w:val="20"/>
                <w:szCs w:val="20"/>
                <w:color w:val="auto"/>
              </w:rPr>
            </w:pPr>
            <w:r>
              <w:rPr>
                <w:rFonts w:ascii="Arial" w:cs="Arial" w:eastAsia="Arial" w:hAnsi="Arial"/>
                <w:sz w:val="13"/>
                <w:szCs w:val="13"/>
                <w:color w:val="auto"/>
              </w:rPr>
              <w:t>Basic</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21"/>
                <w:szCs w:val="21"/>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(0.70)</w:t>
            </w:r>
          </w:p>
        </w:tc>
        <w:tc>
          <w:tcPr>
            <w:tcW w:w="100" w:type="dxa"/>
            <w:vAlign w:val="bottom"/>
          </w:tcPr>
          <w:p>
            <w:pPr>
              <w:spacing w:after="0"/>
              <w:rPr>
                <w:sz w:val="21"/>
                <w:szCs w:val="21"/>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0.39</w:t>
            </w:r>
          </w:p>
        </w:tc>
        <w:tc>
          <w:tcPr>
            <w:tcW w:w="100" w:type="dxa"/>
            <w:vAlign w:val="bottom"/>
          </w:tcPr>
          <w:p>
            <w:pPr>
              <w:spacing w:after="0"/>
              <w:rPr>
                <w:sz w:val="21"/>
                <w:szCs w:val="21"/>
                <w:color w:val="auto"/>
              </w:rPr>
            </w:pPr>
          </w:p>
        </w:tc>
        <w:tc>
          <w:tcPr>
            <w:tcW w:w="3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21"/>
                <w:szCs w:val="21"/>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Diluted</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3"/>
                <w:szCs w:val="13"/>
                <w:color w:val="auto"/>
              </w:rPr>
              <w:t>Per HPU share data(2):</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7620</wp:posOffset>
            </wp:positionV>
            <wp:extent cx="5366385" cy="205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6385" cy="20510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3"/>
          <w:szCs w:val="13"/>
          <w:color w:val="auto"/>
        </w:rPr>
        <w:t>Income (loss) attributable to iStar</w:t>
      </w:r>
    </w:p>
    <w:p>
      <w:pPr>
        <w:ind w:left="1640"/>
        <w:spacing w:after="0"/>
        <w:rPr>
          <w:sz w:val="20"/>
          <w:szCs w:val="20"/>
          <w:color w:val="auto"/>
        </w:rPr>
      </w:pPr>
      <w:r>
        <w:rPr>
          <w:rFonts w:ascii="Arial" w:cs="Arial" w:eastAsia="Arial" w:hAnsi="Arial"/>
          <w:sz w:val="13"/>
          <w:szCs w:val="13"/>
          <w:color w:val="auto"/>
        </w:rPr>
        <w:t>Financial Inc. from continuing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0" w:right="239" w:bottom="1440" w:gutter="0" w:footer="0" w:header="0"/>
        </w:sectPr>
      </w:pPr>
    </w:p>
    <w:bookmarkStart w:id="27" w:name="page28"/>
    <w:bookmarkEnd w:id="27"/>
    <w:tbl>
      <w:tblPr>
        <w:tblLayout w:type="fixed"/>
        <w:tblInd w:w="1" w:type="dxa"/>
        <w:tblCellMar>
          <w:top w:w="0" w:type="dxa"/>
          <w:left w:w="0" w:type="dxa"/>
          <w:bottom w:w="0" w:type="dxa"/>
          <w:right w:w="0" w:type="dxa"/>
        </w:tblCellMar>
      </w:tblPr>
      <w:tr>
        <w:trPr>
          <w:trHeight w:val="149"/>
        </w:trPr>
        <w:tc>
          <w:tcPr>
            <w:tcW w:w="4060" w:type="dxa"/>
            <w:vAlign w:val="bottom"/>
            <w:gridSpan w:val="3"/>
          </w:tcPr>
          <w:p>
            <w:pPr>
              <w:spacing w:after="0"/>
              <w:rPr>
                <w:rFonts w:ascii="Arial" w:cs="Arial" w:eastAsia="Arial" w:hAnsi="Arial"/>
                <w:sz w:val="13"/>
                <w:szCs w:val="13"/>
                <w:b w:val="1"/>
                <w:bCs w:val="1"/>
                <w:color w:val="0000FF"/>
              </w:rPr>
            </w:pPr>
            <w:hyperlink w:anchor="page48">
              <w:r>
                <w:rPr>
                  <w:rFonts w:ascii="Arial" w:cs="Arial" w:eastAsia="Arial" w:hAnsi="Arial"/>
                  <w:sz w:val="13"/>
                  <w:szCs w:val="13"/>
                  <w:b w:val="1"/>
                  <w:bCs w:val="1"/>
                  <w:color w:val="0000FF"/>
                </w:rPr>
                <w:t>Table of Contents</w:t>
              </w:r>
            </w:hyperlink>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719"/>
        </w:trPr>
        <w:tc>
          <w:tcPr>
            <w:tcW w:w="10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tcPr>
          <w:p>
            <w:pPr>
              <w:ind w:left="180"/>
              <w:spacing w:after="0"/>
              <w:rPr>
                <w:sz w:val="20"/>
                <w:szCs w:val="20"/>
                <w:color w:val="auto"/>
              </w:rPr>
            </w:pPr>
            <w:r>
              <w:rPr>
                <w:rFonts w:ascii="Arial" w:cs="Arial" w:eastAsia="Arial" w:hAnsi="Arial"/>
                <w:sz w:val="13"/>
                <w:szCs w:val="13"/>
                <w:color w:val="auto"/>
              </w:rPr>
              <w:t>Basic</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(633.94)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54"/>
              <w:spacing w:after="0"/>
              <w:rPr>
                <w:sz w:val="20"/>
                <w:szCs w:val="20"/>
                <w:color w:val="auto"/>
              </w:rPr>
            </w:pPr>
            <w:r>
              <w:rPr>
                <w:rFonts w:ascii="Arial" w:cs="Arial" w:eastAsia="Arial" w:hAnsi="Arial"/>
                <w:sz w:val="13"/>
                <w:szCs w:val="13"/>
                <w:color w:val="auto"/>
              </w:rPr>
              <w:t>(169.93)</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(493.33)</w:t>
            </w:r>
          </w:p>
        </w:tc>
        <w:tc>
          <w:tcPr>
            <w:tcW w:w="34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(1,525.07)</w:t>
            </w:r>
          </w:p>
        </w:tc>
        <w:tc>
          <w:tcPr>
            <w:tcW w:w="3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(520.07)</w:t>
            </w:r>
          </w:p>
        </w:tc>
        <w:tc>
          <w:tcPr>
            <w:tcW w:w="60" w:type="dxa"/>
            <w:vAlign w:val="bottom"/>
          </w:tcPr>
          <w:p>
            <w:pPr>
              <w:spacing w:after="0"/>
              <w:rPr>
                <w:sz w:val="24"/>
                <w:szCs w:val="24"/>
                <w:color w:val="auto"/>
              </w:rPr>
            </w:pP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(633.94)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(169.93)</w:t>
            </w: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(493.33)</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(1,525.07)</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(520.07)</w:t>
            </w:r>
          </w:p>
        </w:tc>
        <w:tc>
          <w:tcPr>
            <w:tcW w:w="60" w:type="dxa"/>
            <w:vAlign w:val="bottom"/>
            <w:tcBorders>
              <w:left w:val="single" w:sz="8" w:color="CCEEFF"/>
            </w:tcBorders>
            <w:shd w:val="clear" w:color="auto" w:fill="CCEEFF"/>
          </w:tcPr>
          <w:p>
            <w:pPr>
              <w:spacing w:after="0"/>
              <w:rPr>
                <w:sz w:val="22"/>
                <w:szCs w:val="22"/>
                <w:color w:val="auto"/>
              </w:rPr>
            </w:pPr>
          </w:p>
        </w:tc>
      </w:tr>
      <w:tr>
        <w:trPr>
          <w:trHeight w:val="145"/>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00" w:type="dxa"/>
            <w:vAlign w:val="bottom"/>
          </w:tcPr>
          <w:p>
            <w:pPr>
              <w:ind w:left="80"/>
              <w:spacing w:after="0" w:line="146" w:lineRule="exact"/>
              <w:rPr>
                <w:sz w:val="20"/>
                <w:szCs w:val="20"/>
                <w:color w:val="auto"/>
              </w:rPr>
            </w:pPr>
            <w:r>
              <w:rPr>
                <w:rFonts w:ascii="Arial" w:cs="Arial" w:eastAsia="Arial" w:hAnsi="Arial"/>
                <w:sz w:val="13"/>
                <w:szCs w:val="13"/>
                <w:color w:val="auto"/>
              </w:rPr>
              <w:t>Net income (loss) attributable to iStar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Arial" w:cs="Arial" w:eastAsia="Arial" w:hAnsi="Arial"/>
                <w:sz w:val="13"/>
                <w:szCs w:val="13"/>
                <w:color w:val="auto"/>
              </w:rPr>
              <w:t>Financial Inc.:</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(616.87)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(133.13)</w:t>
            </w: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72.27</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(1,501.73)</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(349.87)</w:t>
            </w:r>
          </w:p>
        </w:tc>
        <w:tc>
          <w:tcPr>
            <w:tcW w:w="60" w:type="dxa"/>
            <w:vAlign w:val="bottom"/>
            <w:tcBorders>
              <w:left w:val="single" w:sz="8" w:color="CCEEFF"/>
            </w:tcBorders>
            <w:shd w:val="clear" w:color="auto" w:fill="CCEEFF"/>
          </w:tcPr>
          <w:p>
            <w:pPr>
              <w:spacing w:after="0"/>
              <w:rPr>
                <w:sz w:val="22"/>
                <w:szCs w:val="22"/>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ind w:left="180"/>
              <w:spacing w:after="0"/>
              <w:rPr>
                <w:sz w:val="20"/>
                <w:szCs w:val="20"/>
                <w:color w:val="auto"/>
              </w:rPr>
            </w:pPr>
            <w:r>
              <w:rPr>
                <w:rFonts w:ascii="Arial" w:cs="Arial" w:eastAsia="Arial" w:hAnsi="Arial"/>
                <w:sz w:val="13"/>
                <w:szCs w:val="13"/>
                <w:color w:val="auto"/>
              </w:rPr>
              <w:t>Diluted</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(616.87)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54"/>
              <w:spacing w:after="0"/>
              <w:rPr>
                <w:sz w:val="20"/>
                <w:szCs w:val="20"/>
                <w:color w:val="auto"/>
              </w:rPr>
            </w:pPr>
            <w:r>
              <w:rPr>
                <w:rFonts w:ascii="Arial" w:cs="Arial" w:eastAsia="Arial" w:hAnsi="Arial"/>
                <w:sz w:val="13"/>
                <w:szCs w:val="13"/>
                <w:color w:val="auto"/>
              </w:rPr>
              <w:t>(133.13)</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72.27</w:t>
            </w:r>
          </w:p>
        </w:tc>
        <w:tc>
          <w:tcPr>
            <w:tcW w:w="34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(1,501.73)</w:t>
            </w:r>
          </w:p>
        </w:tc>
        <w:tc>
          <w:tcPr>
            <w:tcW w:w="3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(349.87)</w:t>
            </w:r>
          </w:p>
        </w:tc>
        <w:tc>
          <w:tcPr>
            <w:tcW w:w="60" w:type="dxa"/>
            <w:vAlign w:val="bottom"/>
          </w:tcPr>
          <w:p>
            <w:pPr>
              <w:spacing w:after="0"/>
              <w:rPr>
                <w:sz w:val="21"/>
                <w:szCs w:val="21"/>
                <w:color w:val="auto"/>
              </w:rPr>
            </w:pP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60" w:type="dxa"/>
            <w:vAlign w:val="bottom"/>
            <w:tcBorders>
              <w:left w:val="single" w:sz="8" w:color="CCEEFF"/>
            </w:tcBorders>
            <w:shd w:val="clear" w:color="auto" w:fill="CCEEFF"/>
          </w:tcPr>
          <w:p>
            <w:pPr>
              <w:spacing w:after="0"/>
              <w:rPr>
                <w:sz w:val="22"/>
                <w:szCs w:val="22"/>
                <w:color w:val="auto"/>
              </w:rPr>
            </w:pPr>
          </w:p>
        </w:tc>
      </w:tr>
      <w:tr>
        <w:trPr>
          <w:trHeight w:val="491"/>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w w:val="82"/>
              </w:rPr>
              <w:t>2012</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2010</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w w:val="96"/>
              </w:rPr>
              <w:t>2009</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2008</w:t>
            </w:r>
          </w:p>
        </w:tc>
        <w:tc>
          <w:tcPr>
            <w:tcW w:w="60" w:type="dxa"/>
            <w:vAlign w:val="bottom"/>
          </w:tcPr>
          <w:p>
            <w:pPr>
              <w:spacing w:after="0"/>
              <w:rPr>
                <w:sz w:val="20"/>
                <w:szCs w:val="20"/>
                <w:color w:val="auto"/>
              </w:rPr>
            </w:pPr>
          </w:p>
        </w:tc>
      </w:tr>
      <w:tr>
        <w:trPr>
          <w:trHeight w:val="228"/>
        </w:trPr>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6"/>
          </w:tcPr>
          <w:p>
            <w:pPr>
              <w:jc w:val="right"/>
              <w:ind w:right="394"/>
              <w:spacing w:after="0"/>
              <w:rPr>
                <w:sz w:val="20"/>
                <w:szCs w:val="20"/>
                <w:color w:val="auto"/>
              </w:rPr>
            </w:pPr>
            <w:r>
              <w:rPr>
                <w:rFonts w:ascii="Arial" w:cs="Arial" w:eastAsia="Arial" w:hAnsi="Arial"/>
                <w:sz w:val="13"/>
                <w:szCs w:val="13"/>
                <w:b w:val="1"/>
                <w:bCs w:val="1"/>
                <w:color w:val="auto"/>
                <w:w w:val="91"/>
              </w:rPr>
              <w:t>(In thousands, except per share data and ratios)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DATA:</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Adjusted Income(4)</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(53,847)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(3,316)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360,525</w:t>
            </w:r>
          </w:p>
        </w:tc>
        <w:tc>
          <w:tcPr>
            <w:tcW w:w="340" w:type="dxa"/>
            <w:vAlign w:val="bottom"/>
          </w:tcPr>
          <w:p>
            <w:pPr>
              <w:jc w:val="right"/>
              <w:ind w:right="20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155,324</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842,049</w:t>
            </w:r>
          </w:p>
        </w:tc>
        <w:tc>
          <w:tcPr>
            <w:tcW w:w="60" w:type="dxa"/>
            <w:vAlign w:val="bottom"/>
          </w:tcPr>
          <w:p>
            <w:pPr>
              <w:spacing w:after="0"/>
              <w:rPr>
                <w:sz w:val="21"/>
                <w:szCs w:val="21"/>
                <w:color w:val="auto"/>
              </w:rPr>
            </w:pP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EBITDA(4)</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349,754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376,464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767,663</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686,267</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1,592,422</w:t>
            </w:r>
          </w:p>
        </w:tc>
        <w:tc>
          <w:tcPr>
            <w:tcW w:w="60" w:type="dxa"/>
            <w:vAlign w:val="bottom"/>
            <w:tcBorders>
              <w:left w:val="single" w:sz="8" w:color="CCEEFF"/>
            </w:tcBorders>
          </w:tcPr>
          <w:p>
            <w:pPr>
              <w:spacing w:after="0"/>
              <w:rPr>
                <w:sz w:val="22"/>
                <w:szCs w:val="22"/>
                <w:color w:val="auto"/>
              </w:rPr>
            </w:pPr>
          </w:p>
        </w:tc>
      </w:tr>
      <w:tr>
        <w:trPr>
          <w:trHeight w:val="145"/>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00" w:type="dxa"/>
            <w:vAlign w:val="bottom"/>
          </w:tcPr>
          <w:p>
            <w:pPr>
              <w:spacing w:after="0" w:line="146" w:lineRule="exact"/>
              <w:rPr>
                <w:sz w:val="20"/>
                <w:szCs w:val="20"/>
                <w:color w:val="auto"/>
              </w:rPr>
            </w:pPr>
            <w:r>
              <w:rPr>
                <w:rFonts w:ascii="Arial" w:cs="Arial" w:eastAsia="Arial" w:hAnsi="Arial"/>
                <w:sz w:val="13"/>
                <w:szCs w:val="13"/>
                <w:color w:val="auto"/>
              </w:rPr>
              <w:t>Ratio of Adjusted EBITDA to interest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expense and preferred dividends(4)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0.9x</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1.0x</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2.0x</w:t>
            </w:r>
          </w:p>
        </w:tc>
        <w:tc>
          <w:tcPr>
            <w:tcW w:w="34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1.3x</w:t>
            </w:r>
          </w:p>
        </w:tc>
        <w:tc>
          <w:tcPr>
            <w:tcW w:w="3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2.2x</w:t>
            </w: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Ratio of earnings to fixed charges(5)(6)</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tcPr>
          <w:p>
            <w:pPr>
              <w:spacing w:after="0"/>
              <w:rPr>
                <w:sz w:val="22"/>
                <w:szCs w:val="22"/>
                <w:color w:val="auto"/>
              </w:rPr>
            </w:pPr>
          </w:p>
        </w:tc>
      </w:tr>
      <w:tr>
        <w:trPr>
          <w:trHeight w:val="145"/>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00" w:type="dxa"/>
            <w:vAlign w:val="bottom"/>
          </w:tcPr>
          <w:p>
            <w:pPr>
              <w:spacing w:after="0" w:line="146" w:lineRule="exact"/>
              <w:rPr>
                <w:sz w:val="20"/>
                <w:szCs w:val="20"/>
                <w:color w:val="auto"/>
              </w:rPr>
            </w:pPr>
            <w:r>
              <w:rPr>
                <w:rFonts w:ascii="Arial" w:cs="Arial" w:eastAsia="Arial" w:hAnsi="Arial"/>
                <w:sz w:val="13"/>
                <w:szCs w:val="13"/>
                <w:color w:val="auto"/>
              </w:rPr>
              <w:t>Ratio of earnings to fixed charges and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preferred dividends(5)(6)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1"/>
        </w:trPr>
        <w:tc>
          <w:tcPr>
            <w:tcW w:w="1000" w:type="dxa"/>
            <w:vAlign w:val="bottom"/>
          </w:tcPr>
          <w:p>
            <w:pPr>
              <w:spacing w:after="0"/>
              <w:rPr>
                <w:sz w:val="13"/>
                <w:szCs w:val="13"/>
                <w:color w:val="auto"/>
              </w:rPr>
            </w:pPr>
          </w:p>
        </w:tc>
        <w:tc>
          <w:tcPr>
            <w:tcW w:w="560" w:type="dxa"/>
            <w:vAlign w:val="bottom"/>
            <w:tcBorders>
              <w:right w:val="single" w:sz="8" w:color="CCEEFF"/>
            </w:tcBorders>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560" w:type="dxa"/>
            <w:vAlign w:val="bottom"/>
            <w:tcBorders>
              <w:right w:val="single" w:sz="8" w:color="CCEEFF"/>
            </w:tcBorders>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outstanding—basic</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83,742</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88,688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93,244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100,071</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131,153</w:t>
            </w:r>
          </w:p>
        </w:tc>
        <w:tc>
          <w:tcPr>
            <w:tcW w:w="60" w:type="dxa"/>
            <w:vAlign w:val="bottom"/>
            <w:tcBorders>
              <w:left w:val="single" w:sz="8" w:color="CCEEFF"/>
            </w:tcBorders>
          </w:tcPr>
          <w:p>
            <w:pPr>
              <w:spacing w:after="0"/>
              <w:rPr>
                <w:sz w:val="15"/>
                <w:szCs w:val="15"/>
                <w:color w:val="auto"/>
              </w:rPr>
            </w:pPr>
          </w:p>
        </w:tc>
      </w:tr>
      <w:tr>
        <w:trPr>
          <w:trHeight w:val="145"/>
        </w:trPr>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00" w:type="dxa"/>
            <w:vAlign w:val="bottom"/>
          </w:tcPr>
          <w:p>
            <w:pPr>
              <w:spacing w:after="0" w:line="146" w:lineRule="exact"/>
              <w:rPr>
                <w:sz w:val="20"/>
                <w:szCs w:val="20"/>
                <w:color w:val="auto"/>
              </w:rPr>
            </w:pPr>
            <w:r>
              <w:rPr>
                <w:rFonts w:ascii="Arial" w:cs="Arial" w:eastAsia="Arial" w:hAnsi="Arial"/>
                <w:sz w:val="13"/>
                <w:szCs w:val="13"/>
                <w:color w:val="auto"/>
              </w:rPr>
              <w:t>Weighted average common 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outstanding—diluted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83,742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88,688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93,244</w:t>
            </w:r>
          </w:p>
        </w:tc>
        <w:tc>
          <w:tcPr>
            <w:tcW w:w="34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100,071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131,153</w:t>
            </w:r>
          </w:p>
        </w:tc>
        <w:tc>
          <w:tcPr>
            <w:tcW w:w="60" w:type="dxa"/>
            <w:vAlign w:val="bottom"/>
          </w:tcPr>
          <w:p>
            <w:pPr>
              <w:spacing w:after="0"/>
              <w:rPr>
                <w:sz w:val="14"/>
                <w:szCs w:val="14"/>
                <w:color w:val="auto"/>
              </w:rPr>
            </w:pPr>
          </w:p>
        </w:tc>
      </w:tr>
      <w:tr>
        <w:trPr>
          <w:trHeight w:val="151"/>
        </w:trPr>
        <w:tc>
          <w:tcPr>
            <w:tcW w:w="1000" w:type="dxa"/>
            <w:vAlign w:val="bottom"/>
          </w:tcPr>
          <w:p>
            <w:pPr>
              <w:spacing w:after="0"/>
              <w:rPr>
                <w:sz w:val="13"/>
                <w:szCs w:val="13"/>
                <w:color w:val="auto"/>
              </w:rPr>
            </w:pPr>
          </w:p>
        </w:tc>
        <w:tc>
          <w:tcPr>
            <w:tcW w:w="560" w:type="dxa"/>
            <w:vAlign w:val="bottom"/>
            <w:tcBorders>
              <w:right w:val="single" w:sz="8" w:color="CCEEFF"/>
            </w:tcBorders>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w w:val="94"/>
              </w:rPr>
              <w:t>Weighted average HPU shares outstanding—</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560" w:type="dxa"/>
            <w:vAlign w:val="bottom"/>
            <w:tcBorders>
              <w:right w:val="single" w:sz="8" w:color="CCEEFF"/>
            </w:tcBorders>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15</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15</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0" w:type="dxa"/>
            <w:vAlign w:val="bottom"/>
            <w:tcBorders>
              <w:left w:val="single" w:sz="8" w:color="CCEEFF"/>
            </w:tcBorders>
          </w:tcPr>
          <w:p>
            <w:pPr>
              <w:spacing w:after="0"/>
              <w:rPr>
                <w:sz w:val="15"/>
                <w:szCs w:val="15"/>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Cash flows from:</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activities</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(191,932)</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(28,577)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(45,883)</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77,795</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418,529</w:t>
            </w:r>
          </w:p>
        </w:tc>
        <w:tc>
          <w:tcPr>
            <w:tcW w:w="60" w:type="dxa"/>
            <w:vAlign w:val="bottom"/>
            <w:tcBorders>
              <w:left w:val="single" w:sz="8" w:color="CCEEFF"/>
            </w:tcBorders>
          </w:tcPr>
          <w:p>
            <w:pPr>
              <w:spacing w:after="0"/>
              <w:rPr>
                <w:sz w:val="22"/>
                <w:szCs w:val="22"/>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ind w:left="100"/>
              <w:spacing w:after="0"/>
              <w:rPr>
                <w:sz w:val="20"/>
                <w:szCs w:val="20"/>
                <w:color w:val="auto"/>
              </w:rPr>
            </w:pPr>
            <w:r>
              <w:rPr>
                <w:rFonts w:ascii="Arial" w:cs="Arial" w:eastAsia="Arial" w:hAnsi="Arial"/>
                <w:sz w:val="13"/>
                <w:szCs w:val="13"/>
                <w:color w:val="auto"/>
              </w:rPr>
              <w:t>Investing activities</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1,267,047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1,461,257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3,738,823</w:t>
            </w:r>
          </w:p>
        </w:tc>
        <w:tc>
          <w:tcPr>
            <w:tcW w:w="340" w:type="dxa"/>
            <w:vAlign w:val="bottom"/>
          </w:tcPr>
          <w:p>
            <w:pPr>
              <w:jc w:val="right"/>
              <w:ind w:right="20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724,702</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(27,943)</w:t>
            </w:r>
          </w:p>
        </w:tc>
        <w:tc>
          <w:tcPr>
            <w:tcW w:w="60" w:type="dxa"/>
            <w:vAlign w:val="bottom"/>
          </w:tcPr>
          <w:p>
            <w:pPr>
              <w:spacing w:after="0"/>
              <w:rPr>
                <w:sz w:val="21"/>
                <w:szCs w:val="21"/>
                <w:color w:val="auto"/>
              </w:rPr>
            </w:pPr>
          </w:p>
        </w:tc>
      </w:tr>
      <w:tr>
        <w:trPr>
          <w:trHeight w:val="254"/>
        </w:trPr>
        <w:tc>
          <w:tcPr>
            <w:tcW w:w="1000" w:type="dxa"/>
            <w:vAlign w:val="bottom"/>
          </w:tcPr>
          <w:p>
            <w:pPr>
              <w:spacing w:after="0"/>
              <w:rPr>
                <w:sz w:val="22"/>
                <w:szCs w:val="22"/>
                <w:color w:val="auto"/>
              </w:rPr>
            </w:pPr>
          </w:p>
        </w:tc>
        <w:tc>
          <w:tcPr>
            <w:tcW w:w="560" w:type="dxa"/>
            <w:vAlign w:val="bottom"/>
            <w:tcBorders>
              <w:right w:val="single" w:sz="8" w:color="CCEEFF"/>
            </w:tcBorders>
          </w:tcPr>
          <w:p>
            <w:pPr>
              <w:spacing w:after="0"/>
              <w:rPr>
                <w:sz w:val="22"/>
                <w:szCs w:val="22"/>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Financing activities</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(1,175,597)</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(1,580,719)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(3,412,707)</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96"/>
              </w:rPr>
              <w:t>(1,074,402)</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w:t>
            </w:r>
          </w:p>
        </w:tc>
        <w:tc>
          <w:tcPr>
            <w:tcW w:w="60" w:type="dxa"/>
            <w:vAlign w:val="bottom"/>
            <w:tcBorders>
              <w:left w:val="single" w:sz="8" w:color="CCEEFF"/>
            </w:tcBorders>
          </w:tcPr>
          <w:p>
            <w:pPr>
              <w:spacing w:after="0"/>
              <w:rPr>
                <w:sz w:val="22"/>
                <w:szCs w:val="22"/>
                <w:color w:val="auto"/>
              </w:rPr>
            </w:pPr>
          </w:p>
        </w:tc>
      </w:tr>
      <w:tr>
        <w:trPr>
          <w:trHeight w:val="515"/>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As of December 31,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2010</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w w:val="96"/>
              </w:rPr>
              <w:t>2009</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2008</w:t>
            </w:r>
          </w:p>
        </w:tc>
        <w:tc>
          <w:tcPr>
            <w:tcW w:w="60" w:type="dxa"/>
            <w:vAlign w:val="bottom"/>
          </w:tcPr>
          <w:p>
            <w:pPr>
              <w:spacing w:after="0"/>
              <w:rPr>
                <w:sz w:val="20"/>
                <w:szCs w:val="20"/>
                <w:color w:val="auto"/>
              </w:rPr>
            </w:pPr>
          </w:p>
        </w:tc>
      </w:tr>
      <w:tr>
        <w:trPr>
          <w:trHeight w:val="228"/>
        </w:trPr>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4"/>
        </w:trPr>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SHEET DATA:</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Real estate, net</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4"/>
              <w:spacing w:after="0"/>
              <w:rPr>
                <w:sz w:val="20"/>
                <w:szCs w:val="20"/>
                <w:color w:val="auto"/>
              </w:rPr>
            </w:pPr>
            <w:r>
              <w:rPr>
                <w:rFonts w:ascii="Arial" w:cs="Arial" w:eastAsia="Arial" w:hAnsi="Arial"/>
                <w:sz w:val="13"/>
                <w:szCs w:val="13"/>
                <w:color w:val="auto"/>
              </w:rPr>
              <w:t>2,799,023</w:t>
            </w:r>
          </w:p>
        </w:tc>
        <w:tc>
          <w:tcPr>
            <w:tcW w:w="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2,947,911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2,642,038</w:t>
            </w:r>
          </w:p>
        </w:tc>
        <w:tc>
          <w:tcPr>
            <w:tcW w:w="340" w:type="dxa"/>
            <w:vAlign w:val="bottom"/>
          </w:tcPr>
          <w:p>
            <w:pPr>
              <w:jc w:val="right"/>
              <w:ind w:righ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3,357,311</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3,103,310</w:t>
            </w:r>
          </w:p>
        </w:tc>
        <w:tc>
          <w:tcPr>
            <w:tcW w:w="60" w:type="dxa"/>
            <w:vAlign w:val="bottom"/>
          </w:tcPr>
          <w:p>
            <w:pPr>
              <w:spacing w:after="0"/>
              <w:rPr>
                <w:sz w:val="21"/>
                <w:szCs w:val="21"/>
                <w:color w:val="auto"/>
              </w:rPr>
            </w:pPr>
          </w:p>
        </w:tc>
      </w:tr>
      <w:tr>
        <w:trPr>
          <w:trHeight w:val="254"/>
        </w:trPr>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 estate available and held for sale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635,865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677,458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746,081</w:t>
            </w:r>
          </w:p>
        </w:tc>
        <w:tc>
          <w:tcPr>
            <w:tcW w:w="340" w:type="dxa"/>
            <w:vAlign w:val="bottom"/>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856,422</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242,505</w:t>
            </w:r>
          </w:p>
        </w:tc>
        <w:tc>
          <w:tcPr>
            <w:tcW w:w="60" w:type="dxa"/>
            <w:vAlign w:val="bottom"/>
          </w:tcPr>
          <w:p>
            <w:pPr>
              <w:spacing w:after="0"/>
              <w:rPr>
                <w:sz w:val="22"/>
                <w:szCs w:val="22"/>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Loans receivable, net</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4"/>
              <w:spacing w:after="0"/>
              <w:rPr>
                <w:sz w:val="20"/>
                <w:szCs w:val="20"/>
                <w:color w:val="auto"/>
              </w:rPr>
            </w:pPr>
            <w:r>
              <w:rPr>
                <w:rFonts w:ascii="Arial" w:cs="Arial" w:eastAsia="Arial" w:hAnsi="Arial"/>
                <w:sz w:val="13"/>
                <w:szCs w:val="13"/>
                <w:color w:val="auto"/>
              </w:rPr>
              <w:t>1,829,985</w:t>
            </w:r>
          </w:p>
        </w:tc>
        <w:tc>
          <w:tcPr>
            <w:tcW w:w="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2,860,762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4,587,352</w:t>
            </w:r>
          </w:p>
        </w:tc>
        <w:tc>
          <w:tcPr>
            <w:tcW w:w="340" w:type="dxa"/>
            <w:vAlign w:val="bottom"/>
          </w:tcPr>
          <w:p>
            <w:pPr>
              <w:jc w:val="right"/>
              <w:ind w:righ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7,661,562</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10,586,644</w:t>
            </w:r>
          </w:p>
        </w:tc>
        <w:tc>
          <w:tcPr>
            <w:tcW w:w="60" w:type="dxa"/>
            <w:vAlign w:val="bottom"/>
          </w:tcPr>
          <w:p>
            <w:pPr>
              <w:spacing w:after="0"/>
              <w:rPr>
                <w:sz w:val="21"/>
                <w:szCs w:val="21"/>
                <w:color w:val="auto"/>
              </w:rPr>
            </w:pPr>
          </w:p>
        </w:tc>
      </w:tr>
      <w:tr>
        <w:trPr>
          <w:trHeight w:val="254"/>
        </w:trPr>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6,150,789</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7,517,837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9,174,154</w:t>
            </w:r>
          </w:p>
        </w:tc>
        <w:tc>
          <w:tcPr>
            <w:tcW w:w="340" w:type="dxa"/>
            <w:vAlign w:val="bottom"/>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98"/>
              </w:rPr>
              <w:t>12,810,575</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15,296,748</w:t>
            </w:r>
          </w:p>
        </w:tc>
        <w:tc>
          <w:tcPr>
            <w:tcW w:w="60" w:type="dxa"/>
            <w:vAlign w:val="bottom"/>
          </w:tcPr>
          <w:p>
            <w:pPr>
              <w:spacing w:after="0"/>
              <w:rPr>
                <w:sz w:val="22"/>
                <w:szCs w:val="22"/>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Debt obligations, net</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4"/>
              <w:spacing w:after="0"/>
              <w:rPr>
                <w:sz w:val="20"/>
                <w:szCs w:val="20"/>
                <w:color w:val="auto"/>
              </w:rPr>
            </w:pPr>
            <w:r>
              <w:rPr>
                <w:rFonts w:ascii="Arial" w:cs="Arial" w:eastAsia="Arial" w:hAnsi="Arial"/>
                <w:sz w:val="13"/>
                <w:szCs w:val="13"/>
                <w:color w:val="auto"/>
              </w:rPr>
              <w:t>4,691,494</w:t>
            </w:r>
          </w:p>
        </w:tc>
        <w:tc>
          <w:tcPr>
            <w:tcW w:w="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5,837,540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7,345,433</w:t>
            </w:r>
          </w:p>
        </w:tc>
        <w:tc>
          <w:tcPr>
            <w:tcW w:w="340" w:type="dxa"/>
            <w:vAlign w:val="bottom"/>
          </w:tcPr>
          <w:p>
            <w:pPr>
              <w:jc w:val="right"/>
              <w:ind w:righ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54"/>
              <w:spacing w:after="0"/>
              <w:rPr>
                <w:sz w:val="20"/>
                <w:szCs w:val="20"/>
                <w:color w:val="auto"/>
              </w:rPr>
            </w:pPr>
            <w:r>
              <w:rPr>
                <w:rFonts w:ascii="Arial" w:cs="Arial" w:eastAsia="Arial" w:hAnsi="Arial"/>
                <w:sz w:val="13"/>
                <w:szCs w:val="13"/>
                <w:color w:val="auto"/>
                <w:w w:val="98"/>
              </w:rPr>
              <w:t>10,894,903</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12,486,404</w:t>
            </w:r>
          </w:p>
        </w:tc>
        <w:tc>
          <w:tcPr>
            <w:tcW w:w="60" w:type="dxa"/>
            <w:vAlign w:val="bottom"/>
          </w:tcPr>
          <w:p>
            <w:pPr>
              <w:spacing w:after="0"/>
              <w:rPr>
                <w:sz w:val="21"/>
                <w:szCs w:val="21"/>
                <w:color w:val="auto"/>
              </w:rPr>
            </w:pPr>
          </w:p>
        </w:tc>
      </w:tr>
      <w:tr>
        <w:trPr>
          <w:trHeight w:val="254"/>
        </w:trPr>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equity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1,313,154</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1,573,604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1,694,659</w:t>
            </w:r>
          </w:p>
        </w:tc>
        <w:tc>
          <w:tcPr>
            <w:tcW w:w="340" w:type="dxa"/>
            <w:vAlign w:val="bottom"/>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1,656,118</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2,446,662</w:t>
            </w:r>
          </w:p>
        </w:tc>
        <w:tc>
          <w:tcPr>
            <w:tcW w:w="60" w:type="dxa"/>
            <w:vAlign w:val="bottom"/>
          </w:tcPr>
          <w:p>
            <w:pPr>
              <w:spacing w:after="0"/>
              <w:rPr>
                <w:sz w:val="22"/>
                <w:szCs w:val="22"/>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67" w:lineRule="auto"/>
        <w:tabs>
          <w:tab w:leader="none" w:pos="601" w:val="left"/>
        </w:tabs>
        <w:numPr>
          <w:ilvl w:val="0"/>
          <w:numId w:val="17"/>
        </w:numPr>
        <w:rPr>
          <w:rFonts w:ascii="Arial" w:cs="Arial" w:eastAsia="Arial" w:hAnsi="Arial"/>
          <w:sz w:val="12"/>
          <w:szCs w:val="12"/>
          <w:color w:val="auto"/>
        </w:rPr>
      </w:pPr>
      <w:r>
        <w:rPr>
          <w:rFonts w:ascii="Arial" w:cs="Arial" w:eastAsia="Arial" w:hAnsi="Arial"/>
          <w:sz w:val="12"/>
          <w:szCs w:val="12"/>
          <w:color w:val="auto"/>
        </w:rPr>
        <w:t>HPU holders are current and former Company employees who purchased high performance common stock units under the Company's High Performance Unit Program. Participating Security holders are Company employees and directors who hold unvested restricted stock units, restricted stock awards and common stock equivalents granted under the Company's Long Term Incentive Plans.</w:t>
      </w:r>
    </w:p>
    <w:p>
      <w:pPr>
        <w:ind w:left="601" w:hanging="601"/>
        <w:spacing w:after="0"/>
        <w:tabs>
          <w:tab w:leader="none" w:pos="601"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Item 8—"Financial Statements and Supplementary Data—Note 13."</w:t>
      </w:r>
    </w:p>
    <w:p>
      <w:pPr>
        <w:ind w:left="601" w:hanging="601"/>
        <w:spacing w:after="0"/>
        <w:tabs>
          <w:tab w:leader="none" w:pos="60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has not declared or paid a common dividend since the quarter ended June 30, 2008.</w:t>
      </w:r>
    </w:p>
    <w:p>
      <w:pPr>
        <w:jc w:val="both"/>
        <w:ind w:left="601" w:hanging="601"/>
        <w:spacing w:after="0" w:line="259" w:lineRule="auto"/>
        <w:tabs>
          <w:tab w:leader="none" w:pos="601" w:val="left"/>
        </w:tabs>
        <w:numPr>
          <w:ilvl w:val="0"/>
          <w:numId w:val="17"/>
        </w:numPr>
        <w:rPr>
          <w:rFonts w:ascii="Arial" w:cs="Arial" w:eastAsia="Arial" w:hAnsi="Arial"/>
          <w:sz w:val="12"/>
          <w:szCs w:val="12"/>
          <w:color w:val="auto"/>
        </w:rPr>
      </w:pPr>
      <w:r>
        <w:rPr>
          <w:rFonts w:ascii="Arial" w:cs="Arial" w:eastAsia="Arial" w:hAnsi="Arial"/>
          <w:sz w:val="12"/>
          <w:szCs w:val="12"/>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 See computation of Adjusted income and Adjusted EBITDA on page 36.</w:t>
      </w:r>
    </w:p>
    <w:p>
      <w:pPr>
        <w:ind w:left="601" w:hanging="601"/>
        <w:spacing w:after="0" w:line="239" w:lineRule="auto"/>
        <w:tabs>
          <w:tab w:leader="none" w:pos="60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ratio of earnings to fixed charges is calculated in accordance with SEC Regulation S-K Item 503. The Company's unsecured debt securities have a fixed charge coverage covenant which is calculated differently in accordance with the terms of the agreements governing such securities.</w:t>
      </w:r>
    </w:p>
    <w:p>
      <w:pPr>
        <w:ind w:left="601" w:hanging="601"/>
        <w:spacing w:after="0" w:line="249" w:lineRule="auto"/>
        <w:tabs>
          <w:tab w:leader="none" w:pos="601" w:val="left"/>
        </w:tabs>
        <w:numPr>
          <w:ilvl w:val="0"/>
          <w:numId w:val="17"/>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earnings were not sufficient to cover fixed charges by $303,466, $68,784, $218,353, $757,283 and $276,951, respectively, and earnings were not sufficient to cover fixed charges and preferred dividends by $345,786, $111,104, $260,673, $799,603 and $319,271,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1"/>
          </w:cols>
          <w:pgMar w:left="239" w:top="114" w:right="2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55" w:lineRule="exact"/>
        <w:rPr>
          <w:sz w:val="20"/>
          <w:szCs w:val="20"/>
          <w:color w:val="auto"/>
        </w:rPr>
      </w:pPr>
    </w:p>
    <w:p>
      <w:pPr>
        <w:jc w:val="both"/>
        <w:ind w:firstLine="397"/>
        <w:spacing w:after="0" w:line="303" w:lineRule="auto"/>
        <w:rPr>
          <w:sz w:val="20"/>
          <w:szCs w:val="20"/>
          <w:color w:val="auto"/>
        </w:rPr>
      </w:pPr>
      <w:r>
        <w:rPr>
          <w:rFonts w:ascii="Arial" w:cs="Arial" w:eastAsia="Arial" w:hAnsi="Arial"/>
          <w:sz w:val="14"/>
          <w:szCs w:val="14"/>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and Section 21E of the Exchange Act. Forward-looking statements are included with respect to, among other things,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 For purposes of this Management's Discussion and Analysis of Financial Condition and Results of Operations, the terms "we," "our" and "us" refer to iStar Financial Inc. and its consolidated subsidiaries, unless the context indicates otherwise.</w:t>
      </w:r>
    </w:p>
    <w:p>
      <w:pPr>
        <w:spacing w:after="0" w:line="395"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This discussion summarizes the significant factors affecting our consolidated operating results, financial condition and liquidity during the three-year period ended December 31, 2012. This discussion should be read in conjunction with our consolidated financial statements and related notes for the three-year period ended December 31, 2012 included elsewhere in this Annual Report on Form 10-K. These historical financial statements may not be indicative of our future performance. We have reclassified certain items in our consolidated financial statements from prior years in order to conform to our current year presentation (see Item 8—"Financial Statements and Supplemental Data —Note 2").</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w:t>
      </w:r>
    </w:p>
    <w:p>
      <w:pPr>
        <w:spacing w:after="0" w:line="25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leasing, operating properties and land.</w:t>
      </w:r>
    </w:p>
    <w:p>
      <w:pPr>
        <w:spacing w:after="0" w:line="231" w:lineRule="exact"/>
        <w:rPr>
          <w:sz w:val="20"/>
          <w:szCs w:val="20"/>
          <w:color w:val="auto"/>
        </w:rPr>
      </w:pPr>
    </w:p>
    <w:p>
      <w:pPr>
        <w:jc w:val="both"/>
        <w:ind w:firstLine="397"/>
        <w:spacing w:after="0" w:line="275" w:lineRule="auto"/>
        <w:rPr>
          <w:sz w:val="20"/>
          <w:szCs w:val="20"/>
          <w:color w:val="auto"/>
        </w:rPr>
      </w:pPr>
      <w:r>
        <w:rPr>
          <w:rFonts w:ascii="Arial" w:cs="Arial" w:eastAsia="Arial" w:hAnsi="Arial"/>
          <w:sz w:val="16"/>
          <w:szCs w:val="16"/>
          <w:color w:val="auto"/>
        </w:rPr>
        <w:t>Our real estate finance portfolio is primarily comprised of senior and mezzanine real estate loans that may be either fixed-rate or variable-rate and are structured to meet the specific financing needs of borrowers. Our portfolio also includes senior and subordinated loans to corporations, particularly those engaged in real estate or real estate related businesses and may be either secured or unsecured. Our loan portfolio includes whole loans and loan participations.</w:t>
      </w:r>
    </w:p>
    <w:p>
      <w:pPr>
        <w:spacing w:after="0" w:line="87"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Our net lease portfolio is primarily comprised of properties owned by us and leased to single creditworthy tenants where the properties are subject to long-term leases. Most of the leases provide for expenses at the facility to be paid by the tenant on a triple net lease basis. The properties in this portfolio are diversified by property type and geographic location.</w:t>
      </w:r>
    </w:p>
    <w:p>
      <w:pPr>
        <w:spacing w:after="0" w:line="141" w:lineRule="exact"/>
        <w:rPr>
          <w:sz w:val="20"/>
          <w:szCs w:val="20"/>
          <w:color w:val="auto"/>
        </w:rPr>
      </w:pPr>
    </w:p>
    <w:p>
      <w:pPr>
        <w:jc w:val="both"/>
        <w:ind w:firstLine="372"/>
        <w:spacing w:after="0" w:line="320" w:lineRule="auto"/>
        <w:rPr>
          <w:sz w:val="20"/>
          <w:szCs w:val="20"/>
          <w:color w:val="auto"/>
        </w:rPr>
      </w:pPr>
      <w:r>
        <w:rPr>
          <w:rFonts w:ascii="Arial" w:cs="Arial" w:eastAsia="Arial" w:hAnsi="Arial"/>
          <w:sz w:val="14"/>
          <w:szCs w:val="14"/>
          <w:color w:val="auto"/>
        </w:rPr>
        <w:t>Our operating properties portfolio is comprised of commercial and residential properties which represent a diverse pool of assets across a broad range of geographies and property types. We generally seek to reposition or redevelop these assets with the objective of maximizing their value through the infusion of capital and/or intensive asset management efforts. The commercial properties within this portfolio include office, retail and hotel properties. The residential properties within this portfolio are generally luxury condominium projects located in major U.S. cities where our strategy is to sell individual condominium units through retail distribution channels.</w:t>
      </w:r>
    </w:p>
    <w:p>
      <w:pPr>
        <w:spacing w:after="0" w:line="97"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6"/>
          <w:szCs w:val="16"/>
          <w:color w:val="auto"/>
        </w:rPr>
        <w:t>Our land portfolio primarily consists of 11 master planned community projects, seven urban infill land parcels and six waterfront land parcels located throughout the United States. Master planned communities represent large-scale residential projects that we intend to plan and/or develop and may sell through retail channels to home builders or in bulk. We currently have entitlements at these projects for more than 25,000 lots. Waterfront parcels are generally entitled for residential projects and urban infill parcels are generally entitled for mixed-use projects. We may develop these properties ourselves or sell to or partner with commercial real estate developers. These projects are currently entitled for approximately 6,000 residential units, and select projects include commercial, retail and office uses. As of December 31, 2012, we had four land projects in production, nine in development and 11 in the pre-development phase.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0" w:right="2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202" w:lineRule="exact"/>
        <w:rPr>
          <w:sz w:val="20"/>
          <w:szCs w:val="20"/>
          <w:color w:val="auto"/>
        </w:rPr>
      </w:pPr>
    </w:p>
    <w:p>
      <w:pPr>
        <w:jc w:val="both"/>
        <w:ind w:firstLine="372"/>
        <w:spacing w:after="0" w:line="264" w:lineRule="auto"/>
        <w:rPr>
          <w:sz w:val="20"/>
          <w:szCs w:val="20"/>
          <w:color w:val="auto"/>
        </w:rPr>
      </w:pPr>
      <w:r>
        <w:rPr>
          <w:rFonts w:ascii="Arial" w:cs="Arial" w:eastAsia="Arial" w:hAnsi="Arial"/>
          <w:sz w:val="16"/>
          <w:szCs w:val="16"/>
          <w:color w:val="auto"/>
        </w:rPr>
        <w:t>2012 was a transitional year for the Company during which we made significant progress in strengthening our balance sheet and positioning the Company for the future. We executed several capital markets transactions that extended our debt maturities, including three senior notes issuances which marked our return to the unsecured debt markets for the first time since 2008. The rates associated with the financings that we completed in the latter half of the year, following an upgrade of the Company's corporate credit ratings, were materially lower than our earlier financings. Within our real estate and loan portfolios, our performing loans, net lease assets and residential condominium projects performed well, and we continued to make progress reducing the balance of our non-performing loans and enhancing the value of our commercial operating properties and land assets through the investment of capital and intensive asset management. We intend to continue these efforts, with the objective of having these assets contribute positively to earnings.</w:t>
      </w:r>
    </w:p>
    <w:p>
      <w:pPr>
        <w:spacing w:after="0" w:line="135"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During 2012, we saw a meaningful contribution to earnings from our performing loans, net lease assets and sales of our residential operating properties. However, the performance of our commercial operating properties and nonperforming loans resulted in losses and our land assets incurred sizable carrying costs, which factors continue to negatively impact our earnings.</w:t>
      </w:r>
    </w:p>
    <w:p>
      <w:pPr>
        <w:spacing w:after="0" w:line="141" w:lineRule="exact"/>
        <w:rPr>
          <w:sz w:val="20"/>
          <w:szCs w:val="20"/>
          <w:color w:val="auto"/>
        </w:rPr>
      </w:pPr>
    </w:p>
    <w:p>
      <w:pPr>
        <w:jc w:val="both"/>
        <w:ind w:firstLine="372"/>
        <w:spacing w:after="0" w:line="249" w:lineRule="auto"/>
        <w:rPr>
          <w:sz w:val="20"/>
          <w:szCs w:val="20"/>
          <w:color w:val="auto"/>
        </w:rPr>
      </w:pPr>
      <w:r>
        <w:rPr>
          <w:rFonts w:ascii="Arial" w:cs="Arial" w:eastAsia="Arial" w:hAnsi="Arial"/>
          <w:sz w:val="17"/>
          <w:szCs w:val="17"/>
          <w:color w:val="auto"/>
        </w:rPr>
        <w:t>For the year ended December 31, 2012, we recorded a net loss allocable to common shareholders of $(273.0) million, compared to a loss of $(62.4) million in the prior year. Results for the current year included $35.2 million of expenses associated with three capital markets transactions. Results in the prior year included a $109.0 million gain associated with the redemption of the Company's 10% senior secured notes and $30.3 million of additional earnings from equity method investments associated with the sale of Oak Hill Advisors.</w:t>
      </w:r>
    </w:p>
    <w:p>
      <w:pPr>
        <w:spacing w:after="0" w:line="144" w:lineRule="exact"/>
        <w:rPr>
          <w:sz w:val="20"/>
          <w:szCs w:val="20"/>
          <w:color w:val="auto"/>
        </w:rPr>
      </w:pPr>
    </w:p>
    <w:p>
      <w:pPr>
        <w:jc w:val="both"/>
        <w:ind w:firstLine="372"/>
        <w:spacing w:after="0" w:line="264" w:lineRule="auto"/>
        <w:rPr>
          <w:sz w:val="20"/>
          <w:szCs w:val="20"/>
          <w:color w:val="auto"/>
        </w:rPr>
      </w:pPr>
      <w:r>
        <w:rPr>
          <w:rFonts w:ascii="Arial" w:cs="Arial" w:eastAsia="Arial" w:hAnsi="Arial"/>
          <w:sz w:val="16"/>
          <w:szCs w:val="16"/>
          <w:color w:val="auto"/>
        </w:rPr>
        <w:t>With respect to liquidity, during 2012, we generated $1.48 billion of proceeds from our portfolio and we raised approximately $3.51 billion through secured and unsecured debt capital markets transactions. We used the proceeds of these transactions to repay and/or refinance a significant portion of our debt that was due to mature before 2017, which should enable us to increase our investment originations beginning in 2013. As of December 31, 2012, we had $545.3 million of debt maturities due before December 31, 2013, with a majority of that amount due in October 2013. As of December 31, 2012, we had $256.3 million of cash on hand and in January 2013, we entered into a definitive agreement to sell our interest in LNR for approximate net proceeds of $220.0 million. Additionally, as of December 31, 2012, we had unencumbered assets with a carrying value of $3.01 billion. Our capital resources to meet debt maturities in the coming year include debt refinancings, proceeds from asset sales, loan repayments from borrowers and may include equity capital raising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-536575</wp:posOffset>
            </wp:positionV>
            <wp:extent cx="260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0" w:right="2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Year Ended December 31, 2012 compared to the Year Ended December 31, 2011</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gridSpan w:val="5"/>
          </w:tcPr>
          <w:p>
            <w:pPr>
              <w:ind w:left="220"/>
              <w:spacing w:after="0"/>
              <w:rPr>
                <w:sz w:val="20"/>
                <w:szCs w:val="20"/>
                <w:color w:val="auto"/>
              </w:rPr>
            </w:pPr>
            <w:r>
              <w:rPr>
                <w:rFonts w:ascii="Arial" w:cs="Arial" w:eastAsia="Arial" w:hAnsi="Arial"/>
                <w:sz w:val="13"/>
                <w:szCs w:val="13"/>
                <w:b w:val="1"/>
                <w:bCs w:val="1"/>
                <w:color w:val="auto"/>
              </w:rPr>
              <w:t>For the Years Ended December 31,</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1"/>
        </w:trPr>
        <w:tc>
          <w:tcPr>
            <w:tcW w:w="50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 Change</w:t>
            </w:r>
          </w:p>
        </w:tc>
      </w:tr>
      <w:tr>
        <w:trPr>
          <w:trHeight w:val="228"/>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income</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219,019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198,478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20,541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133,410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226,871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(93,461)</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(41)%</w:t>
            </w:r>
          </w:p>
        </w:tc>
      </w:tr>
      <w:tr>
        <w:trPr>
          <w:trHeight w:val="26"/>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48,043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39,720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8,323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14"/>
        </w:trPr>
        <w:tc>
          <w:tcPr>
            <w:tcW w:w="5040" w:type="dxa"/>
            <w:vAlign w:val="bottom"/>
          </w:tcPr>
          <w:p>
            <w:pPr>
              <w:ind w:left="140"/>
              <w:spacing w:after="0"/>
              <w:rPr>
                <w:sz w:val="20"/>
                <w:szCs w:val="20"/>
                <w:color w:val="auto"/>
              </w:rPr>
            </w:pPr>
            <w:r>
              <w:rPr>
                <w:rFonts w:ascii="Arial" w:cs="Arial" w:eastAsia="Arial" w:hAnsi="Arial"/>
                <w:sz w:val="17"/>
                <w:szCs w:val="17"/>
                <w:color w:val="auto"/>
              </w:rPr>
              <w:t>Total revenue</w:t>
            </w:r>
          </w:p>
        </w:tc>
        <w:tc>
          <w:tcPr>
            <w:tcW w:w="34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400,472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465,069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(64,597)</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6"/>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2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355,097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342,186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12,911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Real estate expenses</w:t>
            </w:r>
          </w:p>
        </w:tc>
        <w:tc>
          <w:tcPr>
            <w:tcW w:w="3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151,827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138,943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12,884</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9 %</w:t>
            </w:r>
          </w:p>
        </w:tc>
      </w:tr>
      <w:tr>
        <w:trPr>
          <w:trHeight w:val="26"/>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69,350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58,662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10,688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80,856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105,039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(24,183)</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(23)%</w:t>
            </w:r>
          </w:p>
        </w:tc>
      </w:tr>
      <w:tr>
        <w:trPr>
          <w:trHeight w:val="26"/>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loan losses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81,740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46,412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35,328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76 %</w:t>
            </w: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Impairment of assets</w:t>
            </w:r>
          </w:p>
        </w:tc>
        <w:tc>
          <w:tcPr>
            <w:tcW w:w="3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13,778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13,239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539</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4 %</w:t>
            </w:r>
          </w:p>
        </w:tc>
      </w:tr>
      <w:tr>
        <w:trPr>
          <w:trHeight w:val="26"/>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17,266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11,070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6,196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56 %</w:t>
            </w:r>
          </w:p>
        </w:tc>
      </w:tr>
      <w:tr>
        <w:trPr>
          <w:trHeight w:val="214"/>
        </w:trPr>
        <w:tc>
          <w:tcPr>
            <w:tcW w:w="5040" w:type="dxa"/>
            <w:vAlign w:val="bottom"/>
          </w:tcPr>
          <w:p>
            <w:pPr>
              <w:ind w:left="140"/>
              <w:spacing w:after="0"/>
              <w:rPr>
                <w:sz w:val="20"/>
                <w:szCs w:val="20"/>
                <w:color w:val="auto"/>
              </w:rPr>
            </w:pPr>
            <w:r>
              <w:rPr>
                <w:rFonts w:ascii="Arial" w:cs="Arial" w:eastAsia="Arial" w:hAnsi="Arial"/>
                <w:sz w:val="17"/>
                <w:szCs w:val="17"/>
                <w:color w:val="auto"/>
              </w:rPr>
              <w:t>Total costs and expenses</w:t>
            </w:r>
          </w:p>
        </w:tc>
        <w:tc>
          <w:tcPr>
            <w:tcW w:w="34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769,914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715,551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54,363</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8 %</w:t>
            </w:r>
          </w:p>
        </w:tc>
      </w:tr>
      <w:tr>
        <w:trPr>
          <w:trHeight w:val="26"/>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2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(loss) on early extinguishment of debt, net</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(37,816)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101,466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(139,282)</w:t>
            </w:r>
          </w:p>
        </w:tc>
        <w:tc>
          <w:tcPr>
            <w:tcW w:w="170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&gt;100%</w:t>
            </w: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Earnings from equity method investments</w:t>
            </w:r>
          </w:p>
        </w:tc>
        <w:tc>
          <w:tcPr>
            <w:tcW w:w="3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103,009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95,091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7,918</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8 %</w:t>
            </w:r>
          </w:p>
        </w:tc>
      </w:tr>
      <w:tr>
        <w:trPr>
          <w:trHeight w:val="26"/>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4,719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(13,164)</w:t>
            </w:r>
          </w:p>
        </w:tc>
        <w:tc>
          <w:tcPr>
            <w:tcW w:w="170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&gt;100%</w:t>
            </w: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(19,465)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(12,147)</w:t>
            </w:r>
          </w:p>
        </w:tc>
        <w:tc>
          <w:tcPr>
            <w:tcW w:w="1700" w:type="dxa"/>
            <w:vAlign w:val="bottom"/>
            <w:gridSpan w:val="2"/>
          </w:tcPr>
          <w:p>
            <w:pPr>
              <w:jc w:val="right"/>
              <w:ind w:right="154"/>
              <w:spacing w:after="0"/>
              <w:rPr>
                <w:sz w:val="20"/>
                <w:szCs w:val="20"/>
                <w:color w:val="auto"/>
              </w:rPr>
            </w:pPr>
            <w:r>
              <w:rPr>
                <w:rFonts w:ascii="Arial" w:cs="Arial" w:eastAsia="Arial" w:hAnsi="Arial"/>
                <w:sz w:val="17"/>
                <w:szCs w:val="17"/>
                <w:color w:val="auto"/>
              </w:rPr>
              <w:t>&gt;100%</w:t>
            </w:r>
          </w:p>
        </w:tc>
      </w:tr>
      <w:tr>
        <w:trPr>
          <w:trHeight w:val="26"/>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from discontinued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27,257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25,110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2,147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Income from sales of residential property</w:t>
            </w:r>
          </w:p>
        </w:tc>
        <w:tc>
          <w:tcPr>
            <w:tcW w:w="3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63,472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5,721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57,751</w:t>
            </w:r>
          </w:p>
        </w:tc>
        <w:tc>
          <w:tcPr>
            <w:tcW w:w="1700" w:type="dxa"/>
            <w:vAlign w:val="bottom"/>
            <w:gridSpan w:val="2"/>
          </w:tcPr>
          <w:p>
            <w:pPr>
              <w:jc w:val="right"/>
              <w:ind w:right="154"/>
              <w:spacing w:after="0"/>
              <w:rPr>
                <w:sz w:val="20"/>
                <w:szCs w:val="20"/>
                <w:color w:val="auto"/>
              </w:rPr>
            </w:pPr>
            <w:r>
              <w:rPr>
                <w:rFonts w:ascii="Arial" w:cs="Arial" w:eastAsia="Arial" w:hAnsi="Arial"/>
                <w:sz w:val="17"/>
                <w:szCs w:val="17"/>
                <w:color w:val="auto"/>
              </w:rPr>
              <w:t>&gt;100%</w:t>
            </w:r>
          </w:p>
        </w:tc>
      </w:tr>
      <w:tr>
        <w:trPr>
          <w:trHeight w:val="26"/>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(241,430)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(215,737)</w:t>
            </w:r>
          </w:p>
        </w:tc>
        <w:tc>
          <w:tcPr>
            <w:tcW w:w="170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&gt;100%</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—Operating lease income increased to $219.0 million in 2012 and includes income from net lease assets and commercial operating properties.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 income from net lease assets increased 3.3% to $152.0 million in 2012 from $147.2 million in 2011 primarily due to new leasing activity. As of December 31, 2012, net lease assets were 94.8% leased compared to 94.4% leased as of December 31, 2011. For the year ended December 31, 2012, the net lease portfolio generated a weighted average effective yield of 8.6% compared to 8.4% during the same period in 2011.</w:t>
      </w:r>
    </w:p>
    <w:p>
      <w:pPr>
        <w:spacing w:after="0" w:line="165" w:lineRule="exact"/>
        <w:rPr>
          <w:sz w:val="20"/>
          <w:szCs w:val="20"/>
          <w:color w:val="auto"/>
        </w:rPr>
      </w:pPr>
    </w:p>
    <w:p>
      <w:pPr>
        <w:jc w:val="both"/>
        <w:ind w:firstLine="447"/>
        <w:spacing w:after="0" w:line="249" w:lineRule="auto"/>
        <w:rPr>
          <w:sz w:val="20"/>
          <w:szCs w:val="20"/>
          <w:color w:val="auto"/>
        </w:rPr>
      </w:pPr>
      <w:r>
        <w:rPr>
          <w:rFonts w:ascii="Arial" w:cs="Arial" w:eastAsia="Arial" w:hAnsi="Arial"/>
          <w:sz w:val="17"/>
          <w:szCs w:val="17"/>
          <w:color w:val="auto"/>
        </w:rPr>
        <w:t>Operating lease income from commercial operating properties increased to $65.5 million in 2012 from $51.2 million in 2011. We acquired title to additional commercial operating properties at the end of 2011 and during 2012, which contributed $20.6 million in operating lease income for the year ended December 31, 2012. The impact of certain lease terminations offset this increase by $6.3 million year over year. As of December 31, 2012, commercial operating properties, excluding hotels, were 58.1% leased compared to 41.0% leased as of December 31, 2011.</w:t>
      </w:r>
    </w:p>
    <w:p>
      <w:pPr>
        <w:spacing w:after="0" w:line="18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Interest income declined primarily due to a decline in the average balance of performing loans to $1.67 billion for the year ended December 31, 2012 from $2.58 billion for the same period in 2011. The decrease in performing loans was primarily due to loan repayments as well as performing loans moving to non-performing status (see Risk Management below). For the year ended December 31, 2012, performing loans generated a weighted average effective yield of 7.5% as compared to 7.2% in 2011.</w:t>
      </w:r>
    </w:p>
    <w:p>
      <w:pPr>
        <w:spacing w:after="0" w:line="18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Other income primarily includes revenue related to hotel properties included in the operating property portfolio, which was $32.8 million in 2012 compared to $32.5 million in 2011. For the year ended December 31, 2012, other income also includes $8.6 million of loan income related to the prepayment and sales of loans as compared to $2.9 million for the year ended December 31, 2011.</w:t>
      </w:r>
    </w:p>
    <w:p>
      <w:pPr>
        <w:spacing w:after="0" w:line="178"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b w:val="1"/>
          <w:bCs w:val="1"/>
          <w:i w:val="1"/>
          <w:iCs w:val="1"/>
          <w:color w:val="auto"/>
        </w:rPr>
        <w:t>Costs and expenses</w:t>
      </w:r>
      <w:r>
        <w:rPr>
          <w:rFonts w:ascii="Arial" w:cs="Arial" w:eastAsia="Arial" w:hAnsi="Arial"/>
          <w:sz w:val="14"/>
          <w:szCs w:val="14"/>
          <w:color w:val="auto"/>
        </w:rPr>
        <w:t>—Interest expense increased in 2012 primarily due to a higher weighted average cost of debt offset by a lower average outstanding balance.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weighted average effective cost of debt increased to 6.5% for the year ended December 31, 2012 as compared to 5.3% during 2011, primarily due to the refinancing of existing debt in 2011 and the first half of 2012 at higher rates. With continued improvement in the capital markets and upgrades in our credit ratings achieved later in 2012, we refinanced one of our secured credit facilities and issued unsecured debt at rates which will reduce our weighted average cost of debt in future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0" w:right="2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periods. The average outstanding balance of our debt declined to $5.49 billion for the year ended December 31, 2012 from $6.47 billion for the year ended December 31, 2011.</w:t>
      </w:r>
    </w:p>
    <w:p>
      <w:pPr>
        <w:spacing w:after="0" w:line="172"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6"/>
          <w:szCs w:val="16"/>
          <w:color w:val="auto"/>
        </w:rPr>
        <w:t>The increase in real estate expense year over year was primarily driven by additional properties that we took title to in 2012 and late 2011 through resolution of non-performing loans. Expenses for operating properties were $100.3 million in 2012 as compared to $92.0 million in 2011, which includes carrying costs on our residential operating properties totaling $26.5 million in 2012 and $24.4 million in 2011. Operating expenses for net lease assets declined slightly to $24.3 million in 2012 from $25.3 million in 2011. Carrying costs and other expenses on our land assets increased to $27.3 million in 2012 from $21.6 million in 2011, primarily related to acquiring title to assets in resolution of non-performing loans as well as increased legal and consulting expenses. Depreciation and amortization increased in 2012 primarily due to the acquisition of additional operating properties in late 2011 and 2012.</w:t>
      </w:r>
    </w:p>
    <w:p>
      <w:pPr>
        <w:spacing w:after="0" w:line="171"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color w:val="auto"/>
        </w:rPr>
        <w:t>General and administrative expenses decreased primarily due to lower stock-based compensation expense, lower payroll and employee related costs and decreased legal expenses. Stock-based compensation expense declined to $15.3 million in 2012 from $29.7 million in 2011, primarily resulting from the incremental expense in 2011 associated with the July 2011 modification of our restricted stock units originally awarded on December 19, 2008. Payroll and employee related costs declined due to staffing reductions, while legal expenses declined due to the settlement of litigation in June 2012 (see Item 3. Legal Proceedings).</w:t>
      </w:r>
    </w:p>
    <w:p>
      <w:pPr>
        <w:spacing w:after="0" w:line="134" w:lineRule="exact"/>
        <w:rPr>
          <w:sz w:val="20"/>
          <w:szCs w:val="20"/>
          <w:color w:val="auto"/>
        </w:rPr>
      </w:pPr>
    </w:p>
    <w:p>
      <w:pPr>
        <w:jc w:val="both"/>
        <w:ind w:firstLine="397"/>
        <w:spacing w:after="0" w:line="368" w:lineRule="auto"/>
        <w:rPr>
          <w:sz w:val="20"/>
          <w:szCs w:val="20"/>
          <w:color w:val="auto"/>
        </w:rPr>
      </w:pPr>
      <w:r>
        <w:rPr>
          <w:rFonts w:ascii="Arial" w:cs="Arial" w:eastAsia="Arial" w:hAnsi="Arial"/>
          <w:sz w:val="14"/>
          <w:szCs w:val="14"/>
          <w:color w:val="auto"/>
        </w:rPr>
        <w:t>Provisions for loan losses totaled $81.7 million during the year ended December 31, 2012 and included higher specific reserves on non-performing loans, offset by a reduction in the general reserve primarily due to a reduction in the balance of performing loans outstanding during the current year (see Risk Management below).</w:t>
      </w:r>
    </w:p>
    <w:p>
      <w:pPr>
        <w:spacing w:after="0" w:line="102"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4"/>
          <w:szCs w:val="14"/>
          <w:color w:val="auto"/>
        </w:rPr>
        <w:t>Impairment of assets for the year ended December 31, 2012 resulted primarily from changes in business strategy for certain assets and consisted of $27.7 million on operating properties and $7.7 million on net lease assets. Of these amounts, $22.6 million of impairments related to real estate assets held for sale or sold and were therefore included in discontinued operations for the year ended December 31, 2012. For the year ended December 31, 2011, we recorded impairments of $22.4 million related to operating properties which resulted from changing market conditions and changes in business strategy for certain assets. Of this amount, $9.1 million relates to real estate assets held for sale or sold and therefore, were included in discontinued operations for the year ended December 31, 2011.</w:t>
      </w:r>
    </w:p>
    <w:p>
      <w:pPr>
        <w:spacing w:after="0" w:line="138"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Other expense for the year ended December 31, 2012 increased primarily due to $8.1 million of third party expenses incurred in connection with the refinancing of our 2011 Secured Credit Facilities with our October Credit Facility (see Liquidity and Capital Resources below).</w:t>
      </w:r>
    </w:p>
    <w:p>
      <w:pPr>
        <w:spacing w:after="0" w:line="172"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4"/>
          <w:szCs w:val="14"/>
          <w:b w:val="1"/>
          <w:bCs w:val="1"/>
          <w:i w:val="1"/>
          <w:iCs w:val="1"/>
          <w:color w:val="auto"/>
        </w:rPr>
        <w:t>Gain on early extinguishment of debt, net</w:t>
      </w:r>
      <w:r>
        <w:rPr>
          <w:rFonts w:ascii="Arial" w:cs="Arial" w:eastAsia="Arial" w:hAnsi="Arial"/>
          <w:sz w:val="14"/>
          <w:szCs w:val="14"/>
          <w:color w:val="auto"/>
        </w:rPr>
        <w:t>—During the year ended December 31, 2012, net losses on the early extinguishment of debt included a $14.9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prepayment fee on the early redemption of our 8.625% Senior Unsecured Notes due in June 2013 as well as $12.1 million related to the accelerated amortization of discounts and fees in connection with the refinancing of our 2011 Secured Credit Facilities in October of 2012 (see Liquidity and Capital Resources below). We also recorded $13.8 million of losses in 2012 related to the accelerated amortization of discounts and fees in connection with amortization payments that we made on our 2011 and 2012 Secured Credit Facilities. These losses were partially offset by gains on the repurchases of unsecured notes during 2012.</w:t>
      </w:r>
    </w:p>
    <w:p>
      <w:pPr>
        <w:spacing w:after="0" w:line="138"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During the same period in 2011, we fully redeemed the $312.3 million remaining principal balance of our 10% senior secured notes due June 2014 which resulted in a $109.0 million gain on early extinguishment of debt primarily related to the recognition of deferred gain that resulted from a previous debt exchange. This was offset by losses on extinguishment of debt related to the accelerated amortization of discounts and fees in connection with amortization payments that we made on our secured credit facilities, including the A-1 Tranche of the 2011 Secured Credit Facilities.</w:t>
      </w:r>
    </w:p>
    <w:p>
      <w:pPr>
        <w:spacing w:after="0" w:line="182"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b w:val="1"/>
          <w:bCs w:val="1"/>
          <w:i w:val="1"/>
          <w:iCs w:val="1"/>
          <w:color w:val="auto"/>
        </w:rPr>
        <w:t>Earnings from equity method investments</w:t>
      </w:r>
      <w:r>
        <w:rPr>
          <w:rFonts w:ascii="Arial" w:cs="Arial" w:eastAsia="Arial" w:hAnsi="Arial"/>
          <w:sz w:val="14"/>
          <w:szCs w:val="14"/>
          <w:color w:val="auto"/>
        </w:rPr>
        <w:t>—Earnings from equity method investments increased during the year ended December 31, 2012, primarily due to $26.0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of equity in earnings recognized from income from sales of residential property units recorded by one of our real estate equity investments. Earnings from certain of our other strategic investments increased due to better overall market performance. These increases were partially offset by the impact of the sale of Oak Hill Advisors, L.P. and related entities in October 2011, which contributed $38.4 million to earnings, including a pre-tax gain of $30.3 million during the year ended December 31, 2011.</w:t>
      </w:r>
    </w:p>
    <w:p>
      <w:pPr>
        <w:spacing w:after="0" w:line="134"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b w:val="1"/>
          <w:bCs w:val="1"/>
          <w:i w:val="1"/>
          <w:iCs w:val="1"/>
          <w:color w:val="auto"/>
        </w:rPr>
        <w:t>Income tax (expense) benefit</w:t>
      </w:r>
      <w:r>
        <w:rPr>
          <w:rFonts w:ascii="Arial" w:cs="Arial" w:eastAsia="Arial" w:hAnsi="Arial"/>
          <w:sz w:val="14"/>
          <w:szCs w:val="14"/>
          <w:color w:val="auto"/>
        </w:rPr>
        <w:t>—Income taxes are primarily generated by assets held in our taxable REIT subsidiaries (“TRS's”), and increased to an expense of $8.4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in 2012 versus a benefit of $4.7 million in 2011. During the year ended December 31, 2012, TRS entities generated taxable income of $42.2 million, which was partially offset by the utilization of net operating loss carryforwards, resulting in current tax expense of $8.4 million. For the year ended December 31, 2011, TRS entities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0" w:right="2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2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generated taxable income of $75.8 million, including the gain on the sale of our Oak Hill investments</w:t>
      </w:r>
      <w:r>
        <w:rPr>
          <w:rFonts w:ascii="Arial" w:cs="Arial" w:eastAsia="Arial" w:hAnsi="Arial"/>
          <w:sz w:val="16"/>
          <w:szCs w:val="16"/>
          <w:color w:val="auto"/>
        </w:rPr>
        <w:t>.</w:t>
      </w:r>
      <w:r>
        <w:rPr>
          <w:rFonts w:ascii="Arial" w:cs="Arial" w:eastAsia="Arial" w:hAnsi="Arial"/>
          <w:sz w:val="15"/>
          <w:szCs w:val="15"/>
          <w:color w:val="auto"/>
        </w:rPr>
        <w:t xml:space="preserve"> This income was partially offset by the utilization of net operating loss carryforwards that reduced our current tax expense to $9.0 million for the year. The current tax expense was partially offset by a $13.7 million non-cash deferred tax benefit that resulted from the reversal of a deferred tax liability related to a difference in investment basis for our Oak Hill investments that were sold in October of 2011.</w:t>
      </w:r>
    </w:p>
    <w:p>
      <w:pPr>
        <w:spacing w:after="0" w:line="130"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—During the year ended December 31, 2012, we sold net lease assets with a carrying value of $115.5 million and recorded gains of $27.3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During the year ended December 31, 2011, we realized a $22.2 million gain from discontinued operations previously deferred as part of the June 2010 sale of 32 net lease assets.</w:t>
      </w:r>
    </w:p>
    <w:p>
      <w:pPr>
        <w:spacing w:after="0" w:line="178"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Income (loss) from discontinued operations includes operating results from net lease assets and commercial operating properties held for sale or sold as of December 31, 2012. For the years ended December 31, 2012 and 2011, income (loss) from discontinued operations includes impairment of assets of $22.6 million and $9.1 million, respectively.</w:t>
      </w:r>
    </w:p>
    <w:p>
      <w:pPr>
        <w:spacing w:after="0" w:line="178" w:lineRule="exact"/>
        <w:rPr>
          <w:sz w:val="20"/>
          <w:szCs w:val="20"/>
          <w:color w:val="auto"/>
        </w:rPr>
      </w:pPr>
    </w:p>
    <w:p>
      <w:pPr>
        <w:jc w:val="both"/>
        <w:ind w:firstLine="397"/>
        <w:spacing w:after="0" w:line="292" w:lineRule="auto"/>
        <w:rPr>
          <w:sz w:val="20"/>
          <w:szCs w:val="20"/>
          <w:color w:val="auto"/>
        </w:rPr>
      </w:pPr>
      <w:r>
        <w:rPr>
          <w:rFonts w:ascii="Arial" w:cs="Arial" w:eastAsia="Arial" w:hAnsi="Arial"/>
          <w:sz w:val="16"/>
          <w:szCs w:val="16"/>
          <w:b w:val="1"/>
          <w:bCs w:val="1"/>
          <w:i w:val="1"/>
          <w:iCs w:val="1"/>
          <w:color w:val="auto"/>
        </w:rPr>
        <w:t>Income from sales of residential property</w:t>
      </w:r>
      <w:r>
        <w:rPr>
          <w:rFonts w:ascii="Arial" w:cs="Arial" w:eastAsia="Arial" w:hAnsi="Arial"/>
          <w:sz w:val="16"/>
          <w:szCs w:val="16"/>
          <w:color w:val="auto"/>
        </w:rPr>
        <w:t>—During the year ended December 31, 2012 and 2011, we sold condominium units for total net proceeds of $319.3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$154.0 million, respectively, that resulted in income from sales of residential properties totaling $63.5 million and $5.7 million,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Year Ended December 31, 2011 compared to the Year Ended December 31, 2010</w:t>
      </w:r>
    </w:p>
    <w:p>
      <w:pPr>
        <w:spacing w:after="0" w:line="200" w:lineRule="exact"/>
        <w:rPr>
          <w:sz w:val="20"/>
          <w:szCs w:val="20"/>
          <w:color w:val="auto"/>
        </w:rPr>
      </w:pPr>
    </w:p>
    <w:p>
      <w:pPr>
        <w:spacing w:after="0" w:line="333" w:lineRule="exact"/>
        <w:rPr>
          <w:sz w:val="20"/>
          <w:szCs w:val="20"/>
          <w:color w:val="auto"/>
        </w:rPr>
      </w:pPr>
    </w:p>
    <w:tbl>
      <w:tblPr>
        <w:tblLayout w:type="fixed"/>
        <w:tblInd w:w="150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2240" w:type="dxa"/>
            <w:vAlign w:val="bottom"/>
            <w:gridSpan w:val="6"/>
          </w:tcPr>
          <w:p>
            <w:pPr>
              <w:ind w:left="80"/>
              <w:spacing w:after="0"/>
              <w:rPr>
                <w:sz w:val="20"/>
                <w:szCs w:val="20"/>
                <w:color w:val="auto"/>
              </w:rPr>
            </w:pPr>
            <w:r>
              <w:rPr>
                <w:rFonts w:ascii="Arial" w:cs="Arial" w:eastAsia="Arial" w:hAnsi="Arial"/>
                <w:sz w:val="13"/>
                <w:szCs w:val="13"/>
                <w:b w:val="1"/>
                <w:bCs w:val="1"/>
                <w:color w:val="auto"/>
                <w:w w:val="99"/>
              </w:rPr>
              <w:t>For the Years Ended December 31,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1"/>
        </w:trPr>
        <w:tc>
          <w:tcPr>
            <w:tcW w:w="40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 Change</w:t>
            </w:r>
          </w:p>
        </w:tc>
      </w:tr>
      <w:tr>
        <w:trPr>
          <w:trHeight w:val="228"/>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income</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198,478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w w:val="87"/>
              </w:rPr>
              <w:t>186,630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11,848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226,871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8"/>
              <w:spacing w:after="0"/>
              <w:rPr>
                <w:sz w:val="20"/>
                <w:szCs w:val="20"/>
                <w:color w:val="auto"/>
              </w:rPr>
            </w:pPr>
            <w:r>
              <w:rPr>
                <w:rFonts w:ascii="Arial" w:cs="Arial" w:eastAsia="Arial" w:hAnsi="Arial"/>
                <w:sz w:val="17"/>
                <w:szCs w:val="17"/>
                <w:color w:val="auto"/>
                <w:w w:val="87"/>
              </w:rPr>
              <w:t>364,094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(137,223)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(38)%</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(11,013)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4"/>
        </w:trPr>
        <w:tc>
          <w:tcPr>
            <w:tcW w:w="4000" w:type="dxa"/>
            <w:vAlign w:val="bottom"/>
          </w:tcPr>
          <w:p>
            <w:pPr>
              <w:ind w:left="140"/>
              <w:spacing w:after="0"/>
              <w:rPr>
                <w:sz w:val="20"/>
                <w:szCs w:val="20"/>
                <w:color w:val="auto"/>
              </w:rPr>
            </w:pPr>
            <w:r>
              <w:rPr>
                <w:rFonts w:ascii="Arial" w:cs="Arial" w:eastAsia="Arial" w:hAnsi="Arial"/>
                <w:sz w:val="17"/>
                <w:szCs w:val="17"/>
                <w:color w:val="auto"/>
              </w:rPr>
              <w:t>Total revenue</w:t>
            </w: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465,069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w w:val="87"/>
              </w:rPr>
              <w:t>601,457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(136,388)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(23)%</w:t>
            </w:r>
          </w:p>
        </w:tc>
      </w:tr>
      <w:tr>
        <w:trPr>
          <w:trHeight w:val="26"/>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342,186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w w:val="87"/>
              </w:rPr>
              <w:t>313,766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28,420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Real estate expense</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138,943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8"/>
              <w:spacing w:after="0"/>
              <w:rPr>
                <w:sz w:val="20"/>
                <w:szCs w:val="20"/>
                <w:color w:val="auto"/>
              </w:rPr>
            </w:pPr>
            <w:r>
              <w:rPr>
                <w:rFonts w:ascii="Arial" w:cs="Arial" w:eastAsia="Arial" w:hAnsi="Arial"/>
                <w:sz w:val="17"/>
                <w:szCs w:val="17"/>
                <w:color w:val="auto"/>
                <w:w w:val="87"/>
              </w:rPr>
              <w:t>121,399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17,544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14 %</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58,662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57,220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1,442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105,039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8"/>
              <w:spacing w:after="0"/>
              <w:rPr>
                <w:sz w:val="20"/>
                <w:szCs w:val="20"/>
                <w:color w:val="auto"/>
              </w:rPr>
            </w:pPr>
            <w:r>
              <w:rPr>
                <w:rFonts w:ascii="Arial" w:cs="Arial" w:eastAsia="Arial" w:hAnsi="Arial"/>
                <w:sz w:val="17"/>
                <w:szCs w:val="17"/>
                <w:color w:val="auto"/>
                <w:w w:val="87"/>
              </w:rPr>
              <w:t>109,526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(4,487)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loan losses</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46,412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w w:val="87"/>
              </w:rPr>
              <w:t>331,487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(285,075)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Impairment of assets</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13,239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8"/>
              <w:spacing w:after="0"/>
              <w:rPr>
                <w:sz w:val="20"/>
                <w:szCs w:val="20"/>
                <w:color w:val="auto"/>
              </w:rPr>
            </w:pPr>
            <w:r>
              <w:rPr>
                <w:rFonts w:ascii="Arial" w:cs="Arial" w:eastAsia="Arial" w:hAnsi="Arial"/>
                <w:sz w:val="17"/>
                <w:szCs w:val="17"/>
                <w:color w:val="auto"/>
              </w:rPr>
              <w:t>12,809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430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3 %</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4"/>
        </w:trPr>
        <w:tc>
          <w:tcPr>
            <w:tcW w:w="4000" w:type="dxa"/>
            <w:vAlign w:val="bottom"/>
          </w:tcPr>
          <w:p>
            <w:pPr>
              <w:ind w:left="140"/>
              <w:spacing w:after="0"/>
              <w:rPr>
                <w:sz w:val="20"/>
                <w:szCs w:val="20"/>
                <w:color w:val="auto"/>
              </w:rPr>
            </w:pPr>
            <w:r>
              <w:rPr>
                <w:rFonts w:ascii="Arial" w:cs="Arial" w:eastAsia="Arial" w:hAnsi="Arial"/>
                <w:sz w:val="17"/>
                <w:szCs w:val="17"/>
                <w:color w:val="auto"/>
              </w:rPr>
              <w:t>Total costs and expenses</w:t>
            </w: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715,551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w w:val="87"/>
              </w:rPr>
              <w:t>962,262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(246,711)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26"/>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early extinguishment of debt, net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101,466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w w:val="87"/>
              </w:rPr>
              <w:t>108,923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(7,457)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Earnings from equity method investments</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95,091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8"/>
              <w:spacing w:after="0"/>
              <w:rPr>
                <w:sz w:val="20"/>
                <w:szCs w:val="20"/>
                <w:color w:val="auto"/>
              </w:rPr>
            </w:pPr>
            <w:r>
              <w:rPr>
                <w:rFonts w:ascii="Arial" w:cs="Arial" w:eastAsia="Arial" w:hAnsi="Arial"/>
                <w:sz w:val="17"/>
                <w:szCs w:val="17"/>
                <w:color w:val="auto"/>
              </w:rPr>
              <w:t>51,908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43,183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83 %</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4,719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11,742</w:t>
            </w:r>
          </w:p>
        </w:tc>
        <w:tc>
          <w:tcPr>
            <w:tcW w:w="108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&gt;100%</w:t>
            </w: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8"/>
              <w:spacing w:after="0"/>
              <w:rPr>
                <w:sz w:val="20"/>
                <w:szCs w:val="20"/>
                <w:color w:val="auto"/>
              </w:rPr>
            </w:pPr>
            <w:r>
              <w:rPr>
                <w:rFonts w:ascii="Arial" w:cs="Arial" w:eastAsia="Arial" w:hAnsi="Arial"/>
                <w:sz w:val="17"/>
                <w:szCs w:val="17"/>
                <w:color w:val="auto"/>
              </w:rPr>
              <w:t>16,821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(24,139)</w:t>
            </w:r>
          </w:p>
        </w:tc>
        <w:tc>
          <w:tcPr>
            <w:tcW w:w="1080" w:type="dxa"/>
            <w:vAlign w:val="bottom"/>
            <w:gridSpan w:val="2"/>
          </w:tcPr>
          <w:p>
            <w:pPr>
              <w:jc w:val="right"/>
              <w:ind w:right="154"/>
              <w:spacing w:after="0"/>
              <w:rPr>
                <w:sz w:val="20"/>
                <w:szCs w:val="20"/>
                <w:color w:val="auto"/>
              </w:rPr>
            </w:pPr>
            <w:r>
              <w:rPr>
                <w:rFonts w:ascii="Arial" w:cs="Arial" w:eastAsia="Arial" w:hAnsi="Arial"/>
                <w:sz w:val="17"/>
                <w:szCs w:val="17"/>
                <w:color w:val="auto"/>
              </w:rPr>
              <w:t>&gt;100%</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from discontinued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25,110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w w:val="87"/>
              </w:rPr>
              <w:t>270,382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(245,272)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Income from sales of residential property</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5,721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5,721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100 %</w:t>
            </w:r>
          </w:p>
        </w:tc>
      </w:tr>
      <w:tr>
        <w:trPr>
          <w:trHeight w:val="26"/>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3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80,206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(105,899)</w:t>
            </w:r>
          </w:p>
        </w:tc>
        <w:tc>
          <w:tcPr>
            <w:tcW w:w="108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&gt;100%</w:t>
            </w: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—Operating lease income increased to $198.5 million in 2011 and includes income from our net lease assets and commercial operating properties.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 income from net lease assets remained consistent at $147.2 million compared to $147.0 million in 2010. As of December 31, 2011, net lease assets were 94.4% leased compared to 91.0% leased as of December 31, 2010. For the year ended December 31, 2011, total net lease assets generated a weighted average effective yield of 8.4% compared to 8.3% during the same period in 2010.</w:t>
      </w:r>
    </w:p>
    <w:p>
      <w:pPr>
        <w:spacing w:after="0" w:line="107" w:lineRule="exact"/>
        <w:rPr>
          <w:sz w:val="20"/>
          <w:szCs w:val="20"/>
          <w:color w:val="auto"/>
        </w:rPr>
      </w:pPr>
    </w:p>
    <w:p>
      <w:pPr>
        <w:jc w:val="both"/>
        <w:ind w:firstLine="397"/>
        <w:spacing w:after="0" w:line="275" w:lineRule="auto"/>
        <w:rPr>
          <w:sz w:val="20"/>
          <w:szCs w:val="20"/>
          <w:color w:val="auto"/>
        </w:rPr>
      </w:pPr>
      <w:r>
        <w:rPr>
          <w:rFonts w:ascii="Arial" w:cs="Arial" w:eastAsia="Arial" w:hAnsi="Arial"/>
          <w:sz w:val="16"/>
          <w:szCs w:val="16"/>
          <w:color w:val="auto"/>
        </w:rPr>
        <w:t>Operating lease income from commercial operating properties increased to $51.2 million in 2011 from $39.2 million in 2010. We acquired title to additional commercial operating properties in resolution of non-performing loans during 2011 and late in 2010, which contributed $10.0 million in operating lease income for the year ended December 31, 2011. The remaining increase relates to new leasing activity at various commercial operating properties.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0" w:right="2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Interest income declined primarily due to a decrease in the average balance of performing loans to $2.58 billion for the year ended December 31, 2011 from $3.92 billion for 2010. The decrease in performing loans was primarily due to loan repayments as well as performing loans moving to non-performing status (see Risk Management below). For the year ended December 31, 2011, performing loans generated a weighted average effective yield of 7.2% as compared to 7.9% in 2010. The decrease was partially offset by $26.3 million of interest income recorded during the year ended December 31, 2011, related to certain non-performing loans that were resolved, including interest not previously recorded due to the loans being on non-accrual status.</w:t>
      </w:r>
    </w:p>
    <w:p>
      <w:pPr>
        <w:spacing w:after="0" w:line="16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Other income primarily includes revenue related to hotel properties included in the operating property portfolio, which was $32.5 million in 2011 compared to $32.3 million in 2010. For the year ended December 31, 2011, other income also includes $2.9 million of loan income related to the prepayment and sales of loans as compared to $13.8 million for the year ended December 31, 2010.</w:t>
      </w:r>
    </w:p>
    <w:p>
      <w:pPr>
        <w:spacing w:after="0" w:line="104"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increased primarily due to higher interest rates on our Secured Credit Facility entered into during 2011, partially offset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lower average outstanding borrowings. Our weighted average effective cost of debt increased to 5.3% for the year ended December 31, 2011 as compared to 3.7% during 2010. The average outstanding balance of our debt declined to $6.47 billion for the year ended December 31, 2011 from $9.28 billion for the year ended December 31, 2010.</w:t>
      </w:r>
    </w:p>
    <w:p>
      <w:pPr>
        <w:spacing w:after="0" w:line="107" w:lineRule="exact"/>
        <w:rPr>
          <w:sz w:val="20"/>
          <w:szCs w:val="20"/>
          <w:color w:val="auto"/>
        </w:rPr>
      </w:pPr>
    </w:p>
    <w:p>
      <w:pPr>
        <w:jc w:val="both"/>
        <w:ind w:firstLine="372"/>
        <w:spacing w:after="0" w:line="247" w:lineRule="auto"/>
        <w:rPr>
          <w:sz w:val="20"/>
          <w:szCs w:val="20"/>
          <w:color w:val="auto"/>
        </w:rPr>
      </w:pPr>
      <w:r>
        <w:rPr>
          <w:rFonts w:ascii="Arial" w:cs="Arial" w:eastAsia="Arial" w:hAnsi="Arial"/>
          <w:sz w:val="17"/>
          <w:szCs w:val="17"/>
          <w:color w:val="auto"/>
        </w:rPr>
        <w:t>The increase in real estate expenses year over year was primarily driven by additional operating properties that we took title to in 2011 and late 2010 through resolution of non-performing loans. Expenses for operating properties were $92.0 million in 2011 as compared to $84.5 million in 2010, which includes carrying costs on our residential properties totaling $24.4 million in 2011 and $26.1 million in 2010. Operating expenses for net lease assets increased to $25.3 million in 2011 from $21.9 million in 2010 primarily related to provisions for uncollectable tenant receivables. Carrying costs and other expenses on our land assets increased to $21.6 million in 2011 from $15.1 million in 2010, primarily related to additional consulting, legal and maintenance costs. Depreciation and amortization increased in 2011 primarily due to the acquisition of operating properties in late 2011 and 2010.</w:t>
      </w:r>
    </w:p>
    <w:p>
      <w:pPr>
        <w:spacing w:after="0" w:line="108" w:lineRule="exact"/>
        <w:rPr>
          <w:sz w:val="20"/>
          <w:szCs w:val="20"/>
          <w:color w:val="auto"/>
        </w:rPr>
      </w:pPr>
    </w:p>
    <w:p>
      <w:pPr>
        <w:jc w:val="both"/>
        <w:ind w:firstLine="397"/>
        <w:spacing w:after="0" w:line="275" w:lineRule="auto"/>
        <w:rPr>
          <w:sz w:val="20"/>
          <w:szCs w:val="20"/>
          <w:color w:val="auto"/>
        </w:rPr>
      </w:pPr>
      <w:r>
        <w:rPr>
          <w:rFonts w:ascii="Arial" w:cs="Arial" w:eastAsia="Arial" w:hAnsi="Arial"/>
          <w:sz w:val="16"/>
          <w:szCs w:val="16"/>
          <w:color w:val="auto"/>
        </w:rPr>
        <w:t>General and administrative expenses decreased primarily due to lower payroll and employee related costs from both staffing reductions and reduced annual cash compensation offset by additional stock-based compensation expense resulting from the modification of our December 19, 2008 restricted stock units. Excluding stock-based compensation expense, general and administrative expense declined by $14.8 million or 16.5% from the prior year.</w:t>
      </w:r>
    </w:p>
    <w:p>
      <w:pPr>
        <w:spacing w:after="0" w:line="211"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color w:val="auto"/>
        </w:rPr>
        <w:t>Our total costs and expenses were impacted most significantly by lower provisions for loan losses. The decline in our provisions for loan losses primarily resulted from fewer loans moving to non-performing status and a lower overall balance of non-performing loans during the year ended December 31, 2011 as compared to 2010. Additionally, repayments and sales of performing loans resulted in a lower portfolio balance leading to a reduction in the required general loan loss reserve.</w:t>
      </w:r>
    </w:p>
    <w:p>
      <w:pPr>
        <w:spacing w:after="0" w:line="52"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6"/>
          <w:szCs w:val="16"/>
          <w:color w:val="auto"/>
        </w:rPr>
        <w:t>For the years ended December 31, 2011 and 2010, impairments on real estate assets resulted from changes in market conditions and changes in business strategy. In 2011, $22.4 million of impairments were recorded related to operating properties and of this amount, $9.1 million related to real estate assets held for sale or sold and were therefore included in discontinued operations. In 2010, we recorded $19.1 million of impairments on operating properties and $4.2 million on net lease assets. Of these amounts, $9.6 million related to real estate assets held for sale or sold and were therefore included in discontinued operations.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expense decreased primarily due to lower legal fees and other unreimbursed expenses incurred relating to non-performing loans.</w:t>
      </w:r>
    </w:p>
    <w:p>
      <w:pPr>
        <w:spacing w:after="0" w:line="25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b w:val="1"/>
          <w:bCs w:val="1"/>
          <w:i w:val="1"/>
          <w:iCs w:val="1"/>
          <w:color w:val="auto"/>
        </w:rPr>
        <w:t>Gain (loss) on early extinguishment of debt, net</w:t>
      </w:r>
      <w:r>
        <w:rPr>
          <w:rFonts w:ascii="Arial" w:cs="Arial" w:eastAsia="Arial" w:hAnsi="Arial"/>
          <w:sz w:val="17"/>
          <w:szCs w:val="17"/>
          <w:color w:val="auto"/>
        </w:rPr>
        <w:t>—During the year ended December 31, 2011, we fully redeemed the $312.3 million remaining principal balance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10% senior secured notes due June 2014, which resulted in a $109.0 million gain on early extinguishment of debt. This was offset by losses on extinguishment of debt related to the accelerated amortization of deferred fees and debt discount resulting from amortization payments made on our secured credit facilities, including the Tranche A-1 facility.</w:t>
      </w:r>
    </w:p>
    <w:p>
      <w:pPr>
        <w:spacing w:after="0" w:line="231"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During the same period in 2010, we retired $633.0 million par value of our senior secured and unsecured notes and we redeemed $282.3 million of senior secured notes. Together, these transactions resulted in an aggregate gain on early extinguishment of debt of $131.0 million. These gains were offset by $22.1 million of losses resulting from the acceleration of unamortized deferred fees and debt discount in connection with the prepayments of our $1.0 billion First Priority Credit Agreement, which was due to mature in 2012, and our $947.9 million non-recourse secured term loan and another secured term loan that were collateralized by net lease assets we sold during the period.</w:t>
      </w:r>
    </w:p>
    <w:p>
      <w:pPr>
        <w:spacing w:after="0" w:line="231"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b w:val="1"/>
          <w:bCs w:val="1"/>
          <w:i w:val="1"/>
          <w:iCs w:val="1"/>
          <w:color w:val="auto"/>
        </w:rPr>
        <w:t>Earnings from equity method investments</w:t>
      </w:r>
      <w:r>
        <w:rPr>
          <w:rFonts w:ascii="Arial" w:cs="Arial" w:eastAsia="Arial" w:hAnsi="Arial"/>
          <w:sz w:val="14"/>
          <w:szCs w:val="14"/>
          <w:color w:val="auto"/>
        </w:rPr>
        <w:t>—The increase in earnings from equity method investments was primarily attributable to the sale of our interests in Oak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Hill Advisors, L.P. and related entities as well as a full year of earnings from our investment in LNR. In October 2011, we sold a substantial portion of our interests in Oak Hill Advisors, L.P. and related entities and recorded a pre-tax gain of $30.3 million. Prior to the sale in October of 2011, we recorded $8.5 million of earnings from our investments in the Oak Hill entities that were sold during the year ended December 31, 2011. We also recorded a full year of</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0" w:right="2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jc w:val="both"/>
        <w:spacing w:after="0" w:line="332" w:lineRule="auto"/>
        <w:rPr>
          <w:sz w:val="20"/>
          <w:szCs w:val="20"/>
          <w:color w:val="auto"/>
        </w:rPr>
      </w:pPr>
      <w:r>
        <w:rPr>
          <w:rFonts w:ascii="Arial" w:cs="Arial" w:eastAsia="Arial" w:hAnsi="Arial"/>
          <w:sz w:val="14"/>
          <w:szCs w:val="14"/>
          <w:color w:val="auto"/>
        </w:rPr>
        <w:t>earnings from our investment in LNR, which was $52.1 million higher than our partial year earnings in the prior year when the investment was made. During the year ended December 31, 2011, our share of earnings from LNR included $19.2 million of nonrecurring income from the settlement of tax liabilities. These increases in earnings were partially offset by losses and lower returns recorded by certain of our strategic investments, primarily due to weaker market performance as compared to 2010.</w:t>
      </w:r>
    </w:p>
    <w:p>
      <w:pPr>
        <w:spacing w:after="0" w:line="176"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—The income tax benefit recorded during the year ended December 31, 2011 was comprised of $13.7 million of deferred tax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offset by $9.0 million of current tax expense related to taxable income generated by assets held in our TRS's. TRS entities generated taxable income of $75.8 million for the year ended December 31, 2011, including the gain on the sale of our investment in Oak Hill Advisors L.P. This income was partially offset by the utilization of net operating loss carryforwards that reduced our current tax expense to $9.0 million for the year. The $13.7 million non-cash deferred tax benefit was due to the reversal of a deferred tax liability related to a difference in investment basis for our Oak Hill investments that were sold in October of 2011.</w:t>
      </w:r>
    </w:p>
    <w:p>
      <w:pPr>
        <w:spacing w:after="0" w:line="218"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b w:val="1"/>
          <w:bCs w:val="1"/>
          <w:i w:val="1"/>
          <w:iCs w:val="1"/>
          <w:color w:val="auto"/>
        </w:rPr>
        <w:t>Discontinued operations</w:t>
      </w:r>
      <w:r>
        <w:rPr>
          <w:rFonts w:ascii="Arial" w:cs="Arial" w:eastAsia="Arial" w:hAnsi="Arial"/>
          <w:sz w:val="14"/>
          <w:szCs w:val="14"/>
          <w:color w:val="auto"/>
        </w:rPr>
        <w:t>—During the year ended December 31, 2011, we sold net lease assets with an aggregate carrying value of $34.4 million resulting in a net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gain of $2.9 million. In 2011, we also resolved a contingent obligation related to the 2010 portfolio sale of 32 net lease assets, resulting in a gain of $22.2 million. During the same period in 2010, we sold net lease assets, including a portfolio of 32 net lease assets, and recognized an aggregate initial gain of $270.4 million.</w:t>
      </w:r>
    </w:p>
    <w:p>
      <w:pPr>
        <w:spacing w:after="0" w:line="5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Income (loss) from discontinued operations includes operating results from net lease assets and commercial operating properties held for sale or sold as of December 31, 2012. For the years ended December 31, 2011 and 2010, income (loss) from discontinued operations includes impairment of assets of $9.1 million and $9.6 million, respectively.</w:t>
      </w:r>
    </w:p>
    <w:p>
      <w:pPr>
        <w:spacing w:after="0" w:line="10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b w:val="1"/>
          <w:bCs w:val="1"/>
          <w:i w:val="1"/>
          <w:iCs w:val="1"/>
          <w:color w:val="auto"/>
        </w:rPr>
        <w:t>Income from sales of residential property</w:t>
      </w:r>
      <w:r>
        <w:rPr>
          <w:rFonts w:ascii="Arial" w:cs="Arial" w:eastAsia="Arial" w:hAnsi="Arial"/>
          <w:sz w:val="17"/>
          <w:szCs w:val="17"/>
          <w:color w:val="auto"/>
        </w:rPr>
        <w:t>—During the year ended December 31, 2011 we sold condominium units for total net proceeds of $154.0 million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resulted in income from sales of residential properties totaling $5.7 million.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income and Adjusted EBITDA</w:t>
      </w:r>
    </w:p>
    <w:p>
      <w:pPr>
        <w:spacing w:after="0" w:line="206"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In addition to net income (loss), we use Adjusted income and Adjusted EBITDA to measure our operating performance. Adjusted income represents net income (loss) allocable to common shareholders, prior to the effect of depreciation and amortization, provision for loan losses, impairment of assets, stock-based compensation expense, and the non-cash portion of gain (loss) on early extinguishment of debt. Adjusted EBITDA represents net income (loss) plus the sum of interest expense, income taxes, depreciation and amortization, provision for loan losses, impairment of assets and stock-based compensation expense, less the non-cash portion of gain (loss) on early extinguishment of debt.</w:t>
      </w:r>
    </w:p>
    <w:p>
      <w:pPr>
        <w:spacing w:after="0" w:line="18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We believe Adjusted income and Adjusted EBITDA are useful measures to consider, in addition to net income (loss), as they may help investors evaluate our core operating performance prior to certain non-cash items.</w:t>
      </w:r>
    </w:p>
    <w:p>
      <w:pPr>
        <w:spacing w:after="0" w:line="172"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20" w:right="239" w:bottom="1440" w:gutter="0" w:footer="0" w:header="0"/>
        </w:sectPr>
      </w:pPr>
    </w:p>
    <w:bookmarkStart w:id="35" w:name="page36"/>
    <w:bookmarkEnd w:id="35"/>
    <w:tbl>
      <w:tblPr>
        <w:tblLayout w:type="fixed"/>
        <w:tblInd w:w="1" w:type="dxa"/>
        <w:tblCellMar>
          <w:top w:w="0" w:type="dxa"/>
          <w:left w:w="0" w:type="dxa"/>
          <w:bottom w:w="0" w:type="dxa"/>
          <w:right w:w="0" w:type="dxa"/>
        </w:tblCellMar>
      </w:tblPr>
      <w:tr>
        <w:trPr>
          <w:trHeight w:val="149"/>
        </w:trPr>
        <w:tc>
          <w:tcPr>
            <w:tcW w:w="5000" w:type="dxa"/>
            <w:vAlign w:val="bottom"/>
            <w:gridSpan w:val="3"/>
          </w:tcPr>
          <w:p>
            <w:pPr>
              <w:spacing w:after="0"/>
              <w:rPr>
                <w:rFonts w:ascii="Arial" w:cs="Arial" w:eastAsia="Arial" w:hAnsi="Arial"/>
                <w:sz w:val="13"/>
                <w:szCs w:val="13"/>
                <w:b w:val="1"/>
                <w:bCs w:val="1"/>
                <w:color w:val="0000FF"/>
              </w:rPr>
            </w:pPr>
            <w:hyperlink w:anchor="page48">
              <w:r>
                <w:rPr>
                  <w:rFonts w:ascii="Arial" w:cs="Arial" w:eastAsia="Arial" w:hAnsi="Arial"/>
                  <w:sz w:val="13"/>
                  <w:szCs w:val="13"/>
                  <w:b w:val="1"/>
                  <w:bCs w:val="1"/>
                  <w:color w:val="0000FF"/>
                </w:rPr>
                <w:t>Table of Contents</w:t>
              </w:r>
            </w:hyperlink>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5"/>
        </w:trPr>
        <w:tc>
          <w:tcPr>
            <w:tcW w:w="10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3"/>
                <w:szCs w:val="13"/>
                <w:b w:val="1"/>
                <w:bCs w:val="1"/>
                <w:color w:val="auto"/>
                <w:w w:val="92"/>
              </w:rPr>
              <w:t>For the Years Ended December 31,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2008</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income</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Net income (loss) allocable to common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7"/>
                <w:szCs w:val="17"/>
                <w:color w:val="auto"/>
              </w:rPr>
              <w:t>shareholders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6"/>
              </w:rPr>
              <w:t>(272,997)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(62,387)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9"/>
              <w:spacing w:after="0"/>
              <w:rPr>
                <w:sz w:val="20"/>
                <w:szCs w:val="20"/>
                <w:color w:val="auto"/>
              </w:rPr>
            </w:pPr>
            <w:r>
              <w:rPr>
                <w:rFonts w:ascii="Arial" w:cs="Arial" w:eastAsia="Arial" w:hAnsi="Arial"/>
                <w:sz w:val="17"/>
                <w:szCs w:val="17"/>
                <w:color w:val="auto"/>
              </w:rPr>
              <w:t>36,279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8"/>
              </w:rPr>
              <w:t>(788,570)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8"/>
              </w:rPr>
              <w:t>(242,490)</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Add: Depreciation and amortization(1)</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70,786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63,928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70,786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98,238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102,745</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Add: Provision for loan losses</w:t>
            </w:r>
          </w:p>
        </w:tc>
        <w:tc>
          <w:tcPr>
            <w:tcW w:w="1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81,740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7"/>
                <w:szCs w:val="17"/>
                <w:color w:val="auto"/>
              </w:rPr>
              <w:t>46,412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7"/>
                <w:szCs w:val="17"/>
                <w:color w:val="auto"/>
              </w:rPr>
              <w:t>331,487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7"/>
              </w:rPr>
              <w:t>1,255,357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1,029,322</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Add: Impairment of assets(2)</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36,354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22,386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22,381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334,830</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Add: Stock-based compensation expense</w:t>
            </w:r>
          </w:p>
        </w:tc>
        <w:tc>
          <w:tcPr>
            <w:tcW w:w="1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15,293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7"/>
                <w:szCs w:val="17"/>
                <w:color w:val="auto"/>
              </w:rPr>
              <w:t>29,702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7"/>
                <w:szCs w:val="17"/>
                <w:color w:val="auto"/>
              </w:rPr>
              <w:t>19,355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23,542</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Less: (Gain) loss on early extinguishment of debt,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net(3)</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22,405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(101,466)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(110,075)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(547,349)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(393,131)</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Less: HPU/Participating Security allocation</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(12,769)</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8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Adjusted income (loss) allocable to common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(53,847)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(3,316)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360,525</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155,324</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842,049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47" w:lineRule="auto"/>
        <w:tabs>
          <w:tab w:leader="none" w:pos="6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depreciation and amortization includes $1,436, $5,266, $13,566, $41,547 and $45,973, respectively, of depreciation and amortization reclassified to discontinued operations.</w:t>
      </w:r>
    </w:p>
    <w:p>
      <w:pPr>
        <w:ind w:left="601" w:hanging="601"/>
        <w:spacing w:after="0" w:line="239" w:lineRule="auto"/>
        <w:tabs>
          <w:tab w:leader="none" w:pos="6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impairment of assets includes $22,576, $9,147, $9,572, $26,901 and $31,219, of impairment of assets reclassified to discontinued operations.</w:t>
      </w:r>
    </w:p>
    <w:p>
      <w:pPr>
        <w:ind w:left="601" w:hanging="601"/>
        <w:spacing w:after="0"/>
        <w:tabs>
          <w:tab w:leader="none" w:pos="6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the years ended December 31, 2012 and 2010, (Gain) loss on early extinguishment of debt excludes the portion of losses paid in cash of $15,411 and $1,152, respectively.</w:t>
      </w:r>
    </w:p>
    <w:p>
      <w:pPr>
        <w:spacing w:after="0" w:line="345"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37"/>
              <w:spacing w:after="0"/>
              <w:rPr>
                <w:sz w:val="20"/>
                <w:szCs w:val="20"/>
                <w:color w:val="auto"/>
              </w:rPr>
            </w:pPr>
            <w:r>
              <w:rPr>
                <w:rFonts w:ascii="Arial" w:cs="Arial" w:eastAsia="Arial" w:hAnsi="Arial"/>
                <w:sz w:val="13"/>
                <w:szCs w:val="13"/>
                <w:b w:val="1"/>
                <w:bCs w:val="1"/>
                <w:color w:val="auto"/>
              </w:rPr>
              <w:t>For the Years Ended December 31,</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41"/>
        </w:trPr>
        <w:tc>
          <w:tcPr>
            <w:tcW w:w="4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2008</w:t>
            </w:r>
          </w:p>
        </w:tc>
      </w:tr>
      <w:tr>
        <w:trPr>
          <w:trHeight w:val="179"/>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6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2"/>
        </w:trPr>
        <w:tc>
          <w:tcPr>
            <w:tcW w:w="470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(241,430)</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(25,693)</w:t>
            </w:r>
          </w:p>
        </w:tc>
        <w:tc>
          <w:tcPr>
            <w:tcW w:w="380" w:type="dxa"/>
            <w:vAlign w:val="bottom"/>
            <w:gridSpan w:val="2"/>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80,206</w:t>
            </w:r>
          </w:p>
        </w:tc>
        <w:tc>
          <w:tcPr>
            <w:tcW w:w="10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(769,847)</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(181,767)</w:t>
            </w:r>
          </w:p>
        </w:tc>
      </w:tr>
      <w:tr>
        <w:trPr>
          <w:trHeight w:val="26"/>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Add: Interest expense(1)</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356,161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345,914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346,500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481,116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666,706</w:t>
            </w:r>
          </w:p>
        </w:tc>
      </w:tr>
      <w:tr>
        <w:trPr>
          <w:trHeight w:val="222"/>
        </w:trPr>
        <w:tc>
          <w:tcPr>
            <w:tcW w:w="4700" w:type="dxa"/>
            <w:vAlign w:val="bottom"/>
          </w:tcPr>
          <w:p>
            <w:pPr>
              <w:ind w:left="140"/>
              <w:spacing w:after="0"/>
              <w:rPr>
                <w:sz w:val="20"/>
                <w:szCs w:val="20"/>
                <w:color w:val="auto"/>
              </w:rPr>
            </w:pPr>
            <w:r>
              <w:rPr>
                <w:rFonts w:ascii="Arial" w:cs="Arial" w:eastAsia="Arial" w:hAnsi="Arial"/>
                <w:sz w:val="17"/>
                <w:szCs w:val="17"/>
                <w:color w:val="auto"/>
              </w:rPr>
              <w:t>Add: Income tax expense</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8,445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7,023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7"/>
                <w:szCs w:val="17"/>
                <w:color w:val="auto"/>
              </w:rPr>
              <w:t>4,141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10,375</w:t>
            </w:r>
          </w:p>
        </w:tc>
      </w:tr>
      <w:tr>
        <w:trPr>
          <w:trHeight w:val="26"/>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Add: Depreciation and amortization(2)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70,786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63,928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70,786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98,238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102,745</w:t>
            </w:r>
          </w:p>
        </w:tc>
      </w:tr>
      <w:tr>
        <w:trPr>
          <w:trHeight w:val="214"/>
        </w:trPr>
        <w:tc>
          <w:tcPr>
            <w:tcW w:w="4700" w:type="dxa"/>
            <w:vAlign w:val="bottom"/>
          </w:tcPr>
          <w:p>
            <w:pPr>
              <w:ind w:left="140"/>
              <w:spacing w:after="0"/>
              <w:rPr>
                <w:sz w:val="20"/>
                <w:szCs w:val="20"/>
                <w:color w:val="auto"/>
              </w:rPr>
            </w:pPr>
            <w:r>
              <w:rPr>
                <w:rFonts w:ascii="Arial" w:cs="Arial" w:eastAsia="Arial" w:hAnsi="Arial"/>
                <w:sz w:val="17"/>
                <w:szCs w:val="17"/>
                <w:color w:val="auto"/>
              </w:rPr>
              <w:t>EBITDA</w:t>
            </w: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rPr>
              <w:t>193,962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379,430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504,515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(186,352)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598,059</w:t>
            </w:r>
          </w:p>
        </w:tc>
      </w:tr>
      <w:tr>
        <w:trPr>
          <w:trHeight w:val="26"/>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Add: Provision for loan losses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81,740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46,412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331,487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1,255,357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1,029,322</w:t>
            </w:r>
          </w:p>
        </w:tc>
      </w:tr>
      <w:tr>
        <w:trPr>
          <w:trHeight w:val="222"/>
        </w:trPr>
        <w:tc>
          <w:tcPr>
            <w:tcW w:w="4700" w:type="dxa"/>
            <w:vAlign w:val="bottom"/>
          </w:tcPr>
          <w:p>
            <w:pPr>
              <w:ind w:left="140"/>
              <w:spacing w:after="0"/>
              <w:rPr>
                <w:sz w:val="20"/>
                <w:szCs w:val="20"/>
                <w:color w:val="auto"/>
              </w:rPr>
            </w:pPr>
            <w:r>
              <w:rPr>
                <w:rFonts w:ascii="Arial" w:cs="Arial" w:eastAsia="Arial" w:hAnsi="Arial"/>
                <w:sz w:val="17"/>
                <w:szCs w:val="17"/>
                <w:color w:val="auto"/>
              </w:rPr>
              <w:t>Add: Impairment of assets(3)</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36,354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7"/>
                <w:szCs w:val="17"/>
                <w:color w:val="auto"/>
              </w:rPr>
              <w:t>22,386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22,381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7"/>
                <w:szCs w:val="17"/>
                <w:color w:val="auto"/>
              </w:rPr>
              <w:t>141,018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334,830</w:t>
            </w:r>
          </w:p>
        </w:tc>
      </w:tr>
      <w:tr>
        <w:trPr>
          <w:trHeight w:val="26"/>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Add: Stock-based compensation expense</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15,293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29,702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19,355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23,593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23,542</w:t>
            </w:r>
          </w:p>
        </w:tc>
      </w:tr>
      <w:tr>
        <w:trPr>
          <w:trHeight w:val="222"/>
        </w:trPr>
        <w:tc>
          <w:tcPr>
            <w:tcW w:w="4700" w:type="dxa"/>
            <w:vAlign w:val="bottom"/>
          </w:tcPr>
          <w:p>
            <w:pPr>
              <w:ind w:left="140"/>
              <w:spacing w:after="0"/>
              <w:rPr>
                <w:sz w:val="20"/>
                <w:szCs w:val="20"/>
                <w:color w:val="auto"/>
              </w:rPr>
            </w:pPr>
            <w:r>
              <w:rPr>
                <w:rFonts w:ascii="Arial" w:cs="Arial" w:eastAsia="Arial" w:hAnsi="Arial"/>
                <w:sz w:val="17"/>
                <w:szCs w:val="17"/>
                <w:color w:val="auto"/>
              </w:rPr>
              <w:t>Less: (Gain) loss on early extinguishment of debt, net(4)</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22,405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(101,466)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(110,075)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(547,349)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(393,131)</w:t>
            </w:r>
          </w:p>
        </w:tc>
      </w:tr>
      <w:tr>
        <w:trPr>
          <w:trHeight w:val="26"/>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(5)</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349,754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376,464</w:t>
            </w: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767,663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686,267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1,592,622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right="80" w:hanging="601"/>
        <w:spacing w:after="0" w:line="247" w:lineRule="auto"/>
        <w:tabs>
          <w:tab w:leader="none" w:pos="6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interest expense includes $1,064, $3,728, $32,734, $69,227 and $51,173, respectively, of interest expense reclassified to discontinued operations.</w:t>
      </w:r>
    </w:p>
    <w:p>
      <w:pPr>
        <w:ind w:left="601" w:right="100" w:hanging="601"/>
        <w:spacing w:after="0" w:line="239" w:lineRule="auto"/>
        <w:tabs>
          <w:tab w:leader="none" w:pos="6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depreciation and amortization includes $1,436, $5,266, $13,566, $41,547 and $45,973, respectively, of depreciation and amortization reclassified to discontinued operations.</w:t>
      </w:r>
    </w:p>
    <w:p>
      <w:pPr>
        <w:ind w:left="601" w:right="320" w:hanging="601"/>
        <w:spacing w:after="0" w:line="239" w:lineRule="auto"/>
        <w:tabs>
          <w:tab w:leader="none" w:pos="6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impairment of assets includes $22,576, $9,147, $9,572, $26,901 and $31,219 of impairment of assets reclassified to discontinued operations.</w:t>
      </w:r>
    </w:p>
    <w:p>
      <w:pPr>
        <w:ind w:left="601" w:hanging="601"/>
        <w:spacing w:after="0"/>
        <w:tabs>
          <w:tab w:leader="none" w:pos="6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the years ended December 31, 2012 and 2010, (Gain) loss on early extinguishment of debt excludes the portion of losses paid in cash of $15,411 and $1,152, respectively.</w:t>
      </w:r>
    </w:p>
    <w:p>
      <w:pPr>
        <w:ind w:left="601" w:hanging="601"/>
        <w:spacing w:after="0"/>
        <w:tabs>
          <w:tab w:leader="none" w:pos="6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Prior period presentation has been restated to conform to current year presentation.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1"/>
          </w:cols>
          <w:pgMar w:left="239" w:top="114" w:right="239" w:bottom="1440" w:gutter="0" w:footer="0" w:header="0"/>
        </w:sectPr>
      </w:pPr>
    </w:p>
    <w:bookmarkStart w:id="36" w:name="page37"/>
    <w:bookmarkEnd w:id="36"/>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2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Risk Management</w:t>
      </w:r>
    </w:p>
    <w:p>
      <w:pPr>
        <w:spacing w:after="0" w:line="206"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b w:val="1"/>
          <w:bCs w:val="1"/>
          <w:i w:val="1"/>
          <w:iCs w:val="1"/>
          <w:color w:val="auto"/>
        </w:rPr>
        <w:t>Loan Credit Statistics</w:t>
      </w:r>
      <w:r>
        <w:rPr>
          <w:rFonts w:ascii="Arial" w:cs="Arial" w:eastAsia="Arial" w:hAnsi="Arial"/>
          <w:sz w:val="17"/>
          <w:szCs w:val="17"/>
          <w:color w:val="auto"/>
        </w:rPr>
        <w:t>—The table below summarizes our non-performing loans, watch list loans and the reserves for loan losses associated with our loans ($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thousands):</w:t>
      </w:r>
    </w:p>
    <w:p>
      <w:pPr>
        <w:spacing w:after="0" w:line="375" w:lineRule="exact"/>
        <w:rPr>
          <w:sz w:val="20"/>
          <w:szCs w:val="20"/>
          <w:color w:val="auto"/>
        </w:rPr>
      </w:pPr>
    </w:p>
    <w:tbl>
      <w:tblPr>
        <w:tblLayout w:type="fixed"/>
        <w:tblInd w:w="21"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As of December 31,</w:t>
            </w:r>
          </w:p>
        </w:tc>
        <w:tc>
          <w:tcPr>
            <w:tcW w:w="1140" w:type="dxa"/>
            <w:vAlign w:val="bottom"/>
            <w:tcBorders>
              <w:bottom w:val="single" w:sz="8" w:color="auto"/>
            </w:tcBorders>
          </w:tcPr>
          <w:p>
            <w:pPr>
              <w:spacing w:after="0"/>
              <w:rPr>
                <w:sz w:val="15"/>
                <w:szCs w:val="15"/>
                <w:color w:val="auto"/>
              </w:rPr>
            </w:pPr>
          </w:p>
        </w:tc>
      </w:tr>
      <w:tr>
        <w:trPr>
          <w:trHeight w:val="241"/>
        </w:trPr>
        <w:tc>
          <w:tcPr>
            <w:tcW w:w="77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2011</w:t>
            </w:r>
          </w:p>
        </w:tc>
      </w:tr>
      <w:tr>
        <w:trPr>
          <w:trHeight w:val="226"/>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Non-performing loans</w:t>
            </w:r>
          </w:p>
        </w:tc>
        <w:tc>
          <w:tcPr>
            <w:tcW w:w="10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2"/>
        </w:trPr>
        <w:tc>
          <w:tcPr>
            <w:tcW w:w="7760" w:type="dxa"/>
            <w:vAlign w:val="bottom"/>
          </w:tcPr>
          <w:p>
            <w:pPr>
              <w:ind w:left="20"/>
              <w:spacing w:after="0"/>
              <w:rPr>
                <w:sz w:val="20"/>
                <w:szCs w:val="20"/>
                <w:color w:val="auto"/>
              </w:rPr>
            </w:pPr>
            <w:r>
              <w:rPr>
                <w:rFonts w:ascii="Arial" w:cs="Arial" w:eastAsia="Arial" w:hAnsi="Arial"/>
                <w:sz w:val="17"/>
                <w:szCs w:val="17"/>
                <w:color w:val="auto"/>
              </w:rPr>
              <w:t>Carrying value(1)</w:t>
            </w:r>
          </w:p>
        </w:tc>
        <w:tc>
          <w:tcPr>
            <w:tcW w:w="1040" w:type="dxa"/>
            <w:vAlign w:val="bottom"/>
          </w:tcPr>
          <w:p>
            <w:pPr>
              <w:jc w:val="right"/>
              <w:ind w:right="861"/>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99"/>
              <w:spacing w:after="0"/>
              <w:rPr>
                <w:sz w:val="20"/>
                <w:szCs w:val="20"/>
                <w:color w:val="auto"/>
              </w:rPr>
            </w:pPr>
            <w:r>
              <w:rPr>
                <w:rFonts w:ascii="Arial" w:cs="Arial" w:eastAsia="Arial" w:hAnsi="Arial"/>
                <w:sz w:val="17"/>
                <w:szCs w:val="17"/>
                <w:color w:val="auto"/>
                <w:w w:val="84"/>
              </w:rPr>
              <w:t>503,112</w:t>
            </w:r>
          </w:p>
        </w:tc>
        <w:tc>
          <w:tcPr>
            <w:tcW w:w="120" w:type="dxa"/>
            <w:vAlign w:val="bottom"/>
          </w:tcPr>
          <w:p>
            <w:pPr>
              <w:spacing w:after="0"/>
              <w:rPr>
                <w:sz w:val="19"/>
                <w:szCs w:val="19"/>
                <w:color w:val="auto"/>
              </w:rPr>
            </w:pPr>
          </w:p>
        </w:tc>
        <w:tc>
          <w:tcPr>
            <w:tcW w:w="620" w:type="dxa"/>
            <w:vAlign w:val="bottom"/>
          </w:tcPr>
          <w:p>
            <w:pPr>
              <w:jc w:val="right"/>
              <w:ind w:right="43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99"/>
              <w:spacing w:after="0"/>
              <w:rPr>
                <w:sz w:val="20"/>
                <w:szCs w:val="20"/>
                <w:color w:val="auto"/>
              </w:rPr>
            </w:pPr>
            <w:r>
              <w:rPr>
                <w:rFonts w:ascii="Arial" w:cs="Arial" w:eastAsia="Arial" w:hAnsi="Arial"/>
                <w:sz w:val="17"/>
                <w:szCs w:val="17"/>
                <w:color w:val="auto"/>
              </w:rPr>
              <w:t>771,196</w:t>
            </w:r>
          </w:p>
        </w:tc>
      </w:tr>
      <w:tr>
        <w:trPr>
          <w:trHeight w:val="26"/>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a percentage of total carrying value of loans</w:t>
            </w:r>
          </w:p>
        </w:tc>
        <w:tc>
          <w:tcPr>
            <w:tcW w:w="10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22"/>
        </w:trPr>
        <w:tc>
          <w:tcPr>
            <w:tcW w:w="7760" w:type="dxa"/>
            <w:vAlign w:val="bottom"/>
          </w:tcPr>
          <w:p>
            <w:pPr>
              <w:ind w:left="20"/>
              <w:spacing w:after="0"/>
              <w:rPr>
                <w:sz w:val="20"/>
                <w:szCs w:val="20"/>
                <w:color w:val="auto"/>
              </w:rPr>
            </w:pPr>
            <w:r>
              <w:rPr>
                <w:rFonts w:ascii="Arial" w:cs="Arial" w:eastAsia="Arial" w:hAnsi="Arial"/>
                <w:sz w:val="17"/>
                <w:szCs w:val="17"/>
                <w:b w:val="1"/>
                <w:bCs w:val="1"/>
                <w:color w:val="auto"/>
              </w:rPr>
              <w:t>Watch list loans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w w:val="99"/>
              </w:rPr>
              <w:t>44,350</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136,006</w:t>
            </w:r>
          </w:p>
        </w:tc>
      </w:tr>
      <w:tr>
        <w:trPr>
          <w:trHeight w:val="222"/>
        </w:trPr>
        <w:tc>
          <w:tcPr>
            <w:tcW w:w="7760" w:type="dxa"/>
            <w:vAlign w:val="bottom"/>
          </w:tcPr>
          <w:p>
            <w:pPr>
              <w:ind w:left="20"/>
              <w:spacing w:after="0"/>
              <w:rPr>
                <w:sz w:val="20"/>
                <w:szCs w:val="20"/>
                <w:color w:val="auto"/>
              </w:rPr>
            </w:pPr>
            <w:r>
              <w:rPr>
                <w:rFonts w:ascii="Arial" w:cs="Arial" w:eastAsia="Arial" w:hAnsi="Arial"/>
                <w:sz w:val="17"/>
                <w:szCs w:val="17"/>
                <w:color w:val="auto"/>
              </w:rPr>
              <w:t>As a percentage of total carrying value of loans</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6"/>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Reserve for loan losses</w:t>
            </w:r>
          </w:p>
        </w:tc>
        <w:tc>
          <w:tcPr>
            <w:tcW w:w="10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2"/>
        </w:trPr>
        <w:tc>
          <w:tcPr>
            <w:tcW w:w="7760" w:type="dxa"/>
            <w:vAlign w:val="bottom"/>
          </w:tcPr>
          <w:p>
            <w:pPr>
              <w:ind w:left="20"/>
              <w:spacing w:after="0"/>
              <w:rPr>
                <w:sz w:val="20"/>
                <w:szCs w:val="20"/>
                <w:color w:val="auto"/>
              </w:rPr>
            </w:pPr>
            <w:r>
              <w:rPr>
                <w:rFonts w:ascii="Arial" w:cs="Arial" w:eastAsia="Arial" w:hAnsi="Arial"/>
                <w:sz w:val="17"/>
                <w:szCs w:val="17"/>
                <w:color w:val="auto"/>
              </w:rPr>
              <w:t>Total reserve for loan losses</w:t>
            </w:r>
          </w:p>
        </w:tc>
        <w:tc>
          <w:tcPr>
            <w:tcW w:w="1040" w:type="dxa"/>
            <w:vAlign w:val="bottom"/>
          </w:tcPr>
          <w:p>
            <w:pPr>
              <w:jc w:val="right"/>
              <w:ind w:right="861"/>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99"/>
              <w:spacing w:after="0"/>
              <w:rPr>
                <w:sz w:val="20"/>
                <w:szCs w:val="20"/>
                <w:color w:val="auto"/>
              </w:rPr>
            </w:pPr>
            <w:r>
              <w:rPr>
                <w:rFonts w:ascii="Arial" w:cs="Arial" w:eastAsia="Arial" w:hAnsi="Arial"/>
                <w:sz w:val="17"/>
                <w:szCs w:val="17"/>
                <w:color w:val="auto"/>
                <w:w w:val="84"/>
              </w:rPr>
              <w:t>524,499</w:t>
            </w:r>
          </w:p>
        </w:tc>
        <w:tc>
          <w:tcPr>
            <w:tcW w:w="120" w:type="dxa"/>
            <w:vAlign w:val="bottom"/>
          </w:tcPr>
          <w:p>
            <w:pPr>
              <w:spacing w:after="0"/>
              <w:rPr>
                <w:sz w:val="19"/>
                <w:szCs w:val="19"/>
                <w:color w:val="auto"/>
              </w:rPr>
            </w:pPr>
          </w:p>
        </w:tc>
        <w:tc>
          <w:tcPr>
            <w:tcW w:w="620" w:type="dxa"/>
            <w:vAlign w:val="bottom"/>
          </w:tcPr>
          <w:p>
            <w:pPr>
              <w:jc w:val="right"/>
              <w:ind w:right="43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99"/>
              <w:spacing w:after="0"/>
              <w:rPr>
                <w:sz w:val="20"/>
                <w:szCs w:val="20"/>
                <w:color w:val="auto"/>
              </w:rPr>
            </w:pPr>
            <w:r>
              <w:rPr>
                <w:rFonts w:ascii="Arial" w:cs="Arial" w:eastAsia="Arial" w:hAnsi="Arial"/>
                <w:sz w:val="17"/>
                <w:szCs w:val="17"/>
                <w:color w:val="auto"/>
              </w:rPr>
              <w:t>646,624</w:t>
            </w:r>
          </w:p>
        </w:tc>
      </w:tr>
      <w:tr>
        <w:trPr>
          <w:trHeight w:val="26"/>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 a percentage of total loans before loan loss reserves</w:t>
            </w:r>
          </w:p>
        </w:tc>
        <w:tc>
          <w:tcPr>
            <w:tcW w:w="10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2"/>
        </w:trPr>
        <w:tc>
          <w:tcPr>
            <w:tcW w:w="7760" w:type="dxa"/>
            <w:vAlign w:val="bottom"/>
          </w:tcPr>
          <w:p>
            <w:pPr>
              <w:ind w:left="20"/>
              <w:spacing w:after="0"/>
              <w:rPr>
                <w:sz w:val="20"/>
                <w:szCs w:val="20"/>
                <w:color w:val="auto"/>
              </w:rPr>
            </w:pPr>
            <w:r>
              <w:rPr>
                <w:rFonts w:ascii="Arial" w:cs="Arial" w:eastAsia="Arial" w:hAnsi="Arial"/>
                <w:sz w:val="17"/>
                <w:szCs w:val="17"/>
                <w:color w:val="auto"/>
              </w:rPr>
              <w:t>Non-performing loan asset-specific reserves for loan losses</w:t>
            </w:r>
          </w:p>
        </w:tc>
        <w:tc>
          <w:tcPr>
            <w:tcW w:w="1040" w:type="dxa"/>
            <w:vAlign w:val="bottom"/>
          </w:tcPr>
          <w:p>
            <w:pPr>
              <w:jc w:val="right"/>
              <w:ind w:right="861"/>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99"/>
              <w:spacing w:after="0"/>
              <w:rPr>
                <w:sz w:val="20"/>
                <w:szCs w:val="20"/>
                <w:color w:val="auto"/>
              </w:rPr>
            </w:pPr>
            <w:r>
              <w:rPr>
                <w:rFonts w:ascii="Arial" w:cs="Arial" w:eastAsia="Arial" w:hAnsi="Arial"/>
                <w:sz w:val="17"/>
                <w:szCs w:val="17"/>
                <w:color w:val="auto"/>
                <w:w w:val="84"/>
              </w:rPr>
              <w:t>476,140</w:t>
            </w:r>
          </w:p>
        </w:tc>
        <w:tc>
          <w:tcPr>
            <w:tcW w:w="120" w:type="dxa"/>
            <w:vAlign w:val="bottom"/>
          </w:tcPr>
          <w:p>
            <w:pPr>
              <w:spacing w:after="0"/>
              <w:rPr>
                <w:sz w:val="19"/>
                <w:szCs w:val="19"/>
                <w:color w:val="auto"/>
              </w:rPr>
            </w:pPr>
          </w:p>
        </w:tc>
        <w:tc>
          <w:tcPr>
            <w:tcW w:w="620" w:type="dxa"/>
            <w:vAlign w:val="bottom"/>
          </w:tcPr>
          <w:p>
            <w:pPr>
              <w:jc w:val="right"/>
              <w:ind w:right="43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99"/>
              <w:spacing w:after="0"/>
              <w:rPr>
                <w:sz w:val="20"/>
                <w:szCs w:val="20"/>
                <w:color w:val="auto"/>
              </w:rPr>
            </w:pPr>
            <w:r>
              <w:rPr>
                <w:rFonts w:ascii="Arial" w:cs="Arial" w:eastAsia="Arial" w:hAnsi="Arial"/>
                <w:sz w:val="17"/>
                <w:szCs w:val="17"/>
                <w:color w:val="auto"/>
              </w:rPr>
              <w:t>557,129</w:t>
            </w:r>
          </w:p>
        </w:tc>
      </w:tr>
      <w:tr>
        <w:trPr>
          <w:trHeight w:val="26"/>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2"/>
        </w:trPr>
        <w:tc>
          <w:tcPr>
            <w:tcW w:w="7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 a percentage of gross carrying value of non-performing loans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6"/>
        </w:trPr>
        <w:tc>
          <w:tcPr>
            <w:tcW w:w="7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of December 31, 2012 and 2011, carrying values of non-performing loans are net of asset-specific reserves for loan losses of $476.1 million and $557.1 million, respectively.</w:t>
      </w:r>
    </w:p>
    <w:p>
      <w:pPr>
        <w:spacing w:after="0" w:line="152" w:lineRule="exact"/>
        <w:rPr>
          <w:sz w:val="20"/>
          <w:szCs w:val="20"/>
          <w:color w:val="auto"/>
        </w:rPr>
      </w:pPr>
    </w:p>
    <w:p>
      <w:pPr>
        <w:ind w:left="401"/>
        <w:spacing w:after="0"/>
        <w:rPr>
          <w:sz w:val="20"/>
          <w:szCs w:val="20"/>
          <w:color w:val="auto"/>
        </w:rPr>
      </w:pPr>
      <w:r>
        <w:rPr>
          <w:rFonts w:ascii="Arial" w:cs="Arial" w:eastAsia="Arial" w:hAnsi="Arial"/>
          <w:sz w:val="14"/>
          <w:szCs w:val="14"/>
          <w:b w:val="1"/>
          <w:bCs w:val="1"/>
          <w:i w:val="1"/>
          <w:iCs w:val="1"/>
          <w:color w:val="auto"/>
        </w:rPr>
        <w:t>Non-Performing Loans</w:t>
      </w:r>
      <w:r>
        <w:rPr>
          <w:rFonts w:ascii="Arial" w:cs="Arial" w:eastAsia="Arial" w:hAnsi="Arial"/>
          <w:sz w:val="14"/>
          <w:szCs w:val="14"/>
          <w:color w:val="auto"/>
        </w:rPr>
        <w:t>—We designate loans as non-performing at such time as: (1) the loan becomes 90 days delinquent; (2) the loan has a maturity default; or</w:t>
      </w:r>
    </w:p>
    <w:p>
      <w:pPr>
        <w:spacing w:after="0" w:line="48" w:lineRule="exact"/>
        <w:rPr>
          <w:sz w:val="20"/>
          <w:szCs w:val="20"/>
          <w:color w:val="auto"/>
        </w:rPr>
      </w:pPr>
    </w:p>
    <w:p>
      <w:pPr>
        <w:jc w:val="both"/>
        <w:ind w:left="1" w:hanging="1"/>
        <w:spacing w:after="0" w:line="245" w:lineRule="auto"/>
        <w:tabs>
          <w:tab w:leader="none" w:pos="2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management determines it is probable that it will be unable to collect all amounts due according to the contractual terms of the loan. All non-performing loans are placed on non-accrual status and income is only recognized in certain cases upon actual cash receipt. As of December 31, 2012, we had non-performing loans with an aggregate carrying value of $503.1 million. Our non-performing loans decreased during year ended December 31, 2012, primarily due to us taking title to properties serving as collateral in full or partial satisfaction of such loans.</w:t>
      </w:r>
    </w:p>
    <w:p>
      <w:pPr>
        <w:spacing w:after="0" w:line="184" w:lineRule="exact"/>
        <w:rPr>
          <w:sz w:val="20"/>
          <w:szCs w:val="20"/>
          <w:color w:val="auto"/>
        </w:rPr>
      </w:pPr>
    </w:p>
    <w:p>
      <w:pPr>
        <w:jc w:val="both"/>
        <w:ind w:left="1" w:firstLine="397"/>
        <w:spacing w:after="0" w:line="368" w:lineRule="auto"/>
        <w:rPr>
          <w:sz w:val="20"/>
          <w:szCs w:val="20"/>
          <w:color w:val="auto"/>
        </w:rPr>
      </w:pPr>
      <w:r>
        <w:rPr>
          <w:rFonts w:ascii="Arial" w:cs="Arial" w:eastAsia="Arial" w:hAnsi="Arial"/>
          <w:sz w:val="14"/>
          <w:szCs w:val="14"/>
          <w:b w:val="1"/>
          <w:bCs w:val="1"/>
          <w:i w:val="1"/>
          <w:iCs w:val="1"/>
          <w:color w:val="auto"/>
        </w:rPr>
        <w:t>Watch List Loans</w:t>
      </w:r>
      <w:r>
        <w:rPr>
          <w:rFonts w:ascii="Arial" w:cs="Arial" w:eastAsia="Arial" w:hAnsi="Arial"/>
          <w:sz w:val="14"/>
          <w:szCs w:val="14"/>
          <w:color w:val="auto"/>
        </w:rPr>
        <w:t>—During our quarterly loan portfolio assessments, loans are put on the watch list if deteriorating performance indicates they warrant a higher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degree of monitoring and senior management attention. As of December 31, 2012, we had loans on the watch list with a combined carrying value of $44.4 million.</w:t>
      </w:r>
    </w:p>
    <w:p>
      <w:pPr>
        <w:spacing w:after="0" w:line="102" w:lineRule="exact"/>
        <w:rPr>
          <w:sz w:val="20"/>
          <w:szCs w:val="20"/>
          <w:color w:val="auto"/>
        </w:rPr>
      </w:pPr>
    </w:p>
    <w:p>
      <w:pPr>
        <w:jc w:val="both"/>
        <w:ind w:left="1" w:firstLine="397"/>
        <w:spacing w:after="0" w:line="265" w:lineRule="auto"/>
        <w:rPr>
          <w:sz w:val="20"/>
          <w:szCs w:val="20"/>
          <w:color w:val="auto"/>
        </w:rPr>
      </w:pPr>
      <w:r>
        <w:rPr>
          <w:rFonts w:ascii="Arial" w:cs="Arial" w:eastAsia="Arial" w:hAnsi="Arial"/>
          <w:sz w:val="16"/>
          <w:szCs w:val="16"/>
          <w:b w:val="1"/>
          <w:bCs w:val="1"/>
          <w:i w:val="1"/>
          <w:iCs w:val="1"/>
          <w:color w:val="auto"/>
        </w:rPr>
        <w:t>Reserve for Loan Losses</w:t>
      </w:r>
      <w:r>
        <w:rPr>
          <w:rFonts w:ascii="Arial" w:cs="Arial" w:eastAsia="Arial" w:hAnsi="Arial"/>
          <w:sz w:val="16"/>
          <w:szCs w:val="16"/>
          <w:color w:val="auto"/>
        </w:rPr>
        <w:t>—The reserve for loan losses was $524.5 million as of December 31, 2012, or 22.3% of the gross carrying value of total loans,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$646.6 million or 18.5% at December 31, 2011. The change in the balance of the reserve was the result of $81.7 million of provisioning for loan losses, reduced by $203.9 million of charge-offs during the year ended December 31, 2012. Due to the continued volatility of the commercial real estate market, the process of estimating collateral values and reserves require us to use significant judgment. In addition, the process of estimating values and reserves for our European loan assets (which had a carrying value of $228.7 million as of December 31, 2012), is subject to additional risks related to the continued economic uncertainty in the Eurozone. We currently believe there are adequate collateral and reserves to support the carrying values of the loans.</w:t>
      </w:r>
    </w:p>
    <w:p>
      <w:pPr>
        <w:spacing w:after="0" w:line="171" w:lineRule="exact"/>
        <w:rPr>
          <w:sz w:val="20"/>
          <w:szCs w:val="20"/>
          <w:color w:val="auto"/>
        </w:rPr>
      </w:pPr>
    </w:p>
    <w:p>
      <w:pPr>
        <w:jc w:val="both"/>
        <w:ind w:left="1" w:firstLine="397"/>
        <w:spacing w:after="0" w:line="320" w:lineRule="auto"/>
        <w:rPr>
          <w:sz w:val="20"/>
          <w:szCs w:val="20"/>
          <w:color w:val="auto"/>
        </w:rPr>
      </w:pPr>
      <w:r>
        <w:rPr>
          <w:rFonts w:ascii="Arial" w:cs="Arial" w:eastAsia="Arial" w:hAnsi="Arial"/>
          <w:sz w:val="14"/>
          <w:szCs w:val="14"/>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December 31, 2012, asset-specific reserves decreased to $491.4 million compared to $573.1 million at December 31, 2011, primarily due to charge-offs on loans where we took title to properties serving as collateral in full or partial satisfaction of such loans or loans that were sold. The decrease was partially offset by additional reserves established on new non-performing loans.</w:t>
      </w:r>
    </w:p>
    <w:p>
      <w:pPr>
        <w:spacing w:after="0" w:line="134" w:lineRule="exact"/>
        <w:rPr>
          <w:sz w:val="20"/>
          <w:szCs w:val="20"/>
          <w:color w:val="auto"/>
        </w:rPr>
      </w:pPr>
    </w:p>
    <w:p>
      <w:pPr>
        <w:jc w:val="both"/>
        <w:ind w:left="1" w:firstLine="397"/>
        <w:spacing w:after="0" w:line="27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1"/>
          </w:cols>
          <w:pgMar w:left="239" w:top="120" w:right="239" w:bottom="1440" w:gutter="0" w:footer="0" w:header="0"/>
        </w:sectPr>
      </w:pPr>
    </w:p>
    <w:bookmarkStart w:id="37" w:name="page38"/>
    <w:bookmarkEnd w:id="37"/>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ind w:left="1"/>
        <w:spacing w:after="0" w:line="249" w:lineRule="auto"/>
        <w:rPr>
          <w:sz w:val="20"/>
          <w:szCs w:val="20"/>
          <w:color w:val="auto"/>
        </w:rPr>
      </w:pPr>
      <w:r>
        <w:rPr>
          <w:rFonts w:ascii="Arial" w:cs="Arial" w:eastAsia="Arial" w:hAnsi="Arial"/>
          <w:sz w:val="17"/>
          <w:szCs w:val="17"/>
          <w:color w:val="auto"/>
        </w:rPr>
        <w:t>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82" w:lineRule="exact"/>
        <w:rPr>
          <w:sz w:val="20"/>
          <w:szCs w:val="20"/>
          <w:color w:val="auto"/>
        </w:rPr>
      </w:pPr>
    </w:p>
    <w:p>
      <w:pPr>
        <w:jc w:val="both"/>
        <w:ind w:left="1" w:firstLine="397"/>
        <w:spacing w:after="0" w:line="332" w:lineRule="auto"/>
        <w:rPr>
          <w:sz w:val="20"/>
          <w:szCs w:val="20"/>
          <w:color w:val="auto"/>
        </w:rPr>
      </w:pPr>
      <w:r>
        <w:rPr>
          <w:rFonts w:ascii="Arial" w:cs="Arial" w:eastAsia="Arial" w:hAnsi="Arial"/>
          <w:sz w:val="14"/>
          <w:szCs w:val="14"/>
          <w:color w:val="auto"/>
        </w:rPr>
        <w:t>The general reserve decreased to $33.1 million or 2.4% of the gross carrying value of performing loans as of December 31, 2012, compared to $73.5 million or 3.4% of the gross carrying value of performing loans at December 31, 2011. This reduction is primarily attributable to the reduction in the balance of performing loans combined with an improvement in the weighted average risk ratings of performing loans to 3.01 as of December 31, 2012 compared to 3.29 as of December 31, 2011.</w:t>
      </w:r>
    </w:p>
    <w:p>
      <w:pPr>
        <w:spacing w:after="0" w:line="52" w:lineRule="exact"/>
        <w:rPr>
          <w:sz w:val="20"/>
          <w:szCs w:val="20"/>
          <w:color w:val="auto"/>
        </w:rPr>
      </w:pPr>
    </w:p>
    <w:p>
      <w:pPr>
        <w:ind w:left="601"/>
        <w:spacing w:after="0"/>
        <w:rPr>
          <w:sz w:val="20"/>
          <w:szCs w:val="20"/>
          <w:color w:val="auto"/>
        </w:rPr>
      </w:pPr>
      <w:r>
        <w:rPr>
          <w:rFonts w:ascii="Arial" w:cs="Arial" w:eastAsia="Arial" w:hAnsi="Arial"/>
          <w:sz w:val="14"/>
          <w:szCs w:val="14"/>
          <w:b w:val="1"/>
          <w:bCs w:val="1"/>
          <w:i w:val="1"/>
          <w:iCs w:val="1"/>
          <w:color w:val="auto"/>
        </w:rPr>
        <w:t>Risk concentrations</w:t>
      </w:r>
      <w:r>
        <w:rPr>
          <w:rFonts w:ascii="Arial" w:cs="Arial" w:eastAsia="Arial" w:hAnsi="Arial"/>
          <w:sz w:val="14"/>
          <w:szCs w:val="14"/>
          <w:color w:val="auto"/>
        </w:rPr>
        <w:t>—As of December 31, 2012, our total investment portfolio was comprised of the following property/collateral types ($ in thousands)(1):</w:t>
      </w:r>
    </w:p>
    <w:p>
      <w:pPr>
        <w:spacing w:after="0" w:line="200" w:lineRule="exact"/>
        <w:rPr>
          <w:sz w:val="20"/>
          <w:szCs w:val="20"/>
          <w:color w:val="auto"/>
        </w:rPr>
      </w:pPr>
    </w:p>
    <w:p>
      <w:pPr>
        <w:spacing w:after="0" w:line="288" w:lineRule="exact"/>
        <w:rPr>
          <w:sz w:val="20"/>
          <w:szCs w:val="20"/>
          <w:color w:val="auto"/>
        </w:rPr>
      </w:pPr>
    </w:p>
    <w:tbl>
      <w:tblPr>
        <w:tblLayout w:type="fixed"/>
        <w:tblInd w:w="681"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Net Lease</w:t>
            </w:r>
          </w:p>
        </w:tc>
        <w:tc>
          <w:tcPr>
            <w:tcW w:w="22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Operating</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00"/>
              <w:spacing w:after="0"/>
              <w:rPr>
                <w:sz w:val="20"/>
                <w:szCs w:val="20"/>
                <w:color w:val="auto"/>
              </w:rPr>
            </w:pPr>
            <w:r>
              <w:rPr>
                <w:rFonts w:ascii="Arial" w:cs="Arial" w:eastAsia="Arial" w:hAnsi="Arial"/>
                <w:sz w:val="13"/>
                <w:szCs w:val="13"/>
                <w:b w:val="1"/>
                <w:bCs w:val="1"/>
                <w:color w:val="auto"/>
              </w:rPr>
              <w:t>% of</w:t>
            </w:r>
          </w:p>
        </w:tc>
      </w:tr>
      <w:tr>
        <w:trPr>
          <w:trHeight w:val="176"/>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Property/Collateral Types</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4"/>
              </w:rPr>
              <w:t>Real Estate Finance</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Properties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22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297,039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970,593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1,267,632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Office</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124,058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301,304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258,977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684,339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Condominium</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237,534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385,229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622,763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Industrial / R&amp;D</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94,617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472,149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55,439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622,205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Retail</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293,651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50,529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184,000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528,180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Entertainment / Leisure</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98,423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414,849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513,286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Hotel</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298,293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91,746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84,375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474,414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Mixed Use / Mixed Collateral</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237,989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179,337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417,326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Property Types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181,481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9,424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24,541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215,446</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Strategic Investments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351,225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1,863,085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1,340,001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1,171,912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970,593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5,696,816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on the carrying value of our total investment portfolio gross of general loan loss reserves.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1"/>
          </w:cols>
          <w:pgMar w:left="239" w:top="120" w:right="239" w:bottom="1440" w:gutter="0" w:footer="0" w:header="0"/>
        </w:sectPr>
      </w:pPr>
    </w:p>
    <w:bookmarkStart w:id="38" w:name="page39"/>
    <w:bookmarkEnd w:id="38"/>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As of December 31, 2012, our total investment portfolio had the following characteristics by geographical region ($ in thousands)(1):</w:t>
      </w:r>
    </w:p>
    <w:p>
      <w:pPr>
        <w:spacing w:after="0" w:line="330" w:lineRule="exact"/>
        <w:rPr>
          <w:sz w:val="20"/>
          <w:szCs w:val="20"/>
          <w:color w:val="auto"/>
        </w:rPr>
      </w:pPr>
    </w:p>
    <w:tbl>
      <w:tblPr>
        <w:tblLayout w:type="fixed"/>
        <w:tblInd w:w="681"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Operating</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00"/>
              <w:spacing w:after="0"/>
              <w:rPr>
                <w:sz w:val="20"/>
                <w:szCs w:val="20"/>
                <w:color w:val="auto"/>
              </w:rPr>
            </w:pPr>
            <w:r>
              <w:rPr>
                <w:rFonts w:ascii="Arial" w:cs="Arial" w:eastAsia="Arial" w:hAnsi="Arial"/>
                <w:sz w:val="13"/>
                <w:szCs w:val="13"/>
                <w:b w:val="1"/>
                <w:bCs w:val="1"/>
                <w:color w:val="auto"/>
              </w:rPr>
              <w:t>% of</w:t>
            </w:r>
          </w:p>
        </w:tc>
      </w:tr>
      <w:tr>
        <w:trPr>
          <w:trHeight w:val="176"/>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Geographic Region</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4"/>
              </w:rPr>
              <w:t>Real Estate Finance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85"/>
              </w:rPr>
              <w:t>Net Lease Assets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Properties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22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340,457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340,896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237,496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367,470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1,286,319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Northeast</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421,660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317,003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175,894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180,744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1,095,301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308,559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201,535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251,410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89,035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850,539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Southwest</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197,478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182,329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209,424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120,293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709,524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Mid-Atlantic</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43,866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104,205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217,379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180,290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545,740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International(2)</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308,210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308,210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Central</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159,460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68,434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61,938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9,500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299,332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Northwest</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83,236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56,409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18,371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23,261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181,277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Various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69,190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69,349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Strategic Investments(2)</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351,225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1,863,085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1,340,001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1,171,912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970,593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5,696,816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the carrying value of our total investment portfolio gross of general loan loss reserves.</w:t>
      </w:r>
    </w:p>
    <w:p>
      <w:pPr>
        <w:spacing w:after="0" w:line="9" w:lineRule="exact"/>
        <w:rPr>
          <w:rFonts w:ascii="Arial" w:cs="Arial" w:eastAsia="Arial" w:hAnsi="Arial"/>
          <w:sz w:val="13"/>
          <w:szCs w:val="13"/>
          <w:color w:val="auto"/>
        </w:rPr>
      </w:pPr>
    </w:p>
    <w:p>
      <w:pPr>
        <w:ind w:left="601" w:hanging="601"/>
        <w:spacing w:after="0" w:line="249" w:lineRule="auto"/>
        <w:tabs>
          <w:tab w:leader="none" w:pos="601" w:val="left"/>
        </w:tabs>
        <w:numPr>
          <w:ilvl w:val="0"/>
          <w:numId w:val="23"/>
        </w:numPr>
        <w:rPr>
          <w:rFonts w:ascii="Arial" w:cs="Arial" w:eastAsia="Arial" w:hAnsi="Arial"/>
          <w:sz w:val="13"/>
          <w:szCs w:val="13"/>
          <w:color w:val="auto"/>
        </w:rPr>
      </w:pPr>
      <w:r>
        <w:rPr>
          <w:rFonts w:ascii="Arial" w:cs="Arial" w:eastAsia="Arial" w:hAnsi="Arial"/>
          <w:sz w:val="13"/>
          <w:szCs w:val="13"/>
          <w:color w:val="auto"/>
        </w:rPr>
        <w:t>Strategic investments includes $36.6 million of international assets. Additionally, international and strategic investments include $228.7 million of European assets, including $117.6 million in Germany and $111.1 million in the United Kingdom.</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Liquidity and Capital Resources</w:t>
      </w:r>
    </w:p>
    <w:p>
      <w:pPr>
        <w:spacing w:after="0" w:line="206"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16"/>
          <w:szCs w:val="16"/>
          <w:color w:val="auto"/>
        </w:rPr>
        <w:t>During 2012, we raised approximately $3.51 billion through secured and unsecured debt capital markets transactions, the proceeds of which were used to repay and/or refinance a significant portion of our debt that was due to mature before 2017. Our three unsecured senior notes transactions in 2012 marked the first time that we accessed the unsecured debt markets since 2008, and we saw a material improvement in the cost of our unsecured senior notes issued in the latter half of 2012, as compared to the notes issued in the first half of the year, following an upgrade in our corporate credit ratings. These transactions provided us with a number of benefits, such as longer-term financing on a substantial portion of our portfolio as well as a reduction in funding costs and the ability to unencumber certain liquid assets. Subsequent to year end, we were able to further reduce the interest costs associated with our October 2012 Secured Credit Facility by amending and restating that facility (see Subsequent Events for further details).</w:t>
      </w:r>
    </w:p>
    <w:p>
      <w:pPr>
        <w:spacing w:after="0" w:line="172" w:lineRule="exact"/>
        <w:rPr>
          <w:sz w:val="20"/>
          <w:szCs w:val="20"/>
          <w:color w:val="auto"/>
        </w:rPr>
      </w:pPr>
    </w:p>
    <w:p>
      <w:pPr>
        <w:jc w:val="both"/>
        <w:ind w:left="1" w:firstLine="596"/>
        <w:spacing w:after="0" w:line="252" w:lineRule="auto"/>
        <w:rPr>
          <w:sz w:val="20"/>
          <w:szCs w:val="20"/>
          <w:color w:val="auto"/>
        </w:rPr>
      </w:pPr>
      <w:r>
        <w:rPr>
          <w:rFonts w:ascii="Arial" w:cs="Arial" w:eastAsia="Arial" w:hAnsi="Arial"/>
          <w:sz w:val="17"/>
          <w:szCs w:val="17"/>
          <w:color w:val="auto"/>
        </w:rPr>
        <w:t>For the year ended December 31, 2012, we originated and funded investments of $150.9 million. Also during 2012, we generated $1.48 billion of proceeds from our portfolio, comprised of $767.7 million from repayments and sales of loans, $403.8 million from sales of operating properties, $142.7 million from sales of net lease assets, $71.9 million from land sales and $90.4 million from strategic investments.</w:t>
      </w:r>
    </w:p>
    <w:p>
      <w:pPr>
        <w:spacing w:after="0" w:line="178" w:lineRule="exact"/>
        <w:rPr>
          <w:sz w:val="20"/>
          <w:szCs w:val="20"/>
          <w:color w:val="auto"/>
        </w:rPr>
      </w:pPr>
    </w:p>
    <w:p>
      <w:pPr>
        <w:jc w:val="both"/>
        <w:ind w:left="1" w:firstLine="596"/>
        <w:spacing w:after="0" w:line="263" w:lineRule="auto"/>
        <w:rPr>
          <w:sz w:val="20"/>
          <w:szCs w:val="20"/>
          <w:color w:val="auto"/>
        </w:rPr>
      </w:pPr>
      <w:r>
        <w:rPr>
          <w:rFonts w:ascii="Arial" w:cs="Arial" w:eastAsia="Arial" w:hAnsi="Arial"/>
          <w:sz w:val="16"/>
          <w:szCs w:val="16"/>
          <w:color w:val="auto"/>
        </w:rPr>
        <w:t>As of December 31, 2012, we had $545.3 million of debt maturities due before December 31, 2013, with a majority of that amount due in October 2013. In addition, we currently expect to make approximately $220 million of capital expenditures on our portfolio in the coming year. Our capital sources to meet expected cash uses throughout 2013 will primarily include cash on hand, as well as debt refinancings, proceeds from unencumbered asset sales and loan repayments from borrowers, and may include equity capital raising transactions. As of December 31, 2012, we had unencumbered assets with a carrying value of approximately $3.01 billion. As further described in Subsequent Events, in January 2013, we entered into a definitive agreement to sell our interest in LNR for approximate net proceeds of $220.0 million. This transaction is expected to close in the second quarter of 2013, subject to customary closing conditions. The closing of this transaction will provide us with cash that we can use for new investment activities which should contribute positively to our earnings; however, those investments may not fully replace the earnings contributed by LNR (see Note 6 to the Consolidated Financial Statements).</w:t>
      </w:r>
    </w:p>
    <w:p>
      <w:pPr>
        <w:spacing w:after="0" w:line="174"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It is also not possible for us to predict whether improving economic trends will continue or to quantify the impact of these or other trends on our financial results. If we fail to repay our obligations as they become due, it would be an event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1"/>
          </w:cols>
          <w:pgMar w:left="239" w:top="120" w:right="239" w:bottom="1440" w:gutter="0" w:footer="0" w:header="0"/>
        </w:sectPr>
      </w:pPr>
    </w:p>
    <w:bookmarkStart w:id="39" w:name="page40"/>
    <w:bookmarkEnd w:id="39"/>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ind w:left="1"/>
        <w:spacing w:after="0" w:line="260" w:lineRule="auto"/>
        <w:rPr>
          <w:sz w:val="20"/>
          <w:szCs w:val="20"/>
          <w:color w:val="auto"/>
        </w:rPr>
      </w:pPr>
      <w:r>
        <w:rPr>
          <w:rFonts w:ascii="Arial" w:cs="Arial" w:eastAsia="Arial" w:hAnsi="Arial"/>
          <w:sz w:val="17"/>
          <w:szCs w:val="17"/>
          <w:color w:val="auto"/>
        </w:rPr>
        <w:t>of default under the relevant debt instruments, which could result in a cross-default and acceleration of our other outstanding debt obligations, all of which would have a material adverse effect on our business.</w:t>
      </w:r>
    </w:p>
    <w:p>
      <w:pPr>
        <w:spacing w:after="0" w:line="172"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b w:val="1"/>
          <w:bCs w:val="1"/>
          <w:i w:val="1"/>
          <w:iCs w:val="1"/>
          <w:color w:val="auto"/>
        </w:rPr>
        <w:t>Contractual Obligations</w:t>
      </w:r>
      <w:r>
        <w:rPr>
          <w:rFonts w:ascii="Arial" w:cs="Arial" w:eastAsia="Arial" w:hAnsi="Arial"/>
          <w:sz w:val="17"/>
          <w:szCs w:val="17"/>
          <w:color w:val="auto"/>
        </w:rPr>
        <w:t>—The following table outlines the contractual obligations related to our long-term debt agreements and operating lease obligations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2012 (see Note 8 of the Notes to the Consolidated Financial Statements).</w:t>
      </w:r>
    </w:p>
    <w:p>
      <w:pPr>
        <w:spacing w:after="0" w:line="375" w:lineRule="exact"/>
        <w:rPr>
          <w:sz w:val="20"/>
          <w:szCs w:val="20"/>
          <w:color w:val="auto"/>
        </w:rPr>
      </w:pPr>
    </w:p>
    <w:tbl>
      <w:tblPr>
        <w:tblLayout w:type="fixed"/>
        <w:tblInd w:w="281"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Amounts Due By Period</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39"/>
        </w:trPr>
        <w:tc>
          <w:tcPr>
            <w:tcW w:w="2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0"/>
              </w:rPr>
              <w:t>Less Than 1</w:t>
            </w:r>
          </w:p>
        </w:tc>
        <w:tc>
          <w:tcPr>
            <w:tcW w:w="260" w:type="dxa"/>
            <w:vAlign w:val="bottom"/>
          </w:tcPr>
          <w:p>
            <w:pPr>
              <w:spacing w:after="0"/>
              <w:rPr>
                <w:sz w:val="12"/>
                <w:szCs w:val="12"/>
                <w:color w:val="auto"/>
              </w:rPr>
            </w:pPr>
          </w:p>
        </w:tc>
        <w:tc>
          <w:tcPr>
            <w:tcW w:w="940" w:type="dxa"/>
            <w:vAlign w:val="bottom"/>
          </w:tcPr>
          <w:p>
            <w:pPr>
              <w:jc w:val="right"/>
              <w:ind w:right="402"/>
              <w:spacing w:after="0" w:line="139" w:lineRule="exact"/>
              <w:rPr>
                <w:sz w:val="20"/>
                <w:szCs w:val="20"/>
                <w:color w:val="auto"/>
              </w:rPr>
            </w:pPr>
            <w:r>
              <w:rPr>
                <w:rFonts w:ascii="Arial" w:cs="Arial" w:eastAsia="Arial" w:hAnsi="Arial"/>
                <w:sz w:val="13"/>
                <w:szCs w:val="13"/>
                <w:b w:val="1"/>
                <w:bCs w:val="1"/>
                <w:color w:val="auto"/>
              </w:rPr>
              <w:t>2 - 3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ind w:right="460"/>
              <w:spacing w:after="0" w:line="139" w:lineRule="exact"/>
              <w:rPr>
                <w:sz w:val="20"/>
                <w:szCs w:val="20"/>
                <w:color w:val="auto"/>
              </w:rPr>
            </w:pPr>
            <w:r>
              <w:rPr>
                <w:rFonts w:ascii="Arial" w:cs="Arial" w:eastAsia="Arial" w:hAnsi="Arial"/>
                <w:sz w:val="13"/>
                <w:szCs w:val="13"/>
                <w:b w:val="1"/>
                <w:bCs w:val="1"/>
                <w:color w:val="auto"/>
              </w:rPr>
              <w:t>4 - 5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ind w:left="160"/>
              <w:spacing w:after="0" w:line="139" w:lineRule="exact"/>
              <w:rPr>
                <w:sz w:val="20"/>
                <w:szCs w:val="20"/>
                <w:color w:val="auto"/>
              </w:rPr>
            </w:pPr>
            <w:r>
              <w:rPr>
                <w:rFonts w:ascii="Arial" w:cs="Arial" w:eastAsia="Arial" w:hAnsi="Arial"/>
                <w:sz w:val="13"/>
                <w:szCs w:val="13"/>
                <w:b w:val="1"/>
                <w:bCs w:val="1"/>
                <w:color w:val="auto"/>
              </w:rPr>
              <w:t>6 - 10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80"/>
              <w:spacing w:after="0" w:line="139" w:lineRule="exact"/>
              <w:rPr>
                <w:sz w:val="20"/>
                <w:szCs w:val="20"/>
                <w:color w:val="auto"/>
              </w:rPr>
            </w:pPr>
            <w:r>
              <w:rPr>
                <w:rFonts w:ascii="Arial" w:cs="Arial" w:eastAsia="Arial" w:hAnsi="Arial"/>
                <w:sz w:val="13"/>
                <w:szCs w:val="13"/>
                <w:b w:val="1"/>
                <w:bCs w:val="1"/>
                <w:color w:val="auto"/>
              </w:rPr>
              <w:t>After 10</w:t>
            </w:r>
          </w:p>
        </w:tc>
      </w:tr>
      <w:tr>
        <w:trPr>
          <w:trHeight w:val="176"/>
        </w:trPr>
        <w:tc>
          <w:tcPr>
            <w:tcW w:w="2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2"/>
              </w:rPr>
              <w:t>Year</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Years</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Years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Years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Years</w:t>
            </w:r>
          </w:p>
        </w:tc>
      </w:tr>
      <w:tr>
        <w:trPr>
          <w:trHeight w:val="179"/>
        </w:trPr>
        <w:tc>
          <w:tcPr>
            <w:tcW w:w="2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Long-Term Debt Obligations</w:t>
            </w: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2"/>
        </w:trPr>
        <w:tc>
          <w:tcPr>
            <w:tcW w:w="2940" w:type="dxa"/>
            <w:vAlign w:val="bottom"/>
          </w:tcPr>
          <w:p>
            <w:pPr>
              <w:ind w:left="20"/>
              <w:spacing w:after="0"/>
              <w:rPr>
                <w:sz w:val="20"/>
                <w:szCs w:val="20"/>
                <w:color w:val="auto"/>
              </w:rPr>
            </w:pPr>
            <w:r>
              <w:rPr>
                <w:rFonts w:ascii="Arial" w:cs="Arial" w:eastAsia="Arial" w:hAnsi="Arial"/>
                <w:sz w:val="17"/>
                <w:szCs w:val="17"/>
                <w:color w:val="auto"/>
              </w:rPr>
              <w:t>Secured credit facilities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2,393,630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22"/>
              <w:spacing w:after="0"/>
              <w:rPr>
                <w:sz w:val="20"/>
                <w:szCs w:val="20"/>
                <w:color w:val="auto"/>
              </w:rPr>
            </w:pPr>
            <w:r>
              <w:rPr>
                <w:rFonts w:ascii="Arial" w:cs="Arial" w:eastAsia="Arial" w:hAnsi="Arial"/>
                <w:sz w:val="17"/>
                <w:szCs w:val="17"/>
                <w:color w:val="auto"/>
              </w:rPr>
              <w:t>46,164</w:t>
            </w:r>
          </w:p>
        </w:tc>
        <w:tc>
          <w:tcPr>
            <w:tcW w:w="100" w:type="dxa"/>
            <w:vAlign w:val="bottom"/>
          </w:tcPr>
          <w:p>
            <w:pPr>
              <w:spacing w:after="0"/>
              <w:rPr>
                <w:sz w:val="19"/>
                <w:szCs w:val="19"/>
                <w:color w:val="auto"/>
              </w:rPr>
            </w:pPr>
          </w:p>
        </w:tc>
        <w:tc>
          <w:tcPr>
            <w:tcW w:w="40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2,347,466</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6"/>
        </w:trPr>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Unsecured notes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1,787,745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545,254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306,366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636,125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300,000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22"/>
        </w:trPr>
        <w:tc>
          <w:tcPr>
            <w:tcW w:w="2940" w:type="dxa"/>
            <w:vAlign w:val="bottom"/>
          </w:tcPr>
          <w:p>
            <w:pPr>
              <w:ind w:left="20"/>
              <w:spacing w:after="0"/>
              <w:rPr>
                <w:sz w:val="20"/>
                <w:szCs w:val="20"/>
                <w:color w:val="auto"/>
              </w:rPr>
            </w:pPr>
            <w:r>
              <w:rPr>
                <w:rFonts w:ascii="Arial" w:cs="Arial" w:eastAsia="Arial" w:hAnsi="Arial"/>
                <w:sz w:val="17"/>
                <w:szCs w:val="17"/>
                <w:color w:val="auto"/>
              </w:rPr>
              <w:t>Convertible notes</w:t>
            </w: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200,000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200,000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6"/>
        </w:trPr>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term loans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264,432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253,119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11,313</w:t>
            </w:r>
          </w:p>
        </w:tc>
      </w:tr>
      <w:tr>
        <w:trPr>
          <w:trHeight w:val="222"/>
        </w:trPr>
        <w:tc>
          <w:tcPr>
            <w:tcW w:w="2940" w:type="dxa"/>
            <w:vAlign w:val="bottom"/>
          </w:tcPr>
          <w:p>
            <w:pPr>
              <w:ind w:left="20"/>
              <w:spacing w:after="0"/>
              <w:rPr>
                <w:sz w:val="20"/>
                <w:szCs w:val="20"/>
                <w:color w:val="auto"/>
              </w:rPr>
            </w:pPr>
            <w:r>
              <w:rPr>
                <w:rFonts w:ascii="Arial" w:cs="Arial" w:eastAsia="Arial" w:hAnsi="Arial"/>
                <w:sz w:val="17"/>
                <w:szCs w:val="17"/>
                <w:color w:val="auto"/>
              </w:rPr>
              <w:t>Other debt obligations</w:t>
            </w: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100,000</w:t>
            </w:r>
          </w:p>
        </w:tc>
      </w:tr>
      <w:tr>
        <w:trPr>
          <w:trHeight w:val="26"/>
        </w:trPr>
        <w:tc>
          <w:tcPr>
            <w:tcW w:w="2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1"/>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principal maturities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4,745,807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545,254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352,530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3,183,591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553,119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111,313</w:t>
            </w:r>
          </w:p>
        </w:tc>
      </w:tr>
      <w:tr>
        <w:trPr>
          <w:trHeight w:val="222"/>
        </w:trPr>
        <w:tc>
          <w:tcPr>
            <w:tcW w:w="2940" w:type="dxa"/>
            <w:vAlign w:val="bottom"/>
          </w:tcPr>
          <w:p>
            <w:pPr>
              <w:ind w:left="20"/>
              <w:spacing w:after="0"/>
              <w:rPr>
                <w:sz w:val="20"/>
                <w:szCs w:val="20"/>
                <w:color w:val="auto"/>
              </w:rPr>
            </w:pPr>
            <w:r>
              <w:rPr>
                <w:rFonts w:ascii="Arial" w:cs="Arial" w:eastAsia="Arial" w:hAnsi="Arial"/>
                <w:sz w:val="17"/>
                <w:szCs w:val="17"/>
                <w:b w:val="1"/>
                <w:bCs w:val="1"/>
                <w:color w:val="auto"/>
              </w:rPr>
              <w:t>Interest Payable(1)</w:t>
            </w: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1,196,133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7"/>
                <w:szCs w:val="17"/>
                <w:color w:val="auto"/>
              </w:rPr>
              <w:t>277,420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7"/>
                <w:szCs w:val="17"/>
                <w:color w:val="auto"/>
              </w:rPr>
              <w:t>481,413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354,996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57,806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24,498</w:t>
            </w:r>
          </w:p>
        </w:tc>
      </w:tr>
      <w:tr>
        <w:trPr>
          <w:trHeight w:val="26"/>
        </w:trPr>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32,840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9,304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8,792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34"/>
        </w:trPr>
        <w:tc>
          <w:tcPr>
            <w:tcW w:w="2940" w:type="dxa"/>
            <w:vAlign w:val="bottom"/>
          </w:tcPr>
          <w:p>
            <w:pPr>
              <w:ind w:left="140"/>
              <w:spacing w:after="0"/>
              <w:rPr>
                <w:sz w:val="20"/>
                <w:szCs w:val="20"/>
                <w:color w:val="auto"/>
              </w:rPr>
            </w:pPr>
            <w:r>
              <w:rPr>
                <w:rFonts w:ascii="Arial" w:cs="Arial" w:eastAsia="Arial" w:hAnsi="Arial"/>
                <w:sz w:val="17"/>
                <w:szCs w:val="17"/>
                <w:b w:val="1"/>
                <w:bCs w:val="1"/>
                <w:color w:val="auto"/>
              </w:rPr>
              <w:t>Total(2)</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5,974,780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828,153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7"/>
                <w:szCs w:val="17"/>
                <w:color w:val="auto"/>
              </w:rPr>
              <w:t>843,247</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3,547,379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620,190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135,811</w:t>
            </w:r>
          </w:p>
        </w:tc>
      </w:tr>
      <w:tr>
        <w:trPr>
          <w:trHeight w:val="20"/>
        </w:trPr>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24"/>
        </w:numPr>
        <w:rPr>
          <w:rFonts w:ascii="Arial" w:cs="Arial" w:eastAsia="Arial" w:hAnsi="Arial"/>
          <w:sz w:val="13"/>
          <w:szCs w:val="13"/>
          <w:color w:val="auto"/>
        </w:rPr>
      </w:pPr>
      <w:r>
        <w:rPr>
          <w:rFonts w:ascii="Arial" w:cs="Arial" w:eastAsia="Arial" w:hAnsi="Arial"/>
          <w:sz w:val="13"/>
          <w:szCs w:val="13"/>
          <w:color w:val="auto"/>
        </w:rPr>
        <w:t>All variable-rate debt assumes a 30-day LIBOR rate of 0.21% (the 30-day LIBOR rate at December 31, 2012).</w:t>
      </w:r>
    </w:p>
    <w:p>
      <w:pPr>
        <w:spacing w:after="0" w:line="9" w:lineRule="exact"/>
        <w:rPr>
          <w:rFonts w:ascii="Arial" w:cs="Arial" w:eastAsia="Arial" w:hAnsi="Arial"/>
          <w:sz w:val="13"/>
          <w:szCs w:val="13"/>
          <w:color w:val="auto"/>
        </w:rPr>
      </w:pPr>
    </w:p>
    <w:p>
      <w:pPr>
        <w:ind w:left="601" w:hanging="601"/>
        <w:spacing w:after="0" w:line="249" w:lineRule="auto"/>
        <w:tabs>
          <w:tab w:leader="none" w:pos="601"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also have issued letters of credit totaling $12.6 million in connection with five of our investments. See Unfunded Commitments below, for a discussion of certain unfunded commitments related to our lending and net lease businesses.</w:t>
      </w:r>
    </w:p>
    <w:p>
      <w:pPr>
        <w:spacing w:after="0" w:line="126" w:lineRule="exact"/>
        <w:rPr>
          <w:sz w:val="20"/>
          <w:szCs w:val="20"/>
          <w:color w:val="auto"/>
        </w:rPr>
      </w:pPr>
    </w:p>
    <w:p>
      <w:pPr>
        <w:jc w:val="both"/>
        <w:ind w:left="1" w:firstLine="397"/>
        <w:spacing w:after="0" w:line="249" w:lineRule="auto"/>
        <w:rPr>
          <w:sz w:val="20"/>
          <w:szCs w:val="20"/>
          <w:color w:val="auto"/>
        </w:rPr>
      </w:pPr>
      <w:r>
        <w:rPr>
          <w:rFonts w:ascii="Arial" w:cs="Arial" w:eastAsia="Arial" w:hAnsi="Arial"/>
          <w:sz w:val="17"/>
          <w:szCs w:val="17"/>
          <w:b w:val="1"/>
          <w:bCs w:val="1"/>
          <w:color w:val="auto"/>
        </w:rPr>
        <w:t>October 2012 Secured Credit Facility</w:t>
      </w:r>
      <w:r>
        <w:rPr>
          <w:rFonts w:ascii="Arial" w:cs="Arial" w:eastAsia="Arial" w:hAnsi="Arial"/>
          <w:sz w:val="17"/>
          <w:szCs w:val="17"/>
          <w:color w:val="auto"/>
        </w:rPr>
        <w:t>—On October 15, 2012, we entered into a $1.82 billion senior secured credit agreement due October 15, 2017 (the “October</w:t>
      </w:r>
      <w:r>
        <w:rPr>
          <w:rFonts w:ascii="Arial" w:cs="Arial" w:eastAsia="Arial" w:hAnsi="Arial"/>
          <w:sz w:val="17"/>
          <w:szCs w:val="17"/>
          <w:b w:val="1"/>
          <w:bCs w:val="1"/>
          <w:color w:val="auto"/>
        </w:rPr>
        <w:t xml:space="preserve"> </w:t>
      </w:r>
      <w:r>
        <w:rPr>
          <w:rFonts w:ascii="Arial" w:cs="Arial" w:eastAsia="Arial" w:hAnsi="Arial"/>
          <w:sz w:val="17"/>
          <w:szCs w:val="17"/>
          <w:color w:val="auto"/>
        </w:rPr>
        <w:t>2012 Secured Credit Facility”). The October 2012 Secured Credit Facility initially bore interest at a rate of LIBOR + 4.50%, with a 1.25% LIBOR floor, and was issued at 99.0% of par, however the interest rate was subsequently reduced to LIBOR + 3.50% with a 1.00% LIBOR floor when the credit facility was amended and restated (see Subsequent Events). Proceeds from the October 2012 Secured Credit Facility were used to refinance the remaining outstanding balances of our then existing 2011 Secured Credit Facilities.</w:t>
      </w:r>
    </w:p>
    <w:p>
      <w:pPr>
        <w:spacing w:after="0" w:line="181" w:lineRule="exact"/>
        <w:rPr>
          <w:sz w:val="20"/>
          <w:szCs w:val="20"/>
          <w:color w:val="auto"/>
        </w:rPr>
      </w:pPr>
    </w:p>
    <w:p>
      <w:pPr>
        <w:jc w:val="both"/>
        <w:ind w:left="1" w:firstLine="596"/>
        <w:spacing w:after="0" w:line="310" w:lineRule="auto"/>
        <w:rPr>
          <w:sz w:val="20"/>
          <w:szCs w:val="20"/>
          <w:color w:val="auto"/>
        </w:rPr>
      </w:pPr>
      <w:r>
        <w:rPr>
          <w:rFonts w:ascii="Arial" w:cs="Arial" w:eastAsia="Arial" w:hAnsi="Arial"/>
          <w:sz w:val="14"/>
          <w:szCs w:val="14"/>
          <w:color w:val="auto"/>
        </w:rPr>
        <w:t>Borrowings under the October 2012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October 2012 Secured Credit Facility. For so long as collateral coverage is between 137.5% and 150% of outstanding borrowings, 50% of proceeds from principal repayments and sales of collateral will be applied to repay outstanding borrowings under the October 2012 Secured Credit Facility and for so long as collateral coverage is greater than 150% of outstanding borrowings, we may retain all proceeds from principal repayments and sales of collateral. We retain proceeds from interest, rent, lease payments and fee income in all cases.</w:t>
      </w:r>
    </w:p>
    <w:p>
      <w:pPr>
        <w:spacing w:after="0" w:line="142"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In connection with the October 2012 Secured Credit Facility transaction, we incurred $14.8 million in third party fees, of which $8.2 million was recognized in "Other expense" on our Consolidated Statements of Operations as it related to the portion of lenders from the original facility that modified their debt under the new facility. The remaining $6.6 million of fees were recorded in “Deferred expenses and other assets, net” in the Consolidated Balance Sheets as they related to the portion of lenders that were new to the facility.</w:t>
      </w:r>
    </w:p>
    <w:p>
      <w:pPr>
        <w:spacing w:after="0" w:line="182" w:lineRule="exact"/>
        <w:rPr>
          <w:sz w:val="20"/>
          <w:szCs w:val="20"/>
          <w:color w:val="auto"/>
        </w:rPr>
      </w:pPr>
    </w:p>
    <w:p>
      <w:pPr>
        <w:jc w:val="both"/>
        <w:ind w:left="1" w:firstLine="596"/>
        <w:spacing w:after="0" w:line="248" w:lineRule="auto"/>
        <w:rPr>
          <w:sz w:val="20"/>
          <w:szCs w:val="20"/>
          <w:color w:val="auto"/>
        </w:rPr>
      </w:pPr>
      <w:r>
        <w:rPr>
          <w:rFonts w:ascii="Arial" w:cs="Arial" w:eastAsia="Arial" w:hAnsi="Arial"/>
          <w:sz w:val="17"/>
          <w:szCs w:val="17"/>
          <w:color w:val="auto"/>
        </w:rPr>
        <w:t>The October 2012 Secured Credit Facility contains certain covenants relating to the collateral, among other matters, but does not contain corporate level financial covenants. For so long as we maintain our qualification as a REIT, we are permitted to distribute 100% of our REIT taxable income on an annual basis. In addition, we may distribute to our stockholders real estate assets, or interests therein, having an aggregate equity value not to exceed $200 million, that are not collateral securing the borrowings under the October 2012 Secured Credit Facility. Except for the distribution of real estate assets described in the preceding sentence, we may not pay common dividends if we cease to qualify as a REIT.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1"/>
          </w:cols>
          <w:pgMar w:left="239" w:top="120" w:right="2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ind w:firstLine="397"/>
        <w:spacing w:after="0" w:line="320" w:lineRule="auto"/>
        <w:rPr>
          <w:sz w:val="20"/>
          <w:szCs w:val="20"/>
          <w:color w:val="auto"/>
        </w:rPr>
      </w:pPr>
      <w:r>
        <w:rPr>
          <w:rFonts w:ascii="Arial" w:cs="Arial" w:eastAsia="Arial" w:hAnsi="Arial"/>
          <w:sz w:val="14"/>
          <w:szCs w:val="14"/>
          <w:color w:val="auto"/>
        </w:rPr>
        <w:t>Through December 31, 2012, we have made cumulative amortization repayments of $65.5 million on the October 2012 Secured Credit Facility, which exceeds all required amortization payments through March 2016. Repayments of the October 2012 Secured Credit Facility prior to scheduled amortization dates have resulted in losses on early extinguishment of debt of $1.2 million for the year ended December 31, 2012 related to the acceleration of discounts and unamortized deferred financing fees on the portion of the facility that was repaid. See Subsequent Events below for details on the refinancing of the October 2012 Secured Credit Facility in February 2013.</w:t>
      </w:r>
    </w:p>
    <w:p>
      <w:pPr>
        <w:spacing w:after="0" w:line="130"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b w:val="1"/>
          <w:bCs w:val="1"/>
          <w:color w:val="auto"/>
        </w:rPr>
        <w:t>March 2012 Secured Credit Facilities</w:t>
      </w:r>
      <w:r>
        <w:rPr>
          <w:rFonts w:ascii="Arial" w:cs="Arial" w:eastAsia="Arial" w:hAnsi="Arial"/>
          <w:sz w:val="17"/>
          <w:szCs w:val="17"/>
          <w:color w:val="auto"/>
        </w:rPr>
        <w:t>—In March 2012, we entered into an $880.0 million senior secured credit agreement providing for two tranches of term loans:</w:t>
      </w:r>
      <w:r>
        <w:rPr>
          <w:rFonts w:ascii="Arial" w:cs="Arial" w:eastAsia="Arial" w:hAnsi="Arial"/>
          <w:sz w:val="17"/>
          <w:szCs w:val="17"/>
          <w:b w:val="1"/>
          <w:bCs w:val="1"/>
          <w:color w:val="auto"/>
        </w:rPr>
        <w:t xml:space="preserve"> </w:t>
      </w:r>
      <w:r>
        <w:rPr>
          <w:rFonts w:ascii="Arial" w:cs="Arial" w:eastAsia="Arial" w:hAnsi="Arial"/>
          <w:sz w:val="17"/>
          <w:szCs w:val="17"/>
          <w:color w:val="auto"/>
        </w:rPr>
        <w:t>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our convertible notes due October 2012, to fully repay our $244.0 million balance on our unsecured credit facility due June 2012, and to repay, upon maturity, $90.3 million outstanding principal balance of our 5.50% senior unsecured notes.</w:t>
      </w:r>
    </w:p>
    <w:p>
      <w:pPr>
        <w:spacing w:after="0" w:line="184"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We may make optional prepayments on each tranche of term loans, subject to prepayment fees.</w:t>
      </w:r>
    </w:p>
    <w:p>
      <w:pPr>
        <w:spacing w:after="0" w:line="18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Through December 31, 2012, we have made cumulative amortization repayments of $240.8 million on the 2012 Tranche A-1 Facility, which exceeds all required amortization payments through December 31, 2014. Repayments of the 2012 Tranche A-1 Facility prior to scheduled amortization dates have resulted in losses on early extinguishment of debt of $8.1 million for the year ended December 31, 2012 related to the acceleration of discounts and unamortized deferred financing fees on the portion of the facility that was repaid.</w:t>
      </w:r>
    </w:p>
    <w:p>
      <w:pPr>
        <w:spacing w:after="0" w:line="178"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b w:val="1"/>
          <w:bCs w:val="1"/>
          <w:color w:val="auto"/>
        </w:rPr>
        <w:t>2011 Secured Credit Facilities</w:t>
      </w:r>
      <w:r>
        <w:rPr>
          <w:rFonts w:ascii="Arial" w:cs="Arial" w:eastAsia="Arial" w:hAnsi="Arial"/>
          <w:sz w:val="17"/>
          <w:szCs w:val="17"/>
          <w:color w:val="auto"/>
        </w:rPr>
        <w:t>—In March 2011, we entered into a $2.95 billion senior secured credit agreement providing for two tranches of term loans: a $1.50</w:t>
      </w:r>
      <w:r>
        <w:rPr>
          <w:rFonts w:ascii="Arial" w:cs="Arial" w:eastAsia="Arial" w:hAnsi="Arial"/>
          <w:sz w:val="17"/>
          <w:szCs w:val="17"/>
          <w:b w:val="1"/>
          <w:bCs w:val="1"/>
          <w:color w:val="auto"/>
        </w:rPr>
        <w:t xml:space="preserve"> </w:t>
      </w:r>
      <w:r>
        <w:rPr>
          <w:rFonts w:ascii="Arial" w:cs="Arial" w:eastAsia="Arial" w:hAnsi="Arial"/>
          <w:sz w:val="17"/>
          <w:szCs w:val="17"/>
          <w:color w:val="auto"/>
        </w:rPr>
        <w:t>billion 2011 A-1 tranche due June 2013, which bore interest at a rate of LIBOR + 3.75% (the "2011 Tranche A-1 Facility"), and a $1.45 billion 2011 A-2 tranche due June 2014, which bore interest at a rate of LIBOR + 5.75% (the "2011 Tranche A-2 Facility," together the "2011 Secured Credit Facilities"). The 2011 A-1 and A-2 tranches were issued at 99.0% of par and 98.5% of par, respectively, and both tranches include a LIBOR floor of 1.25%. The 2011 Secured Credit Facilities were collateralized by a first lien on a fixed pool of assets.</w:t>
      </w:r>
    </w:p>
    <w:p>
      <w:pPr>
        <w:spacing w:after="0" w:line="18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The 2011 Secured Credit Facilities were refinanced by the October 2012 Secured Credit Facility. Prior to refinancing, we have made cumulative amortization repayments of $1.07 billion on the 2011 Secured Credit Facilities which resulted in losses on early extinguishment of debt of $4.5 million and $12.0 million for the years ended December 31, 2012 and 2011, respectively, related to the acceleration of discounts and unamortized deferred financing fees on the portion of the facility that was repaid.</w:t>
      </w:r>
    </w:p>
    <w:p>
      <w:pPr>
        <w:spacing w:after="0" w:line="18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At the time of the refinancing, we had $21.2 million of unamortized discounts and financing fees related to the 2011 Secured Credit Facilities. In connection with the refinancing, we recorded a loss on early extinguishment of debt of $12.1 million, related primarily to the portion of lenders in the original facility that did not participate in the new facility. The remaining $9.0 million of unamortized fees and discounts will continue to be amortized to interest expense over the remaining term of the October 2012 Secured Credit Facility.</w:t>
      </w:r>
    </w:p>
    <w:p>
      <w:pPr>
        <w:spacing w:after="0" w:line="178"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Secured Term Loans</w:t>
      </w:r>
      <w:r>
        <w:rPr>
          <w:rFonts w:ascii="Arial" w:cs="Arial" w:eastAsia="Arial" w:hAnsi="Arial"/>
          <w:sz w:val="17"/>
          <w:szCs w:val="17"/>
          <w:color w:val="auto"/>
        </w:rPr>
        <w:t>—In October 2012, we entered into a $28.0 million secured term loan maturing in November 2019, bearing interest at a rate of LIBOR + 2.00%.</w:t>
      </w:r>
      <w:r>
        <w:rPr>
          <w:rFonts w:ascii="Arial" w:cs="Arial" w:eastAsia="Arial" w:hAnsi="Arial"/>
          <w:sz w:val="17"/>
          <w:szCs w:val="17"/>
          <w:b w:val="1"/>
          <w:bCs w:val="1"/>
          <w:color w:val="auto"/>
        </w:rPr>
        <w:t xml:space="preserve"> </w:t>
      </w:r>
      <w:r>
        <w:rPr>
          <w:rFonts w:ascii="Arial" w:cs="Arial" w:eastAsia="Arial" w:hAnsi="Arial"/>
          <w:sz w:val="17"/>
          <w:szCs w:val="17"/>
          <w:color w:val="auto"/>
        </w:rPr>
        <w:t>Simultaneously with the financing, we entered into an interest rate swap to exchange our variable rate on the loan for a fixed interest rate (see Note 10 of the Notes to the Consolidated Financial Statements).</w:t>
      </w:r>
    </w:p>
    <w:p>
      <w:pPr>
        <w:spacing w:after="0" w:line="178"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In September 2012, we refinanced two secured term loans with an aggregate outstanding principal balance of $53.3 million, bearing interest at rates of 5.3% and 8.2% and maturing in January 2013 with a new $54.5 million secured term loan. The new loan bears interest at 4.851%, matures in October 2022 and is collateralized by the same net lease asset as the original term loan. In connection with the refinancing, we recorded a loss on early extinguishment of debt of $0.5 million in our Consolidated Statements of Operations for the year ended December 31, 2012.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0" w:right="239" w:bottom="1440" w:gutter="0" w:footer="0" w:header="0"/>
        </w:sectPr>
      </w:pPr>
    </w:p>
    <w:bookmarkStart w:id="41" w:name="page42"/>
    <w:bookmarkEnd w:id="41"/>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In addition, during the year ended December 31, 2012, in conjunction with the sale of a portfolio of 12 net lease assets, we repaid the $50.8 million outstanding balances of our LIBOR + 4.50% secured term loans due in 2014 and terminated the related interest rate swaps associated with the loans (see Note 10 of the Notes to the Consolidated Financial Statements).</w:t>
      </w:r>
    </w:p>
    <w:p>
      <w:pPr>
        <w:spacing w:after="0" w:line="174" w:lineRule="exact"/>
        <w:rPr>
          <w:sz w:val="20"/>
          <w:szCs w:val="20"/>
          <w:color w:val="auto"/>
        </w:rPr>
      </w:pPr>
    </w:p>
    <w:p>
      <w:pPr>
        <w:jc w:val="both"/>
        <w:ind w:left="1" w:firstLine="397"/>
        <w:spacing w:after="0" w:line="265" w:lineRule="auto"/>
        <w:rPr>
          <w:sz w:val="20"/>
          <w:szCs w:val="20"/>
          <w:color w:val="auto"/>
        </w:rPr>
      </w:pPr>
      <w:r>
        <w:rPr>
          <w:rFonts w:ascii="Arial" w:cs="Arial" w:eastAsia="Arial" w:hAnsi="Arial"/>
          <w:sz w:val="17"/>
          <w:szCs w:val="17"/>
          <w:b w:val="1"/>
          <w:bCs w:val="1"/>
          <w:color w:val="auto"/>
        </w:rPr>
        <w:t>Unsecured Credit Facility</w:t>
      </w:r>
      <w:r>
        <w:rPr>
          <w:rFonts w:ascii="Arial" w:cs="Arial" w:eastAsia="Arial" w:hAnsi="Arial"/>
          <w:sz w:val="17"/>
          <w:szCs w:val="17"/>
          <w:color w:val="auto"/>
        </w:rPr>
        <w:t>—During the year ended December 31, 2012, we repaid the $243.7 million remaining principal balance of our LIBOR + 0.85% unsecured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facility due June 2012. In connection with the repayments, we recorded a loss on early extinguishment of debt of $0.2 million.</w:t>
      </w:r>
    </w:p>
    <w:p>
      <w:pPr>
        <w:spacing w:after="0" w:line="164" w:lineRule="exact"/>
        <w:rPr>
          <w:sz w:val="20"/>
          <w:szCs w:val="20"/>
          <w:color w:val="auto"/>
        </w:rPr>
      </w:pPr>
    </w:p>
    <w:p>
      <w:pPr>
        <w:jc w:val="both"/>
        <w:ind w:left="1" w:firstLine="397"/>
        <w:spacing w:after="0" w:line="322" w:lineRule="auto"/>
        <w:rPr>
          <w:sz w:val="20"/>
          <w:szCs w:val="20"/>
          <w:color w:val="auto"/>
        </w:rPr>
      </w:pPr>
      <w:r>
        <w:rPr>
          <w:rFonts w:ascii="Arial" w:cs="Arial" w:eastAsia="Arial" w:hAnsi="Arial"/>
          <w:sz w:val="14"/>
          <w:szCs w:val="14"/>
          <w:b w:val="1"/>
          <w:bCs w:val="1"/>
          <w:color w:val="auto"/>
        </w:rPr>
        <w:t>Unsecured Notes</w:t>
      </w:r>
      <w:r>
        <w:rPr>
          <w:rFonts w:ascii="Arial" w:cs="Arial" w:eastAsia="Arial" w:hAnsi="Arial"/>
          <w:sz w:val="14"/>
          <w:szCs w:val="14"/>
          <w:color w:val="auto"/>
        </w:rPr>
        <w:t>—In November 2012, we issued $300.0 million aggregate principal of 7.125% senior unsecured notes due February 2018 and issued $200.0 million</w:t>
      </w:r>
      <w:r>
        <w:rPr>
          <w:rFonts w:ascii="Arial" w:cs="Arial" w:eastAsia="Arial" w:hAnsi="Arial"/>
          <w:sz w:val="14"/>
          <w:szCs w:val="14"/>
          <w:b w:val="1"/>
          <w:bCs w:val="1"/>
          <w:color w:val="auto"/>
        </w:rPr>
        <w:t xml:space="preserve"> </w:t>
      </w:r>
      <w:r>
        <w:rPr>
          <w:rFonts w:ascii="Arial" w:cs="Arial" w:eastAsia="Arial" w:hAnsi="Arial"/>
          <w:sz w:val="14"/>
          <w:szCs w:val="14"/>
          <w:color w:val="auto"/>
        </w:rPr>
        <w:t>aggregate principal of 3.00% convertible senior unsecured notes due November 2016. Proceeds from these transactions were used to repay the entire $67.1 million of our 6.5% senior unsecured notes due December 2013 and to repay $404.9 million of our 8.625% senior unsecured notes due June 2013. In connection with these repurchases, we paid a $14.9 million prepayment penalty which was reflected in "Gain (loss) on early extinguishment of debt, net" for the year ended December 31, 2012.</w:t>
      </w:r>
    </w:p>
    <w:p>
      <w:pPr>
        <w:spacing w:after="0" w:line="133" w:lineRule="exact"/>
        <w:rPr>
          <w:sz w:val="20"/>
          <w:szCs w:val="20"/>
          <w:color w:val="auto"/>
        </w:rPr>
      </w:pPr>
    </w:p>
    <w:p>
      <w:pPr>
        <w:jc w:val="both"/>
        <w:ind w:left="1" w:firstLine="397"/>
        <w:spacing w:after="0" w:line="260" w:lineRule="auto"/>
        <w:rPr>
          <w:sz w:val="20"/>
          <w:szCs w:val="20"/>
          <w:color w:val="auto"/>
        </w:rPr>
      </w:pPr>
      <w:r>
        <w:rPr>
          <w:rFonts w:ascii="Arial" w:cs="Arial" w:eastAsia="Arial" w:hAnsi="Arial"/>
          <w:sz w:val="17"/>
          <w:szCs w:val="17"/>
          <w:color w:val="auto"/>
        </w:rPr>
        <w:t>In May 2012, we issued $275.0 million aggregate principal of 9.0% senior unsecured notes due June 2017 that were sold at 98.012% of their principal amount. We used the net proceeds to repay unsecured senior notes due in 2012.</w:t>
      </w:r>
    </w:p>
    <w:p>
      <w:pPr>
        <w:spacing w:after="0" w:line="172" w:lineRule="exact"/>
        <w:rPr>
          <w:sz w:val="20"/>
          <w:szCs w:val="20"/>
          <w:color w:val="auto"/>
        </w:rPr>
      </w:pPr>
    </w:p>
    <w:p>
      <w:pPr>
        <w:jc w:val="both"/>
        <w:ind w:left="1" w:firstLine="397"/>
        <w:spacing w:after="0" w:line="320" w:lineRule="auto"/>
        <w:rPr>
          <w:sz w:val="20"/>
          <w:szCs w:val="20"/>
          <w:color w:val="auto"/>
        </w:rPr>
      </w:pPr>
      <w:r>
        <w:rPr>
          <w:rFonts w:ascii="Arial" w:cs="Arial" w:eastAsia="Arial" w:hAnsi="Arial"/>
          <w:sz w:val="14"/>
          <w:szCs w:val="14"/>
          <w:color w:val="auto"/>
        </w:rPr>
        <w:t>During the year ended December 31, 2012, we repaid, upon maturity, the $460.7 million outstanding principal balance of our LIBOR + 0.50% senior unsecured convertible notes, the $169.7 million outstanding principal balance of our 5.15% senior unsecured notes and the $90.3 million outstanding principal balance of our 5.50% senior unsecured notes. In addition, we repurchased $420.4 million par value of senior unsecured notes with various maturities ranging from March 2012 to October 2012. In connection with these repurchases, we recorded aggregate gains on early extinguishment of debt of $3.2 million, for the year ended December 31, 2012.</w:t>
      </w:r>
    </w:p>
    <w:p>
      <w:pPr>
        <w:spacing w:after="0" w:line="130" w:lineRule="exact"/>
        <w:rPr>
          <w:sz w:val="20"/>
          <w:szCs w:val="20"/>
          <w:color w:val="auto"/>
        </w:rPr>
      </w:pPr>
    </w:p>
    <w:p>
      <w:pPr>
        <w:jc w:val="both"/>
        <w:ind w:left="1" w:firstLine="397"/>
        <w:spacing w:after="0" w:line="265" w:lineRule="auto"/>
        <w:rPr>
          <w:sz w:val="20"/>
          <w:szCs w:val="20"/>
          <w:color w:val="auto"/>
        </w:rPr>
      </w:pPr>
      <w:r>
        <w:rPr>
          <w:rFonts w:ascii="Arial" w:cs="Arial" w:eastAsia="Arial" w:hAnsi="Arial"/>
          <w:sz w:val="17"/>
          <w:szCs w:val="17"/>
          <w:b w:val="1"/>
          <w:bCs w:val="1"/>
          <w:color w:val="auto"/>
        </w:rPr>
        <w:t>Unencumbered/Encumbered Assets</w:t>
      </w:r>
      <w:r>
        <w:rPr>
          <w:rFonts w:ascii="Arial" w:cs="Arial" w:eastAsia="Arial" w:hAnsi="Arial"/>
          <w:sz w:val="17"/>
          <w:szCs w:val="17"/>
          <w:color w:val="auto"/>
        </w:rPr>
        <w:t>—As of December 31, 2012, the carrying value of our unencumbered and encumbered assets by asset type are as follows ($ in</w:t>
      </w:r>
      <w:r>
        <w:rPr>
          <w:rFonts w:ascii="Arial" w:cs="Arial" w:eastAsia="Arial" w:hAnsi="Arial"/>
          <w:sz w:val="17"/>
          <w:szCs w:val="17"/>
          <w:b w:val="1"/>
          <w:bCs w:val="1"/>
          <w:color w:val="auto"/>
        </w:rPr>
        <w:t xml:space="preserve"> </w:t>
      </w:r>
      <w:r>
        <w:rPr>
          <w:rFonts w:ascii="Arial" w:cs="Arial" w:eastAsia="Arial" w:hAnsi="Arial"/>
          <w:sz w:val="17"/>
          <w:szCs w:val="17"/>
          <w:color w:val="auto"/>
        </w:rPr>
        <w:t>thousands):</w:t>
      </w:r>
    </w:p>
    <w:p>
      <w:pPr>
        <w:spacing w:after="0" w:line="371" w:lineRule="exact"/>
        <w:rPr>
          <w:sz w:val="20"/>
          <w:szCs w:val="20"/>
          <w:color w:val="auto"/>
        </w:rPr>
      </w:pPr>
    </w:p>
    <w:tbl>
      <w:tblPr>
        <w:tblLayout w:type="fixed"/>
        <w:tblInd w:w="241"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89"/>
              </w:rPr>
              <w:t>As of December 31,</w:t>
            </w: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41"/>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center"/>
              <w:ind w:right="106"/>
              <w:spacing w:after="0"/>
              <w:rPr>
                <w:sz w:val="20"/>
                <w:szCs w:val="20"/>
                <w:color w:val="auto"/>
              </w:rPr>
            </w:pPr>
            <w:r>
              <w:rPr>
                <w:rFonts w:ascii="Arial" w:cs="Arial" w:eastAsia="Arial" w:hAnsi="Arial"/>
                <w:sz w:val="13"/>
                <w:szCs w:val="13"/>
                <w:b w:val="1"/>
                <w:bCs w:val="1"/>
                <w:color w:val="auto"/>
                <w:w w:val="89"/>
              </w:rPr>
              <w:t>2012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3"/>
                <w:szCs w:val="13"/>
                <w:b w:val="1"/>
                <w:bCs w:val="1"/>
                <w:color w:val="auto"/>
                <w:w w:val="89"/>
              </w:rPr>
              <w:t>2011</w:t>
            </w:r>
          </w:p>
        </w:tc>
        <w:tc>
          <w:tcPr>
            <w:tcW w:w="960" w:type="dxa"/>
            <w:vAlign w:val="bottom"/>
            <w:tcBorders>
              <w:bottom w:val="single" w:sz="8" w:color="auto"/>
            </w:tcBorders>
          </w:tcPr>
          <w:p>
            <w:pPr>
              <w:spacing w:after="0"/>
              <w:rPr>
                <w:sz w:val="20"/>
                <w:szCs w:val="20"/>
                <w:color w:val="auto"/>
              </w:rPr>
            </w:pPr>
          </w:p>
        </w:tc>
      </w:tr>
      <w:tr>
        <w:trPr>
          <w:trHeight w:val="241"/>
        </w:trPr>
        <w:tc>
          <w:tcPr>
            <w:tcW w:w="54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Encumbered Assets</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3"/>
              </w:rPr>
              <w:t>Unencumbered Assets</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Encumbered Assets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9"/>
              </w:rPr>
              <w:t>Unencumbered Assets</w:t>
            </w:r>
          </w:p>
        </w:tc>
      </w:tr>
      <w:tr>
        <w:trPr>
          <w:trHeight w:val="22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net</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1,794,198</w:t>
            </w:r>
          </w:p>
        </w:tc>
        <w:tc>
          <w:tcPr>
            <w:tcW w:w="560" w:type="dxa"/>
            <w:vAlign w:val="bottom"/>
            <w:tcBorders>
              <w:bottom w:val="single" w:sz="8" w:color="CCEEFF"/>
            </w:tcBorders>
            <w:gridSpan w:val="2"/>
            <w:shd w:val="clear" w:color="auto" w:fill="CCEEFF"/>
          </w:tcPr>
          <w:p>
            <w:pPr>
              <w:jc w:val="center"/>
              <w:ind w:right="12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1,004,825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1,533,579</w:t>
            </w:r>
          </w:p>
        </w:tc>
        <w:tc>
          <w:tcPr>
            <w:tcW w:w="4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1,414,332</w:t>
            </w:r>
          </w:p>
        </w:tc>
      </w:tr>
      <w:tr>
        <w:trPr>
          <w:trHeight w:val="222"/>
        </w:trPr>
        <w:tc>
          <w:tcPr>
            <w:tcW w:w="5480" w:type="dxa"/>
            <w:vAlign w:val="bottom"/>
          </w:tcPr>
          <w:p>
            <w:pPr>
              <w:ind w:left="20"/>
              <w:spacing w:after="0"/>
              <w:rPr>
                <w:sz w:val="20"/>
                <w:szCs w:val="20"/>
                <w:color w:val="auto"/>
              </w:rPr>
            </w:pPr>
            <w:r>
              <w:rPr>
                <w:rFonts w:ascii="Arial" w:cs="Arial" w:eastAsia="Arial" w:hAnsi="Arial"/>
                <w:sz w:val="17"/>
                <w:szCs w:val="17"/>
                <w:color w:val="auto"/>
              </w:rPr>
              <w:t>Real estate available and held for sale</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141,673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494,192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177,092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500,366</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Loans receivable, net(1)</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1,197,373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665,712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1,780,591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1,153,671</w:t>
            </w:r>
          </w:p>
        </w:tc>
      </w:tr>
      <w:tr>
        <w:trPr>
          <w:trHeight w:val="222"/>
        </w:trPr>
        <w:tc>
          <w:tcPr>
            <w:tcW w:w="5480" w:type="dxa"/>
            <w:vAlign w:val="bottom"/>
          </w:tcPr>
          <w:p>
            <w:pPr>
              <w:ind w:left="20"/>
              <w:spacing w:after="0"/>
              <w:rPr>
                <w:sz w:val="20"/>
                <w:szCs w:val="20"/>
                <w:color w:val="auto"/>
              </w:rPr>
            </w:pPr>
            <w:r>
              <w:rPr>
                <w:rFonts w:ascii="Arial" w:cs="Arial" w:eastAsia="Arial" w:hAnsi="Arial"/>
                <w:sz w:val="17"/>
                <w:szCs w:val="17"/>
                <w:color w:val="auto"/>
              </w:rPr>
              <w:t>Other investments</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43,545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355,298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37,957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419,878</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487,073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573,871</w:t>
            </w:r>
          </w:p>
        </w:tc>
      </w:tr>
      <w:tr>
        <w:trPr>
          <w:trHeight w:val="234"/>
        </w:trPr>
        <w:tc>
          <w:tcPr>
            <w:tcW w:w="5480" w:type="dxa"/>
            <w:vAlign w:val="bottom"/>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3,176,789</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center"/>
              <w:ind w:right="24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3,007,100</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3,529,219</w:t>
            </w: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4,062,118</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December 31, 2012 and 2011, the amounts presented exclude general reserves for loan losses of $33.1 million and $73.5 million, respectively.</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Debt Covenants</w:t>
      </w:r>
    </w:p>
    <w:p>
      <w:pPr>
        <w:spacing w:after="0" w:line="206" w:lineRule="exact"/>
        <w:rPr>
          <w:sz w:val="20"/>
          <w:szCs w:val="20"/>
          <w:color w:val="auto"/>
        </w:rPr>
      </w:pPr>
    </w:p>
    <w:p>
      <w:pPr>
        <w:jc w:val="both"/>
        <w:ind w:left="1" w:firstLine="397"/>
        <w:spacing w:after="0" w:line="314" w:lineRule="auto"/>
        <w:rPr>
          <w:sz w:val="20"/>
          <w:szCs w:val="20"/>
          <w:color w:val="auto"/>
        </w:rPr>
      </w:pPr>
      <w:r>
        <w:rPr>
          <w:rFonts w:ascii="Arial" w:cs="Arial" w:eastAsia="Arial" w:hAnsi="Arial"/>
          <w:sz w:val="14"/>
          <w:szCs w:val="14"/>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we will continue to be permitted to incur indebtedness for the purpose of refinancing existing indebtedness and for other permitted purposes under the indentures.</w:t>
      </w:r>
    </w:p>
    <w:p>
      <w:pPr>
        <w:spacing w:after="0" w:line="138"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Our March 2012 Secured Credit Facilities and October 2012 Secured Credit Facility (as amended and restated by the New Credit Facility) are collectively defined as the "Secured Credit Facilities." Our Secured Credit Facilities contain certain covenants, including covenants relating to collateral coverage, dividend payments, restrictions on fundamental changes, transactions with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1"/>
          </w:cols>
          <w:pgMar w:left="239" w:top="120" w:right="2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 us to distribute 100% of our REIT taxable income on an annual basis and the October 2012 Secured Credit Facility permits us to distribute to our shareholders real estate assets, or interests therein, having an aggregate equity value not to exceed $200 million, so long as such assets are not collateral for the October 2012 Secured Credit Facility. We may not pay common dividends if we cease to qualify as a REIT (except that the October 2012 Secured Credit Facility permits us to distribute certain real estate assets as described in the preceding sentence).</w:t>
      </w:r>
    </w:p>
    <w:p>
      <w:pPr>
        <w:spacing w:after="0" w:line="183"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8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b w:val="1"/>
          <w:bCs w:val="1"/>
          <w:i w:val="1"/>
          <w:iCs w:val="1"/>
          <w:color w:val="auto"/>
        </w:rPr>
        <w:t>Derivatives</w:t>
      </w:r>
      <w:r>
        <w:rPr>
          <w:rFonts w:ascii="Arial" w:cs="Arial" w:eastAsia="Arial" w:hAnsi="Arial"/>
          <w:sz w:val="17"/>
          <w:szCs w:val="17"/>
          <w:color w:val="auto"/>
        </w:rPr>
        <w:t>—Our use of derivative financial instruments is primarily limited to the utilization of interest rate hedges or other instruments to manage interest rate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and foreign exchange hedges to manage our risk to changes in foreign currencies. The principal objectives of such hedges are to minimize the risks and/or costs associated with our operating and financial structure and to manage our exposure to foreign exchange rate movements (see Note 10 of the Notes to the Consolidated Financial Statements).</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Off-Balance Sheet Arrangements</w:t>
      </w:r>
      <w:r>
        <w:rPr>
          <w:rFonts w:ascii="Arial" w:cs="Arial" w:eastAsia="Arial" w:hAnsi="Arial"/>
          <w:sz w:val="17"/>
          <w:szCs w:val="17"/>
          <w:color w:val="auto"/>
        </w:rPr>
        <w:t>—We are not dependent on the use of any off-balance sheet financing arrangements for liquidity.</w:t>
      </w:r>
    </w:p>
    <w:p>
      <w:pPr>
        <w:spacing w:after="0" w:line="202" w:lineRule="exact"/>
        <w:rPr>
          <w:sz w:val="20"/>
          <w:szCs w:val="20"/>
          <w:color w:val="auto"/>
        </w:rPr>
      </w:pPr>
    </w:p>
    <w:p>
      <w:pPr>
        <w:jc w:val="both"/>
        <w:ind w:firstLine="397"/>
        <w:spacing w:after="0" w:line="308" w:lineRule="auto"/>
        <w:rPr>
          <w:sz w:val="20"/>
          <w:szCs w:val="20"/>
          <w:color w:val="auto"/>
        </w:rPr>
      </w:pPr>
      <w:r>
        <w:rPr>
          <w:rFonts w:ascii="Arial" w:cs="Arial" w:eastAsia="Arial" w:hAnsi="Arial"/>
          <w:sz w:val="14"/>
          <w:szCs w:val="14"/>
          <w:b w:val="1"/>
          <w:bCs w:val="1"/>
          <w:i w:val="1"/>
          <w:iCs w:val="1"/>
          <w:color w:val="auto"/>
        </w:rPr>
        <w:t>Unfunded Commitments</w:t>
      </w:r>
      <w:r>
        <w:rPr>
          <w:rFonts w:ascii="Arial" w:cs="Arial" w:eastAsia="Arial" w:hAnsi="Arial"/>
          <w:sz w:val="14"/>
          <w:szCs w:val="14"/>
          <w:color w:val="auto"/>
        </w:rPr>
        <w:t>—We generally fund construction and development loans and build-outs of space in net lease assets over a period of time if and when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December 31, 2012,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Strategic</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6"/>
        </w:trPr>
        <w:tc>
          <w:tcPr>
            <w:tcW w:w="4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Loans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Real Estate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Total</w:t>
            </w:r>
          </w:p>
        </w:tc>
      </w:tr>
      <w:tr>
        <w:trPr>
          <w:trHeight w:val="22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Performance-Based Commitments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44,751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36,318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81,069</w:t>
            </w:r>
          </w:p>
        </w:tc>
      </w:tr>
      <w:tr>
        <w:trPr>
          <w:trHeight w:val="222"/>
        </w:trPr>
        <w:tc>
          <w:tcPr>
            <w:tcW w:w="4140" w:type="dxa"/>
            <w:vAlign w:val="bottom"/>
          </w:tcPr>
          <w:p>
            <w:pPr>
              <w:ind w:left="20"/>
              <w:spacing w:after="0"/>
              <w:rPr>
                <w:sz w:val="20"/>
                <w:szCs w:val="20"/>
                <w:color w:val="auto"/>
              </w:rPr>
            </w:pPr>
            <w:r>
              <w:rPr>
                <w:rFonts w:ascii="Arial" w:cs="Arial" w:eastAsia="Arial" w:hAnsi="Arial"/>
                <w:sz w:val="17"/>
                <w:szCs w:val="17"/>
                <w:color w:val="auto"/>
              </w:rPr>
              <w:t>Discretionary Fundings</w:t>
            </w: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7"/>
                <w:szCs w:val="17"/>
                <w:color w:val="auto"/>
              </w:rPr>
              <w:t>102</w:t>
            </w:r>
          </w:p>
        </w:tc>
      </w:tr>
      <w:tr>
        <w:trPr>
          <w:trHeight w:val="26"/>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Strategic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47,322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47,322</w:t>
            </w:r>
          </w:p>
        </w:tc>
      </w:tr>
      <w:tr>
        <w:trPr>
          <w:trHeight w:val="234"/>
        </w:trPr>
        <w:tc>
          <w:tcPr>
            <w:tcW w:w="4140" w:type="dxa"/>
            <w:vAlign w:val="bottom"/>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44,853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36,318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47,322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128,493</w:t>
            </w: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b w:val="1"/>
          <w:bCs w:val="1"/>
          <w:i w:val="1"/>
          <w:iCs w:val="1"/>
          <w:color w:val="auto"/>
        </w:rPr>
        <w:t>Transactions with Related Parties</w:t>
      </w:r>
      <w:r>
        <w:rPr>
          <w:rFonts w:ascii="Arial" w:cs="Arial" w:eastAsia="Arial" w:hAnsi="Arial"/>
          <w:sz w:val="17"/>
          <w:szCs w:val="17"/>
          <w:color w:val="auto"/>
        </w:rPr>
        <w:t>—Glenn August previously served as a member of our Board of Directors until May 2012. Mr. August is the president and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of Oak Hill Advisors, L.P.</w:t>
      </w:r>
    </w:p>
    <w:p>
      <w:pPr>
        <w:spacing w:after="0" w:line="172" w:lineRule="exact"/>
        <w:rPr>
          <w:sz w:val="20"/>
          <w:szCs w:val="20"/>
          <w:color w:val="auto"/>
        </w:rPr>
      </w:pPr>
    </w:p>
    <w:p>
      <w:pPr>
        <w:ind w:left="600" w:hanging="303"/>
        <w:spacing w:after="0"/>
        <w:tabs>
          <w:tab w:leader="none" w:pos="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the year ended December 31, 2012, we redeemed our interests in four investments in Oak Hill related entities for $7.8 million of net cash proceeds.</w:t>
      </w:r>
    </w:p>
    <w:p>
      <w:pPr>
        <w:spacing w:after="0" w:line="236" w:lineRule="exact"/>
        <w:rPr>
          <w:rFonts w:ascii="Arial" w:cs="Arial" w:eastAsia="Arial" w:hAnsi="Arial"/>
          <w:sz w:val="14"/>
          <w:szCs w:val="14"/>
          <w:color w:val="auto"/>
        </w:rPr>
      </w:pPr>
    </w:p>
    <w:p>
      <w:pPr>
        <w:jc w:val="both"/>
        <w:ind w:left="600" w:hanging="303"/>
        <w:spacing w:after="0" w:line="24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2011, we sold a substantial portion of our interests in Oak Hill Advisors, L.P. and related entities. The transaction was completed in part through sales of interests to unrelated third parties and in part through redemption of interests by principals of Oak Hill Advisors, L.P., including Mr. August. In conjunction with the sale, we retained interests in our share of certain unearned incentive fees of various funds. These fees are contingent on the future performance of the funds and we will recognize income related to these fees if and when the amounts are realized.</w:t>
      </w:r>
    </w:p>
    <w:p>
      <w:pPr>
        <w:spacing w:after="0" w:line="182"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We have an equity interest of approximately 24% in LNR Property Corporation ("LNR") and two of our executive officers serve on LNR's board of managers. As described below in Subsequent Events, we have entered into a definitive agreement to sell this interest.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0" w:right="2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30" w:lineRule="exact"/>
        <w:rPr>
          <w:sz w:val="20"/>
          <w:szCs w:val="20"/>
          <w:color w:val="auto"/>
        </w:rPr>
      </w:pPr>
    </w:p>
    <w:p>
      <w:pPr>
        <w:jc w:val="both"/>
        <w:ind w:firstLine="397"/>
        <w:spacing w:after="0" w:line="292" w:lineRule="auto"/>
        <w:rPr>
          <w:sz w:val="20"/>
          <w:szCs w:val="20"/>
          <w:color w:val="auto"/>
        </w:rPr>
      </w:pPr>
      <w:r>
        <w:rPr>
          <w:rFonts w:ascii="Arial" w:cs="Arial" w:eastAsia="Arial" w:hAnsi="Arial"/>
          <w:sz w:val="16"/>
          <w:szCs w:val="16"/>
          <w:b w:val="1"/>
          <w:bCs w:val="1"/>
          <w:i w:val="1"/>
          <w:iCs w:val="1"/>
          <w:color w:val="auto"/>
        </w:rPr>
        <w:t>Stock Repurchase Program</w:t>
      </w:r>
      <w:r>
        <w:rPr>
          <w:rFonts w:ascii="Arial" w:cs="Arial" w:eastAsia="Arial" w:hAnsi="Arial"/>
          <w:sz w:val="16"/>
          <w:szCs w:val="16"/>
          <w:color w:val="auto"/>
        </w:rPr>
        <w:t>—On May 15, 2012, our Board of Directors approved a stock repurchase program that authorized the repurchase of up to $20.0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Common Stock from time to time in open market and privately negotiated purchases, including pursuant to one or more trading plans.</w:t>
      </w:r>
    </w:p>
    <w:p>
      <w:pPr>
        <w:spacing w:after="0" w:line="148" w:lineRule="exact"/>
        <w:rPr>
          <w:sz w:val="20"/>
          <w:szCs w:val="20"/>
          <w:color w:val="auto"/>
        </w:rPr>
      </w:pPr>
    </w:p>
    <w:p>
      <w:pPr>
        <w:jc w:val="both"/>
        <w:ind w:firstLine="397"/>
        <w:spacing w:after="0" w:line="368" w:lineRule="auto"/>
        <w:rPr>
          <w:sz w:val="20"/>
          <w:szCs w:val="20"/>
          <w:color w:val="auto"/>
        </w:rPr>
      </w:pPr>
      <w:r>
        <w:rPr>
          <w:rFonts w:ascii="Arial" w:cs="Arial" w:eastAsia="Arial" w:hAnsi="Arial"/>
          <w:sz w:val="14"/>
          <w:szCs w:val="14"/>
          <w:color w:val="auto"/>
        </w:rPr>
        <w:t>During the year ended December 31, 2012, we repurchased 0.8 million shares of our outstanding Common Stock for approximately $4.6 million, at an average cost of $5.69 per share. As of December 31, 2012, we had $16.0 million of Common Stock available to repurchase under our Board authorized stock repurchase programs.</w:t>
      </w:r>
    </w:p>
    <w:p>
      <w:pPr>
        <w:spacing w:after="0" w:line="10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b w:val="1"/>
          <w:bCs w:val="1"/>
          <w:i w:val="1"/>
          <w:iCs w:val="1"/>
          <w:color w:val="auto"/>
        </w:rPr>
        <w:t>Subsequent Events</w:t>
      </w:r>
      <w:r>
        <w:rPr>
          <w:rFonts w:ascii="Arial" w:cs="Arial" w:eastAsia="Arial" w:hAnsi="Arial"/>
          <w:sz w:val="17"/>
          <w:szCs w:val="17"/>
          <w:color w:val="auto"/>
        </w:rPr>
        <w:t>—On January 24, 2013, we signed a definitive agreement to sell our 24% interest in LNR Property LLC, for approximately $220.0 million in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proceeds after closing costs and LNR management incentives. This transaction is expected to close during the second quarter of 2013, subject to customary closing conditions.</w:t>
      </w:r>
    </w:p>
    <w:p>
      <w:pPr>
        <w:spacing w:after="0" w:line="178" w:lineRule="exact"/>
        <w:rPr>
          <w:sz w:val="20"/>
          <w:szCs w:val="20"/>
          <w:color w:val="auto"/>
        </w:rPr>
      </w:pPr>
    </w:p>
    <w:p>
      <w:pPr>
        <w:jc w:val="both"/>
        <w:ind w:firstLine="596"/>
        <w:spacing w:after="0" w:line="320" w:lineRule="auto"/>
        <w:rPr>
          <w:sz w:val="20"/>
          <w:szCs w:val="20"/>
          <w:color w:val="auto"/>
        </w:rPr>
      </w:pPr>
      <w:r>
        <w:rPr>
          <w:rFonts w:ascii="Arial" w:cs="Arial" w:eastAsia="Arial" w:hAnsi="Arial"/>
          <w:sz w:val="14"/>
          <w:szCs w:val="14"/>
          <w:color w:val="auto"/>
        </w:rPr>
        <w:t>On February 11, 2013, we entered into a $1.71 billion senior secured credit facility due October 15, 2017 that amends and restates the October 2012 Secured Credit Facility. In connection with the repricing, we paid the original lenders a prepayment fee of approximately $17.1 million. The new facility amends the October 2012 Secured Credit Facility by (i) reducing the annual interest rate from LIBOR + 4.50%, with a 1.25% LIBOR floor to LIBOR + 3.50%, with a 1.00% LIBOR floor; and (ii) extending the call protection period for lenders from October 15, 2013 to December 31, 2013. All other terms of the credit facility remained the same.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5"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21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During 2012, management reviewed and evaluated these critical accounting estimates and believes they are appropriate. Our significant accounting policies are described in Item 8—"Financial Statements and Supplemental Data—Note 3." The following is a summary of accounting policies that require more significant management estimates and judgments:</w:t>
      </w:r>
    </w:p>
    <w:p>
      <w:pPr>
        <w:spacing w:after="0" w:line="228"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4"/>
          <w:szCs w:val="14"/>
          <w:b w:val="1"/>
          <w:bCs w:val="1"/>
          <w:i w:val="1"/>
          <w:iCs w:val="1"/>
          <w:color w:val="auto"/>
        </w:rPr>
        <w:t>Reserve for loan losses</w:t>
      </w:r>
      <w:r>
        <w:rPr>
          <w:rFonts w:ascii="Arial" w:cs="Arial" w:eastAsia="Arial" w:hAnsi="Arial"/>
          <w:sz w:val="14"/>
          <w:szCs w:val="14"/>
          <w:color w:val="auto"/>
        </w:rPr>
        <w:t>—The reserve for loan losses reflects management's estimate of loan losses inherent in the loan portfolio as of the balance sheet date.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reserve is increased through the "Provision for loan losses" on our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We have one portfolio segment, represented by commercial real estate lending, whereby we utilize a uniform process for determining our reserves for loan losses. The reserve for loan losses includes a general, formula-based component and an asset-specific component.</w:t>
      </w:r>
    </w:p>
    <w:p>
      <w:pPr>
        <w:spacing w:after="0" w:line="188" w:lineRule="exact"/>
        <w:rPr>
          <w:sz w:val="20"/>
          <w:szCs w:val="20"/>
          <w:color w:val="auto"/>
        </w:rPr>
      </w:pPr>
    </w:p>
    <w:p>
      <w:pPr>
        <w:jc w:val="both"/>
        <w:ind w:firstLine="397"/>
        <w:spacing w:after="0" w:line="304" w:lineRule="auto"/>
        <w:rPr>
          <w:sz w:val="20"/>
          <w:szCs w:val="20"/>
          <w:color w:val="auto"/>
        </w:rPr>
      </w:pPr>
      <w:r>
        <w:rPr>
          <w:rFonts w:ascii="Arial" w:cs="Arial" w:eastAsia="Arial" w:hAnsi="Arial"/>
          <w:sz w:val="14"/>
          <w:szCs w:val="14"/>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internal and external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398"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color w:val="auto"/>
        </w:rPr>
        <w:t>The asset-specific reserve component relates to reserves for losses on impaired loans. We consider a loan to be impaired when, based upon current information and events, we believe that it is probable that we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20" w:right="2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Substantially all of our impaired loans are collateral dependent and impairment is measured using the estimated fair value of collateral, less costs to sell. We generally use the income approach through internally developed valuation models to estimate the fair value of the collateral for such loans. In more limited cases, we obtain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231"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A loan is also considered impaired if its terms are modified in a troubled debt restructuring ("TDR"). A TDR occurs when we grant a concession and the debtor is experiencing financial difficulties. Impairments on TDR loans are generally measured based on the present value of expected future cash flows discounted at the effective interest rate of the original loan.</w:t>
      </w:r>
    </w:p>
    <w:p>
      <w:pPr>
        <w:spacing w:after="0" w:line="22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The provisions for loan losses for the years ended December 31, 2012, 2011 and 2010 were $81.7 million, $46.4 million and $331.5 million, respectively. The total reserve for loan losses at December 31, 2012 and 2011, included asset specific reserves of $491.4 million and $573.1 million, respectively, and general reserves of $33.1 million and $73.5 million, respectively.</w:t>
      </w:r>
    </w:p>
    <w:p>
      <w:pPr>
        <w:spacing w:after="0" w:line="228" w:lineRule="exact"/>
        <w:rPr>
          <w:sz w:val="20"/>
          <w:szCs w:val="20"/>
          <w:color w:val="auto"/>
        </w:rPr>
      </w:pPr>
    </w:p>
    <w:p>
      <w:pPr>
        <w:jc w:val="both"/>
        <w:ind w:firstLine="397"/>
        <w:spacing w:after="0" w:line="308" w:lineRule="auto"/>
        <w:rPr>
          <w:sz w:val="20"/>
          <w:szCs w:val="20"/>
          <w:color w:val="auto"/>
        </w:rPr>
      </w:pPr>
      <w:r>
        <w:rPr>
          <w:rFonts w:ascii="Arial" w:cs="Arial" w:eastAsia="Arial" w:hAnsi="Arial"/>
          <w:sz w:val="14"/>
          <w:szCs w:val="14"/>
          <w:b w:val="1"/>
          <w:bCs w:val="1"/>
          <w:i w:val="1"/>
          <w:iCs w:val="1"/>
          <w:color w:val="auto"/>
        </w:rPr>
        <w:t>Acquisition of real estate</w:t>
      </w:r>
      <w:r>
        <w:rPr>
          <w:rFonts w:ascii="Arial" w:cs="Arial" w:eastAsia="Arial" w:hAnsi="Arial"/>
          <w:sz w:val="14"/>
          <w:szCs w:val="14"/>
          <w:color w:val="auto"/>
        </w:rPr>
        <w:t>—We generally acquire real estate assets through cash purchases or through foreclosure or deed-in-lieu of foreclosure in full or partial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satisfaction of non-performing loans. When we acquire assets through foreclosure or deed in lieu of foreclosure, based on our strategic plan to realize the maximum value from the collateral received, these properties are classified as "Real estate, net" or "Real estate available and held for sale" on our Consolidated Balance Sheets. When we intend to hold, operate or develop the property for a period of at least 12 months, assets are classified as "Real estate, net," and when we intend to market these properties for sale in the near term, assets are classified as "Real estate available and held for sale." Assets classified as real estate are initially recorded at their estimated fair value and assets classified as assets held for sale are recorded at their estimated fair value less costs to sell. The excess of the carrying value of the loan over these amounts is charged-off against the reserve for loan losses. In both cases, upon acquisition, tangible and intangible assets and liabilities acquired are recorded at their estimated fair values.</w:t>
      </w:r>
    </w:p>
    <w:p>
      <w:pPr>
        <w:spacing w:after="0" w:line="68"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During the years ended December 31, 2012, 2011 and 2010, we received titles to properties in satisfaction of senior mortgage loans with cumulative gross carrying values of $352.8 million, $617.8 million and $1.41 billion, respectively, for which those properties had served as collateral, and recorded charge-offs totaling $85.3 million, $115.3 million and $631.9 million, respectively, related to these loans.</w:t>
      </w:r>
    </w:p>
    <w:p>
      <w:pPr>
        <w:spacing w:after="0" w:line="104"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b w:val="1"/>
          <w:bCs w:val="1"/>
          <w:i w:val="1"/>
          <w:iCs w:val="1"/>
          <w:color w:val="auto"/>
        </w:rPr>
        <w:t>Long-lived assets impairment test</w:t>
      </w:r>
      <w:r>
        <w:rPr>
          <w:rFonts w:ascii="Arial" w:cs="Arial" w:eastAsia="Arial" w:hAnsi="Arial"/>
          <w:sz w:val="17"/>
          <w:szCs w:val="17"/>
          <w:color w:val="auto"/>
        </w:rPr>
        <w:t>—Real estate assets to be disposed of are reported at the lower of their carrying amount or estimated fair value less costs to sell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included in "Real estate held for sale" on our Consolidated Balance Sheets. The difference between the estimated fair value less costs to sell and the carrying value will be recorded as an impairment charge and included in "Income (loss) from discontinued operations" on the Consolidated Statements of Operations. Once the asset is classified as held for sale, depreciation expense is no longer recorded and historical operating results are reclassified to "Income (loss) from discontinued operations" on the Consolidated Statements of Operations.</w:t>
      </w:r>
    </w:p>
    <w:p>
      <w:pPr>
        <w:spacing w:after="0" w:line="231" w:lineRule="exact"/>
        <w:rPr>
          <w:sz w:val="20"/>
          <w:szCs w:val="20"/>
          <w:color w:val="auto"/>
        </w:rPr>
      </w:pPr>
    </w:p>
    <w:p>
      <w:pPr>
        <w:jc w:val="both"/>
        <w:ind w:firstLine="397"/>
        <w:spacing w:after="0" w:line="310" w:lineRule="auto"/>
        <w:rPr>
          <w:sz w:val="20"/>
          <w:szCs w:val="20"/>
          <w:color w:val="auto"/>
        </w:rPr>
      </w:pPr>
      <w:r>
        <w:rPr>
          <w:rFonts w:ascii="Arial" w:cs="Arial" w:eastAsia="Arial" w:hAnsi="Arial"/>
          <w:sz w:val="14"/>
          <w:szCs w:val="14"/>
          <w:color w:val="auto"/>
        </w:rPr>
        <w:t>We periodically review long-lived assets to be held and used for impairment in value whenever events or changes in circumstances indicate that the carrying amount of such assets may not be recoverable. A held for use long-lived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real estate assets are recorded in "Impairment of assets," on our Consolidated Statements of Operations.</w:t>
      </w:r>
    </w:p>
    <w:p>
      <w:pPr>
        <w:spacing w:after="0" w:line="19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During the years ended December 31, 2012, 2011 and 2010, we recorded impairment charges on real estate assets of $35.4 million, $22.4 million and $25.2 million, respectively, due to changes in business strategy and market conditions, of which $22.6 million, $9.1 million and $9.6 million, respectively, were included in "Income (loss) from discontinued operations."</w:t>
      </w:r>
    </w:p>
    <w:p>
      <w:pPr>
        <w:spacing w:after="0" w:line="228"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b w:val="1"/>
          <w:bCs w:val="1"/>
          <w:i w:val="1"/>
          <w:iCs w:val="1"/>
          <w:color w:val="auto"/>
        </w:rPr>
        <w:t>Identified intangible assets</w:t>
      </w:r>
      <w:r>
        <w:rPr>
          <w:rFonts w:ascii="Arial" w:cs="Arial" w:eastAsia="Arial" w:hAnsi="Arial"/>
          <w:sz w:val="16"/>
          <w:szCs w:val="16"/>
          <w:color w:val="auto"/>
        </w:rPr>
        <w:t>—We record intangible assets acquired at their estimated fair values separate and apart from goodwill. We determine whether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intangible assets have finite or indefinite lives. As of December 31, 2012, all such acquired intangible assets have finite lives. We amortize finite lived intangible assets based on the period over which the assets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we will record an impairment charge to the extent its carrying value exceeds its estimated fair value. Impairments of intangibles are recorded in "Impairment of assets" on our Consolidated Statements of Operations.</w:t>
      </w:r>
    </w:p>
    <w:p>
      <w:pPr>
        <w:spacing w:after="0" w:line="22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b w:val="1"/>
          <w:bCs w:val="1"/>
          <w:i w:val="1"/>
          <w:iCs w:val="1"/>
          <w:color w:val="auto"/>
        </w:rPr>
        <w:t>Valuation of deferred tax assets</w:t>
      </w:r>
      <w:r>
        <w:rPr>
          <w:rFonts w:ascii="Arial" w:cs="Arial" w:eastAsia="Arial" w:hAnsi="Arial"/>
          <w:sz w:val="17"/>
          <w:szCs w:val="17"/>
          <w:color w:val="auto"/>
        </w:rPr>
        <w:t>—Deferred income taxes reflect the net tax effects of temporary differences between the carrying amount of assets and liabilities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reporting purposes and the amounts used for income tax purposes, as well</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0" w:right="2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operating loss and tax credit carryforwards. We evaluate the realizability of our deferred tax assets and recognize a valuation allowance if, based on the available evidence, both positive and negative, it is more likely than not that some portion or all of our deferred tax assets will not be realized. When evaluating the realizability of our deferred tax assets, we consider,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us to forecast our business and general economic environment in future periods. Changes in estimate of deferred tax asset realizability, if any are included in "Income tax (expense) benefit" on the Consolidated Statements of Operations.</w:t>
      </w:r>
    </w:p>
    <w:p>
      <w:pPr>
        <w:spacing w:after="0" w:line="22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Based on our assessment of all factors, we determined that a valuation allowance of $40.8 million and $50.9 million was required on our deferred tax assets as of December 31, 2012 and 2011, respectively.</w:t>
      </w:r>
    </w:p>
    <w:p>
      <w:pPr>
        <w:spacing w:after="0" w:line="222"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b w:val="1"/>
          <w:bCs w:val="1"/>
          <w:i w:val="1"/>
          <w:iCs w:val="1"/>
          <w:color w:val="auto"/>
        </w:rPr>
        <w:t>Consolidation—Variable interest entities</w:t>
      </w:r>
      <w:r>
        <w:rPr>
          <w:rFonts w:ascii="Arial" w:cs="Arial" w:eastAsia="Arial" w:hAnsi="Arial"/>
          <w:sz w:val="17"/>
          <w:szCs w:val="17"/>
          <w:color w:val="auto"/>
        </w:rPr>
        <w:t>—We evaluate our investments and other contractual arrangements to determine if our interests constitute variable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 variable interest entity ("VIE") and if we are the primary beneficiary. There is a significant amount of judgment required to determine if an entity is considered a VIE and if we are the primary beneficiary. We first perform a qualitative analysis, which requires certain subjective decisions regarding our assessment, including, but not limited to, which interests create or absorb variability, contractual terms, the key decision making powers, either impact on the VIE's economic performance and related party relationships. An iterative quantitative analysis is required if our qualitative analysis proves inconclusive as to whether the entity is a VIE or we are the primary beneficiary and consolidation is required.</w:t>
      </w:r>
    </w:p>
    <w:p>
      <w:pPr>
        <w:spacing w:after="0" w:line="232" w:lineRule="exact"/>
        <w:rPr>
          <w:sz w:val="20"/>
          <w:szCs w:val="20"/>
          <w:color w:val="auto"/>
        </w:rPr>
      </w:pPr>
    </w:p>
    <w:p>
      <w:pPr>
        <w:jc w:val="both"/>
        <w:ind w:firstLine="397"/>
        <w:spacing w:after="0" w:line="310" w:lineRule="auto"/>
        <w:rPr>
          <w:sz w:val="20"/>
          <w:szCs w:val="20"/>
          <w:color w:val="auto"/>
        </w:rPr>
      </w:pPr>
      <w:r>
        <w:rPr>
          <w:rFonts w:ascii="Arial" w:cs="Arial" w:eastAsia="Arial" w:hAnsi="Arial"/>
          <w:sz w:val="14"/>
          <w:szCs w:val="14"/>
          <w:b w:val="1"/>
          <w:bCs w:val="1"/>
          <w:i w:val="1"/>
          <w:iCs w:val="1"/>
          <w:color w:val="auto"/>
        </w:rPr>
        <w:t>Fair value of assets and liabilities</w:t>
      </w:r>
      <w:r>
        <w:rPr>
          <w:rFonts w:ascii="Arial" w:cs="Arial" w:eastAsia="Arial" w:hAnsi="Arial"/>
          <w:sz w:val="14"/>
          <w:szCs w:val="14"/>
          <w:color w:val="auto"/>
        </w:rPr>
        <w:t>—The degree of management judgment involved in determining the fair value of assets and liabilities is dependent upon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availability of quoted market prices or observable market parameters. For financial and nonfinancial assets and liabilities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192"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See Item 8—"Financial Statements and Supplementary Data—Note 14" for a complete discussion on how we determine fair value of financial and non-financial assets and financial liabilities and the related measurement techniques and estimates involved.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55"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For a discussion of the impact of new accounting pronouncements on our financial condition or results of operations, see Item 8—"Financial Statements and Supplementary Data—Note 3."</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0" w:right="239" w:bottom="1440" w:gutter="0" w:footer="0" w:header="0"/>
        </w:sectPr>
      </w:pPr>
    </w:p>
    <w:bookmarkStart w:id="46" w:name="page47"/>
    <w:bookmarkEnd w:id="46"/>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
        <w:spacing w:after="0"/>
        <w:tabs>
          <w:tab w:leader="none" w:pos="7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Market Risks</w:t>
      </w:r>
    </w:p>
    <w:p>
      <w:pPr>
        <w:spacing w:after="0" w:line="255" w:lineRule="exact"/>
        <w:rPr>
          <w:sz w:val="20"/>
          <w:szCs w:val="20"/>
          <w:color w:val="auto"/>
        </w:rPr>
      </w:pPr>
    </w:p>
    <w:p>
      <w:pPr>
        <w:jc w:val="both"/>
        <w:ind w:left="1" w:firstLine="397"/>
        <w:spacing w:after="0" w:line="247"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2" w:lineRule="exact"/>
        <w:rPr>
          <w:sz w:val="20"/>
          <w:szCs w:val="20"/>
          <w:color w:val="auto"/>
        </w:rPr>
      </w:pPr>
    </w:p>
    <w:p>
      <w:pPr>
        <w:jc w:val="both"/>
        <w:ind w:left="1" w:firstLine="397"/>
        <w:spacing w:after="0" w:line="249" w:lineRule="auto"/>
        <w:rPr>
          <w:sz w:val="20"/>
          <w:szCs w:val="20"/>
          <w:color w:val="auto"/>
        </w:rPr>
      </w:pPr>
      <w:r>
        <w:rPr>
          <w:rFonts w:ascii="Arial" w:cs="Arial" w:eastAsia="Arial" w:hAnsi="Arial"/>
          <w:sz w:val="17"/>
          <w:szCs w:val="17"/>
          <w:color w:val="auto"/>
        </w:rPr>
        <w:t>In the event of a significant rising interest rate environment or further economic downturn, defaults could increase and cause us to incur additional credit losses which would adversely affect our liquidity and operating results. Such delinquencies or defaults would likely have an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31" w:lineRule="exact"/>
        <w:rPr>
          <w:sz w:val="20"/>
          <w:szCs w:val="20"/>
          <w:color w:val="auto"/>
        </w:rPr>
      </w:pPr>
    </w:p>
    <w:p>
      <w:pPr>
        <w:jc w:val="both"/>
        <w:ind w:left="1" w:firstLine="397"/>
        <w:spacing w:after="0" w:line="314" w:lineRule="auto"/>
        <w:rPr>
          <w:sz w:val="20"/>
          <w:szCs w:val="20"/>
          <w:color w:val="auto"/>
        </w:rPr>
      </w:pPr>
      <w:r>
        <w:rPr>
          <w:rFonts w:ascii="Arial" w:cs="Arial" w:eastAsia="Arial" w:hAnsi="Arial"/>
          <w:sz w:val="14"/>
          <w:szCs w:val="14"/>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188" w:lineRule="exact"/>
        <w:rPr>
          <w:sz w:val="20"/>
          <w:szCs w:val="20"/>
          <w:color w:val="auto"/>
        </w:rPr>
      </w:pPr>
    </w:p>
    <w:p>
      <w:pPr>
        <w:jc w:val="both"/>
        <w:ind w:left="1" w:firstLine="397"/>
        <w:spacing w:after="0" w:line="270" w:lineRule="auto"/>
        <w:rPr>
          <w:sz w:val="20"/>
          <w:szCs w:val="20"/>
          <w:color w:val="auto"/>
        </w:rPr>
      </w:pPr>
      <w:r>
        <w:rPr>
          <w:rFonts w:ascii="Arial" w:cs="Arial" w:eastAsia="Arial" w:hAnsi="Arial"/>
          <w:sz w:val="16"/>
          <w:szCs w:val="16"/>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foreign exchange and prepayment or interest rate exposure on our loan assets. As a result our ability to hedge these types of risks is limited. There can be no assurance that our profitability will not be adversely affected during any period as a result of changing interest rates.</w:t>
      </w:r>
    </w:p>
    <w:p>
      <w:pPr>
        <w:spacing w:after="0" w:line="214"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The following table quantifies the potential changes in net income should interest rates increase by 50 or 100 basis points and decrease by 10 basis points, assuming no change in the shape of the yield curve (i.e., relative interest rates). The base interest rate scenario assumes the one-month LIBOR rate of 0.21% as of December 31, 2012. Actual results could differ significantly from those estimated in the table.</w:t>
      </w:r>
    </w:p>
    <w:p>
      <w:pPr>
        <w:spacing w:after="0" w:line="224" w:lineRule="exact"/>
        <w:rPr>
          <w:sz w:val="20"/>
          <w:szCs w:val="20"/>
          <w:color w:val="auto"/>
        </w:rPr>
      </w:pPr>
    </w:p>
    <w:tbl>
      <w:tblPr>
        <w:tblLayout w:type="fixed"/>
        <w:tblInd w:w="1481"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6440" w:type="dxa"/>
            <w:vAlign w:val="bottom"/>
          </w:tcPr>
          <w:p>
            <w:pPr>
              <w:jc w:val="right"/>
              <w:ind w:right="2580"/>
              <w:spacing w:after="0"/>
              <w:rPr>
                <w:sz w:val="20"/>
                <w:szCs w:val="20"/>
                <w:color w:val="auto"/>
              </w:rPr>
            </w:pPr>
            <w:r>
              <w:rPr>
                <w:rFonts w:ascii="Arial" w:cs="Arial" w:eastAsia="Arial" w:hAnsi="Arial"/>
                <w:sz w:val="17"/>
                <w:szCs w:val="17"/>
                <w:b w:val="1"/>
                <w:bCs w:val="1"/>
                <w:color w:val="auto"/>
              </w:rPr>
              <w:t>Estimated Percentage Change In Net Income</w:t>
            </w:r>
          </w:p>
        </w:tc>
      </w:tr>
      <w:tr>
        <w:trPr>
          <w:trHeight w:val="691"/>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Change in Interest Rates</w:t>
            </w:r>
          </w:p>
        </w:tc>
        <w:tc>
          <w:tcPr>
            <w:tcW w:w="644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Net Income(1)</w:t>
            </w:r>
          </w:p>
        </w:tc>
      </w:tr>
      <w:tr>
        <w:trPr>
          <w:trHeight w:val="22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-10 Basis Points</w:t>
            </w:r>
          </w:p>
        </w:tc>
        <w:tc>
          <w:tcPr>
            <w:tcW w:w="6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(0.23)%</w:t>
            </w:r>
          </w:p>
        </w:tc>
      </w:tr>
      <w:tr>
        <w:trPr>
          <w:trHeight w:val="222"/>
        </w:trPr>
        <w:tc>
          <w:tcPr>
            <w:tcW w:w="2040" w:type="dxa"/>
            <w:vAlign w:val="bottom"/>
          </w:tcPr>
          <w:p>
            <w:pPr>
              <w:ind w:left="20"/>
              <w:spacing w:after="0"/>
              <w:rPr>
                <w:sz w:val="20"/>
                <w:szCs w:val="20"/>
                <w:color w:val="auto"/>
              </w:rPr>
            </w:pPr>
            <w:r>
              <w:rPr>
                <w:rFonts w:ascii="Arial" w:cs="Arial" w:eastAsia="Arial" w:hAnsi="Arial"/>
                <w:sz w:val="17"/>
                <w:szCs w:val="17"/>
                <w:color w:val="auto"/>
              </w:rPr>
              <w:t>Base Interest Rate</w:t>
            </w:r>
          </w:p>
        </w:tc>
        <w:tc>
          <w:tcPr>
            <w:tcW w:w="6440" w:type="dxa"/>
            <w:vAlign w:val="bottom"/>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204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28"/>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+ 50 Basis Points</w:t>
            </w:r>
          </w:p>
        </w:tc>
        <w:tc>
          <w:tcPr>
            <w:tcW w:w="6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1.16 %</w:t>
            </w:r>
          </w:p>
        </w:tc>
      </w:tr>
      <w:tr>
        <w:trPr>
          <w:trHeight w:val="222"/>
        </w:trPr>
        <w:tc>
          <w:tcPr>
            <w:tcW w:w="2040" w:type="dxa"/>
            <w:vAlign w:val="bottom"/>
          </w:tcPr>
          <w:p>
            <w:pPr>
              <w:ind w:left="20"/>
              <w:spacing w:after="0"/>
              <w:rPr>
                <w:sz w:val="20"/>
                <w:szCs w:val="20"/>
                <w:color w:val="auto"/>
              </w:rPr>
            </w:pPr>
            <w:r>
              <w:rPr>
                <w:rFonts w:ascii="Arial" w:cs="Arial" w:eastAsia="Arial" w:hAnsi="Arial"/>
                <w:sz w:val="17"/>
                <w:szCs w:val="17"/>
                <w:color w:val="auto"/>
              </w:rPr>
              <w:t>+ 100 Basis Points</w:t>
            </w:r>
          </w:p>
        </w:tc>
        <w:tc>
          <w:tcPr>
            <w:tcW w:w="6440" w:type="dxa"/>
            <w:vAlign w:val="bottom"/>
          </w:tcPr>
          <w:p>
            <w:pPr>
              <w:jc w:val="right"/>
              <w:spacing w:after="0"/>
              <w:rPr>
                <w:sz w:val="20"/>
                <w:szCs w:val="20"/>
                <w:color w:val="auto"/>
              </w:rPr>
            </w:pPr>
            <w:r>
              <w:rPr>
                <w:rFonts w:ascii="Arial" w:cs="Arial" w:eastAsia="Arial" w:hAnsi="Arial"/>
                <w:sz w:val="17"/>
                <w:szCs w:val="17"/>
                <w:color w:val="auto"/>
              </w:rPr>
              <w:t>2.37 %</w:t>
            </w:r>
          </w:p>
        </w:tc>
      </w:tr>
    </w:tbl>
    <w:p>
      <w:pPr>
        <w:spacing w:after="0" w:line="15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601" w:hanging="601"/>
        <w:spacing w:after="0" w:line="247" w:lineRule="auto"/>
        <w:tabs>
          <w:tab w:leader="none" w:pos="601"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have an overall net variable-rate debt exposure. However, this is negated by interest rate floors that cause the debt to act as fixed rate until such time as market interest rates move above the floor minimums. As such, we are effectively in a net variable-rate asset exposure, which results in an increase in net income when rates increase and a decrease in net income when rates decrease. As of December 31, 2012, $286.3 million of our floating rate loans have a cumulative weighted average interest rate floor of 3.26% and $2.39 billion of our floating rate debt has a cumulative weighted average interest rate floor of 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1"/>
          </w:cols>
          <w:pgMar w:left="239" w:top="120" w:right="2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4"/>
          <w:szCs w:val="14"/>
          <w:b w:val="1"/>
          <w:bCs w:val="1"/>
          <w:color w:val="auto"/>
        </w:rPr>
        <w:t>Financial Statements and Supplemental Data</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Financial Statements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Page</w:t>
            </w:r>
          </w:p>
        </w:tc>
      </w:tr>
      <w:tr>
        <w:trPr>
          <w:trHeight w:val="226"/>
        </w:trPr>
        <w:tc>
          <w:tcPr>
            <w:tcW w:w="7640" w:type="dxa"/>
            <w:vAlign w:val="bottom"/>
            <w:tcBorders>
              <w:bottom w:val="single" w:sz="8" w:color="CCEEFF"/>
            </w:tcBorders>
            <w:gridSpan w:val="14"/>
            <w:shd w:val="clear" w:color="auto" w:fill="CCEEFF"/>
          </w:tcPr>
          <w:p>
            <w:pPr>
              <w:ind w:left="20"/>
              <w:spacing w:after="0"/>
              <w:rPr>
                <w:sz w:val="20"/>
                <w:szCs w:val="20"/>
                <w:color w:val="auto"/>
              </w:rPr>
            </w:pPr>
            <w:r>
              <w:rPr>
                <w:rFonts w:ascii="Arial" w:cs="Arial" w:eastAsia="Arial" w:hAnsi="Arial"/>
                <w:sz w:val="17"/>
                <w:szCs w:val="17"/>
                <w:b w:val="1"/>
                <w:bCs w:val="1"/>
                <w:color w:val="auto"/>
              </w:rPr>
              <w:t>Financial Statements:</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gridSpan w:val="12"/>
          </w:tcPr>
          <w:p>
            <w:pPr>
              <w:spacing w:after="0" w:line="186" w:lineRule="exact"/>
              <w:rPr>
                <w:rFonts w:ascii="Arial" w:cs="Arial" w:eastAsia="Arial" w:hAnsi="Arial"/>
                <w:sz w:val="17"/>
                <w:szCs w:val="17"/>
                <w:color w:val="0000FF"/>
              </w:rPr>
            </w:pPr>
            <w:hyperlink w:anchor="page48">
              <w:r>
                <w:rPr>
                  <w:rFonts w:ascii="Arial" w:cs="Arial" w:eastAsia="Arial" w:hAnsi="Arial"/>
                  <w:sz w:val="17"/>
                  <w:szCs w:val="17"/>
                  <w:color w:val="0000FF"/>
                </w:rPr>
                <w:t>Report of Independent Registered Public Accounting Firm</w:t>
              </w:r>
            </w:hyperlink>
          </w:p>
        </w:tc>
        <w:tc>
          <w:tcPr>
            <w:tcW w:w="500" w:type="dxa"/>
            <w:vAlign w:val="bottom"/>
            <w:gridSpan w:val="4"/>
          </w:tcPr>
          <w:p>
            <w:pPr>
              <w:jc w:val="right"/>
              <w:ind w:right="20"/>
              <w:spacing w:after="0" w:line="186" w:lineRule="exact"/>
              <w:rPr>
                <w:rFonts w:ascii="Arial" w:cs="Arial" w:eastAsia="Arial" w:hAnsi="Arial"/>
                <w:sz w:val="17"/>
                <w:szCs w:val="17"/>
                <w:color w:val="0000FF"/>
              </w:rPr>
            </w:pPr>
            <w:hyperlink w:anchor="page48">
              <w:r>
                <w:rPr>
                  <w:rFonts w:ascii="Arial" w:cs="Arial" w:eastAsia="Arial" w:hAnsi="Arial"/>
                  <w:sz w:val="17"/>
                  <w:szCs w:val="17"/>
                  <w:color w:val="0000FF"/>
                </w:rPr>
                <w:t>49</w:t>
              </w:r>
            </w:hyperlink>
          </w:p>
        </w:tc>
      </w:tr>
      <w:tr>
        <w:trPr>
          <w:trHeight w:val="42"/>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7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0000FF"/>
            </w:tcBorders>
            <w:gridSpan w:val="7"/>
            <w:shd w:val="clear" w:color="auto" w:fill="CCEEFF"/>
          </w:tcPr>
          <w:p>
            <w:pPr>
              <w:spacing w:after="0" w:line="186" w:lineRule="exact"/>
              <w:rPr>
                <w:rFonts w:ascii="Arial" w:cs="Arial" w:eastAsia="Arial" w:hAnsi="Arial"/>
                <w:sz w:val="17"/>
                <w:szCs w:val="17"/>
                <w:color w:val="0000FF"/>
                <w:w w:val="85"/>
              </w:rPr>
            </w:pPr>
            <w:hyperlink w:anchor="page49">
              <w:r>
                <w:rPr>
                  <w:rFonts w:ascii="Arial" w:cs="Arial" w:eastAsia="Arial" w:hAnsi="Arial"/>
                  <w:sz w:val="17"/>
                  <w:szCs w:val="17"/>
                  <w:color w:val="0000FF"/>
                  <w:w w:val="85"/>
                </w:rPr>
                <w:t>Consolidated Balance Sheets as of December 31, 2012 and 2011</w:t>
              </w:r>
            </w:hyperlink>
          </w:p>
        </w:tc>
        <w:tc>
          <w:tcPr>
            <w:tcW w:w="3140" w:type="dxa"/>
            <w:vAlign w:val="bottom"/>
            <w:tcBorders>
              <w:bottom w:val="single" w:sz="8" w:color="CCEEFF"/>
            </w:tcBorders>
            <w:gridSpan w:val="5"/>
            <w:shd w:val="clear" w:color="auto" w:fill="CCEEFF"/>
          </w:tcPr>
          <w:p>
            <w:pPr>
              <w:spacing w:after="0"/>
              <w:rPr>
                <w:sz w:val="19"/>
                <w:szCs w:val="19"/>
                <w:color w:val="auto"/>
              </w:rPr>
            </w:pPr>
          </w:p>
        </w:tc>
        <w:tc>
          <w:tcPr>
            <w:tcW w:w="3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jc w:val="right"/>
              <w:spacing w:after="0" w:line="186" w:lineRule="exact"/>
              <w:rPr>
                <w:rFonts w:ascii="Arial" w:cs="Arial" w:eastAsia="Arial" w:hAnsi="Arial"/>
                <w:sz w:val="17"/>
                <w:szCs w:val="17"/>
                <w:color w:val="0000FF"/>
                <w:w w:val="84"/>
              </w:rPr>
            </w:pPr>
            <w:hyperlink w:anchor="page49">
              <w:r>
                <w:rPr>
                  <w:rFonts w:ascii="Arial" w:cs="Arial" w:eastAsia="Arial" w:hAnsi="Arial"/>
                  <w:sz w:val="17"/>
                  <w:szCs w:val="17"/>
                  <w:color w:val="0000FF"/>
                  <w:w w:val="84"/>
                </w:rPr>
                <w:t>49</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gridSpan w:val="12"/>
          </w:tcPr>
          <w:p>
            <w:pPr>
              <w:spacing w:after="0" w:line="186" w:lineRule="exact"/>
              <w:rPr>
                <w:rFonts w:ascii="Arial" w:cs="Arial" w:eastAsia="Arial" w:hAnsi="Arial"/>
                <w:sz w:val="17"/>
                <w:szCs w:val="17"/>
                <w:color w:val="0000FF"/>
              </w:rPr>
            </w:pPr>
            <w:hyperlink w:anchor="page50">
              <w:r>
                <w:rPr>
                  <w:rFonts w:ascii="Arial" w:cs="Arial" w:eastAsia="Arial" w:hAnsi="Arial"/>
                  <w:sz w:val="17"/>
                  <w:szCs w:val="17"/>
                  <w:color w:val="0000FF"/>
                </w:rPr>
                <w:t>Consolidated Statements of Operations for the years ended December 31, 2012, 2011 and 2010</w:t>
              </w:r>
            </w:hyperlink>
          </w:p>
        </w:tc>
        <w:tc>
          <w:tcPr>
            <w:tcW w:w="500" w:type="dxa"/>
            <w:vAlign w:val="bottom"/>
            <w:gridSpan w:val="4"/>
          </w:tcPr>
          <w:p>
            <w:pPr>
              <w:jc w:val="right"/>
              <w:ind w:right="20"/>
              <w:spacing w:after="0" w:line="186" w:lineRule="exact"/>
              <w:rPr>
                <w:rFonts w:ascii="Arial" w:cs="Arial" w:eastAsia="Arial" w:hAnsi="Arial"/>
                <w:sz w:val="17"/>
                <w:szCs w:val="17"/>
                <w:color w:val="0000FF"/>
              </w:rPr>
            </w:pPr>
            <w:hyperlink w:anchor="page50">
              <w:r>
                <w:rPr>
                  <w:rFonts w:ascii="Arial" w:cs="Arial" w:eastAsia="Arial" w:hAnsi="Arial"/>
                  <w:sz w:val="17"/>
                  <w:szCs w:val="17"/>
                  <w:color w:val="0000FF"/>
                </w:rPr>
                <w:t>51</w:t>
              </w:r>
            </w:hyperlink>
          </w:p>
        </w:tc>
      </w:tr>
      <w:tr>
        <w:trPr>
          <w:trHeight w:val="42"/>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7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0" w:type="dxa"/>
            <w:vAlign w:val="bottom"/>
            <w:gridSpan w:val="12"/>
            <w:shd w:val="clear" w:color="auto" w:fill="CCEEFF"/>
          </w:tcPr>
          <w:p>
            <w:pPr>
              <w:spacing w:after="0" w:line="186" w:lineRule="exact"/>
              <w:rPr>
                <w:rFonts w:ascii="Arial" w:cs="Arial" w:eastAsia="Arial" w:hAnsi="Arial"/>
                <w:sz w:val="17"/>
                <w:szCs w:val="17"/>
                <w:color w:val="0000FF"/>
                <w:w w:val="88"/>
              </w:rPr>
            </w:pPr>
            <w:hyperlink w:anchor="page51">
              <w:r>
                <w:rPr>
                  <w:rFonts w:ascii="Arial" w:cs="Arial" w:eastAsia="Arial" w:hAnsi="Arial"/>
                  <w:sz w:val="17"/>
                  <w:szCs w:val="17"/>
                  <w:color w:val="0000FF"/>
                  <w:w w:val="88"/>
                </w:rPr>
                <w:t>Consolidated Statements of Comprehensive Income (Loss) For the years ended December 31, 2012, 2011 and</w:t>
              </w:r>
            </w:hyperlink>
          </w:p>
        </w:tc>
        <w:tc>
          <w:tcPr>
            <w:tcW w:w="2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0000FF"/>
              <w:bottom w:val="single" w:sz="8" w:color="0000FF"/>
            </w:tcBorders>
            <w:gridSpan w:val="2"/>
            <w:shd w:val="clear" w:color="auto" w:fill="CCEEFF"/>
          </w:tcPr>
          <w:p>
            <w:pPr>
              <w:spacing w:after="0" w:line="179" w:lineRule="exact"/>
              <w:rPr>
                <w:rFonts w:ascii="Arial" w:cs="Arial" w:eastAsia="Arial" w:hAnsi="Arial"/>
                <w:sz w:val="17"/>
                <w:szCs w:val="17"/>
                <w:color w:val="0000FF"/>
                <w:w w:val="84"/>
              </w:rPr>
            </w:pPr>
            <w:hyperlink w:anchor="page51">
              <w:r>
                <w:rPr>
                  <w:rFonts w:ascii="Arial" w:cs="Arial" w:eastAsia="Arial" w:hAnsi="Arial"/>
                  <w:sz w:val="17"/>
                  <w:szCs w:val="17"/>
                  <w:color w:val="0000FF"/>
                  <w:w w:val="84"/>
                </w:rPr>
                <w:t>2010</w:t>
              </w:r>
            </w:hyperlink>
          </w:p>
        </w:tc>
        <w:tc>
          <w:tcPr>
            <w:tcW w:w="2760" w:type="dxa"/>
            <w:vAlign w:val="bottom"/>
            <w:tcBorders>
              <w:top w:val="single" w:sz="8" w:color="0000FF"/>
              <w:bottom w:val="single" w:sz="8" w:color="CCEEFF"/>
            </w:tcBorders>
            <w:shd w:val="clear" w:color="auto" w:fill="CCEEFF"/>
          </w:tcPr>
          <w:p>
            <w:pPr>
              <w:spacing w:after="0"/>
              <w:rPr>
                <w:sz w:val="19"/>
                <w:szCs w:val="19"/>
                <w:color w:val="auto"/>
              </w:rPr>
            </w:pPr>
          </w:p>
        </w:tc>
        <w:tc>
          <w:tcPr>
            <w:tcW w:w="180" w:type="dxa"/>
            <w:vAlign w:val="bottom"/>
            <w:tcBorders>
              <w:top w:val="single" w:sz="8" w:color="0000FF"/>
              <w:bottom w:val="single" w:sz="8" w:color="CCEEFF"/>
            </w:tcBorders>
            <w:shd w:val="clear" w:color="auto" w:fill="CCEEFF"/>
          </w:tcPr>
          <w:p>
            <w:pPr>
              <w:spacing w:after="0"/>
              <w:rPr>
                <w:sz w:val="19"/>
                <w:szCs w:val="19"/>
                <w:color w:val="auto"/>
              </w:rPr>
            </w:pPr>
          </w:p>
        </w:tc>
        <w:tc>
          <w:tcPr>
            <w:tcW w:w="760" w:type="dxa"/>
            <w:vAlign w:val="bottom"/>
            <w:tcBorders>
              <w:top w:val="single" w:sz="8" w:color="0000FF"/>
              <w:bottom w:val="single" w:sz="8" w:color="CCEEFF"/>
            </w:tcBorders>
            <w:shd w:val="clear" w:color="auto" w:fill="CCEEFF"/>
          </w:tcPr>
          <w:p>
            <w:pPr>
              <w:spacing w:after="0"/>
              <w:rPr>
                <w:sz w:val="19"/>
                <w:szCs w:val="19"/>
                <w:color w:val="auto"/>
              </w:rPr>
            </w:pPr>
          </w:p>
        </w:tc>
        <w:tc>
          <w:tcPr>
            <w:tcW w:w="40" w:type="dxa"/>
            <w:vAlign w:val="bottom"/>
            <w:tcBorders>
              <w:top w:val="single" w:sz="8" w:color="0000FF"/>
              <w:bottom w:val="single" w:sz="8" w:color="CCEEFF"/>
            </w:tcBorders>
            <w:shd w:val="clear" w:color="auto" w:fill="CCEEFF"/>
          </w:tcPr>
          <w:p>
            <w:pPr>
              <w:spacing w:after="0"/>
              <w:rPr>
                <w:sz w:val="19"/>
                <w:szCs w:val="19"/>
                <w:color w:val="auto"/>
              </w:rPr>
            </w:pPr>
          </w:p>
        </w:tc>
        <w:tc>
          <w:tcPr>
            <w:tcW w:w="320" w:type="dxa"/>
            <w:vAlign w:val="bottom"/>
            <w:tcBorders>
              <w:top w:val="single" w:sz="8" w:color="0000FF"/>
              <w:bottom w:val="single" w:sz="8" w:color="CCEEFF"/>
            </w:tcBorders>
            <w:shd w:val="clear" w:color="auto" w:fill="CCEEFF"/>
          </w:tcPr>
          <w:p>
            <w:pPr>
              <w:spacing w:after="0"/>
              <w:rPr>
                <w:sz w:val="19"/>
                <w:szCs w:val="19"/>
                <w:color w:val="auto"/>
              </w:rPr>
            </w:pPr>
          </w:p>
        </w:tc>
        <w:tc>
          <w:tcPr>
            <w:tcW w:w="80" w:type="dxa"/>
            <w:vAlign w:val="bottom"/>
            <w:tcBorders>
              <w:top w:val="single" w:sz="8" w:color="0000FF"/>
              <w:bottom w:val="single" w:sz="8" w:color="CCEEFF"/>
            </w:tcBorders>
            <w:shd w:val="clear" w:color="auto" w:fill="CCEEFF"/>
          </w:tcPr>
          <w:p>
            <w:pPr>
              <w:spacing w:after="0"/>
              <w:rPr>
                <w:sz w:val="19"/>
                <w:szCs w:val="19"/>
                <w:color w:val="auto"/>
              </w:rPr>
            </w:pPr>
          </w:p>
        </w:tc>
        <w:tc>
          <w:tcPr>
            <w:tcW w:w="202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440" w:type="dxa"/>
            <w:vAlign w:val="bottom"/>
            <w:tcBorders>
              <w:top w:val="single" w:sz="8" w:color="0000FF"/>
              <w:bottom w:val="single" w:sz="8" w:color="CCEEFF"/>
            </w:tcBorders>
            <w:shd w:val="clear" w:color="auto" w:fill="CCEEFF"/>
          </w:tcPr>
          <w:p>
            <w:pPr>
              <w:spacing w:after="0"/>
              <w:rPr>
                <w:sz w:val="19"/>
                <w:szCs w:val="19"/>
                <w:color w:val="auto"/>
              </w:rPr>
            </w:pPr>
          </w:p>
        </w:tc>
        <w:tc>
          <w:tcPr>
            <w:tcW w:w="48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top w:val="single" w:sz="8" w:color="CCEEFF"/>
              <w:bottom w:val="single" w:sz="8" w:color="0000FF"/>
            </w:tcBorders>
            <w:shd w:val="clear" w:color="auto" w:fill="CCEEFF"/>
          </w:tcPr>
          <w:p>
            <w:pPr>
              <w:jc w:val="right"/>
              <w:spacing w:after="0" w:line="179" w:lineRule="exact"/>
              <w:rPr>
                <w:rFonts w:ascii="Arial" w:cs="Arial" w:eastAsia="Arial" w:hAnsi="Arial"/>
                <w:sz w:val="17"/>
                <w:szCs w:val="17"/>
                <w:color w:val="0000FF"/>
                <w:w w:val="84"/>
              </w:rPr>
            </w:pPr>
            <w:hyperlink w:anchor="page51">
              <w:r>
                <w:rPr>
                  <w:rFonts w:ascii="Arial" w:cs="Arial" w:eastAsia="Arial" w:hAnsi="Arial"/>
                  <w:sz w:val="17"/>
                  <w:szCs w:val="17"/>
                  <w:color w:val="0000FF"/>
                  <w:w w:val="84"/>
                </w:rPr>
                <w:t>52</w:t>
              </w:r>
            </w:hyperlink>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gridSpan w:val="12"/>
          </w:tcPr>
          <w:p>
            <w:pPr>
              <w:spacing w:after="0" w:line="186" w:lineRule="exact"/>
              <w:rPr>
                <w:rFonts w:ascii="Arial" w:cs="Arial" w:eastAsia="Arial" w:hAnsi="Arial"/>
                <w:sz w:val="17"/>
                <w:szCs w:val="17"/>
                <w:color w:val="0000FF"/>
                <w:w w:val="94"/>
              </w:rPr>
            </w:pPr>
            <w:hyperlink w:anchor="page52">
              <w:r>
                <w:rPr>
                  <w:rFonts w:ascii="Arial" w:cs="Arial" w:eastAsia="Arial" w:hAnsi="Arial"/>
                  <w:sz w:val="17"/>
                  <w:szCs w:val="17"/>
                  <w:color w:val="0000FF"/>
                  <w:w w:val="94"/>
                </w:rPr>
                <w:t>Consolidated Statements of Changes in Equity for the years ended December 31, 2012, 2011 and 2010</w:t>
              </w:r>
            </w:hyperlink>
          </w:p>
        </w:tc>
        <w:tc>
          <w:tcPr>
            <w:tcW w:w="500" w:type="dxa"/>
            <w:vAlign w:val="bottom"/>
            <w:gridSpan w:val="4"/>
          </w:tcPr>
          <w:p>
            <w:pPr>
              <w:jc w:val="right"/>
              <w:ind w:right="20"/>
              <w:spacing w:after="0" w:line="186" w:lineRule="exact"/>
              <w:rPr>
                <w:rFonts w:ascii="Arial" w:cs="Arial" w:eastAsia="Arial" w:hAnsi="Arial"/>
                <w:sz w:val="17"/>
                <w:szCs w:val="17"/>
                <w:color w:val="0000FF"/>
              </w:rPr>
            </w:pPr>
            <w:hyperlink w:anchor="page52">
              <w:r>
                <w:rPr>
                  <w:rFonts w:ascii="Arial" w:cs="Arial" w:eastAsia="Arial" w:hAnsi="Arial"/>
                  <w:sz w:val="17"/>
                  <w:szCs w:val="17"/>
                  <w:color w:val="0000FF"/>
                </w:rPr>
                <w:t>53</w:t>
              </w:r>
            </w:hyperlink>
          </w:p>
        </w:tc>
      </w:tr>
      <w:tr>
        <w:trPr>
          <w:trHeight w:val="42"/>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7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340" w:type="dxa"/>
            <w:vAlign w:val="bottom"/>
            <w:tcBorders>
              <w:bottom w:val="single" w:sz="8" w:color="0000FF"/>
            </w:tcBorders>
            <w:gridSpan w:val="9"/>
            <w:shd w:val="clear" w:color="auto" w:fill="CCEEFF"/>
          </w:tcPr>
          <w:p>
            <w:pPr>
              <w:spacing w:after="0" w:line="186" w:lineRule="exact"/>
              <w:rPr>
                <w:rFonts w:ascii="Arial" w:cs="Arial" w:eastAsia="Arial" w:hAnsi="Arial"/>
                <w:sz w:val="17"/>
                <w:szCs w:val="17"/>
                <w:color w:val="0000FF"/>
                <w:w w:val="86"/>
              </w:rPr>
            </w:pPr>
            <w:hyperlink w:anchor="page54">
              <w:r>
                <w:rPr>
                  <w:rFonts w:ascii="Arial" w:cs="Arial" w:eastAsia="Arial" w:hAnsi="Arial"/>
                  <w:sz w:val="17"/>
                  <w:szCs w:val="17"/>
                  <w:color w:val="0000FF"/>
                  <w:w w:val="86"/>
                </w:rPr>
                <w:t>Consolidated Statements of Cash Flows for the years ended December 31, 2012, 2011 and 2010</w:t>
              </w:r>
            </w:hyperlink>
          </w:p>
        </w:tc>
        <w:tc>
          <w:tcPr>
            <w:tcW w:w="106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jc w:val="right"/>
              <w:spacing w:after="0" w:line="186" w:lineRule="exact"/>
              <w:rPr>
                <w:rFonts w:ascii="Arial" w:cs="Arial" w:eastAsia="Arial" w:hAnsi="Arial"/>
                <w:sz w:val="17"/>
                <w:szCs w:val="17"/>
                <w:color w:val="0000FF"/>
                <w:w w:val="84"/>
              </w:rPr>
            </w:pPr>
            <w:hyperlink w:anchor="page54">
              <w:r>
                <w:rPr>
                  <w:rFonts w:ascii="Arial" w:cs="Arial" w:eastAsia="Arial" w:hAnsi="Arial"/>
                  <w:sz w:val="17"/>
                  <w:szCs w:val="17"/>
                  <w:color w:val="0000FF"/>
                  <w:w w:val="84"/>
                </w:rPr>
                <w:t>55</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gridSpan w:val="12"/>
          </w:tcPr>
          <w:p>
            <w:pPr>
              <w:spacing w:after="0" w:line="186" w:lineRule="exact"/>
              <w:rPr>
                <w:rFonts w:ascii="Arial" w:cs="Arial" w:eastAsia="Arial" w:hAnsi="Arial"/>
                <w:sz w:val="17"/>
                <w:szCs w:val="17"/>
                <w:color w:val="0000FF"/>
              </w:rPr>
            </w:pPr>
            <w:hyperlink w:anchor="page56">
              <w:r>
                <w:rPr>
                  <w:rFonts w:ascii="Arial" w:cs="Arial" w:eastAsia="Arial" w:hAnsi="Arial"/>
                  <w:sz w:val="17"/>
                  <w:szCs w:val="17"/>
                  <w:color w:val="0000FF"/>
                </w:rPr>
                <w:t>Notes to Consolidated Financial Statements</w:t>
              </w:r>
            </w:hyperlink>
          </w:p>
        </w:tc>
        <w:tc>
          <w:tcPr>
            <w:tcW w:w="500" w:type="dxa"/>
            <w:vAlign w:val="bottom"/>
            <w:gridSpan w:val="4"/>
          </w:tcPr>
          <w:p>
            <w:pPr>
              <w:jc w:val="right"/>
              <w:ind w:right="20"/>
              <w:spacing w:after="0" w:line="186" w:lineRule="exact"/>
              <w:rPr>
                <w:rFonts w:ascii="Arial" w:cs="Arial" w:eastAsia="Arial" w:hAnsi="Arial"/>
                <w:sz w:val="17"/>
                <w:szCs w:val="17"/>
                <w:color w:val="0000FF"/>
              </w:rPr>
            </w:pPr>
            <w:hyperlink w:anchor="page56">
              <w:r>
                <w:rPr>
                  <w:rFonts w:ascii="Arial" w:cs="Arial" w:eastAsia="Arial" w:hAnsi="Arial"/>
                  <w:sz w:val="17"/>
                  <w:szCs w:val="17"/>
                  <w:color w:val="0000FF"/>
                </w:rPr>
                <w:t>56</w:t>
              </w:r>
            </w:hyperlink>
          </w:p>
        </w:tc>
      </w:tr>
      <w:tr>
        <w:trPr>
          <w:trHeight w:val="42"/>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76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7640" w:type="dxa"/>
            <w:vAlign w:val="bottom"/>
            <w:tcBorders>
              <w:bottom w:val="single" w:sz="8" w:color="CCEEFF"/>
            </w:tcBorders>
            <w:gridSpan w:val="14"/>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Financial Statement Schedules:</w:t>
            </w:r>
          </w:p>
        </w:tc>
        <w:tc>
          <w:tcPr>
            <w:tcW w:w="3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jc w:val="right"/>
              <w:spacing w:after="0" w:line="186" w:lineRule="exact"/>
              <w:rPr>
                <w:rFonts w:ascii="Arial" w:cs="Arial" w:eastAsia="Arial" w:hAnsi="Arial"/>
                <w:sz w:val="17"/>
                <w:szCs w:val="17"/>
                <w:color w:val="0000FF"/>
                <w:w w:val="84"/>
              </w:rPr>
            </w:pPr>
            <w:hyperlink w:anchor="page54">
              <w:r>
                <w:rPr>
                  <w:rFonts w:ascii="Arial" w:cs="Arial" w:eastAsia="Arial" w:hAnsi="Arial"/>
                  <w:sz w:val="17"/>
                  <w:szCs w:val="17"/>
                  <w:color w:val="0000FF"/>
                  <w:w w:val="84"/>
                </w:rPr>
                <w:t>55</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gridSpan w:val="12"/>
          </w:tcPr>
          <w:p>
            <w:pPr>
              <w:spacing w:after="0" w:line="186" w:lineRule="exact"/>
              <w:rPr>
                <w:rFonts w:ascii="Arial" w:cs="Arial" w:eastAsia="Arial" w:hAnsi="Arial"/>
                <w:sz w:val="17"/>
                <w:szCs w:val="17"/>
                <w:color w:val="0000FF"/>
              </w:rPr>
            </w:pPr>
            <w:hyperlink w:anchor="page100">
              <w:r>
                <w:rPr>
                  <w:rFonts w:ascii="Arial" w:cs="Arial" w:eastAsia="Arial" w:hAnsi="Arial"/>
                  <w:sz w:val="17"/>
                  <w:szCs w:val="17"/>
                  <w:color w:val="0000FF"/>
                </w:rPr>
                <w:t>Schedule II—Valuation and Qualifying Accounts and Reserves</w:t>
              </w:r>
            </w:hyperlink>
          </w:p>
        </w:tc>
        <w:tc>
          <w:tcPr>
            <w:tcW w:w="500" w:type="dxa"/>
            <w:vAlign w:val="bottom"/>
            <w:gridSpan w:val="4"/>
          </w:tcPr>
          <w:p>
            <w:pPr>
              <w:jc w:val="right"/>
              <w:ind w:right="20"/>
              <w:spacing w:after="0" w:line="186" w:lineRule="exact"/>
              <w:rPr>
                <w:rFonts w:ascii="Arial" w:cs="Arial" w:eastAsia="Arial" w:hAnsi="Arial"/>
                <w:sz w:val="17"/>
                <w:szCs w:val="17"/>
                <w:color w:val="0000FF"/>
              </w:rPr>
            </w:pPr>
            <w:hyperlink w:anchor="page100">
              <w:r>
                <w:rPr>
                  <w:rFonts w:ascii="Arial" w:cs="Arial" w:eastAsia="Arial" w:hAnsi="Arial"/>
                  <w:sz w:val="17"/>
                  <w:szCs w:val="17"/>
                  <w:color w:val="0000FF"/>
                </w:rPr>
                <w:t>99</w:t>
              </w:r>
            </w:hyperlink>
          </w:p>
        </w:tc>
      </w:tr>
      <w:tr>
        <w:trPr>
          <w:trHeight w:val="42"/>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7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0000FF"/>
            </w:tcBorders>
            <w:gridSpan w:val="4"/>
            <w:shd w:val="clear" w:color="auto" w:fill="CCEEFF"/>
          </w:tcPr>
          <w:p>
            <w:pPr>
              <w:spacing w:after="0" w:line="186" w:lineRule="exact"/>
              <w:rPr>
                <w:rFonts w:ascii="Arial" w:cs="Arial" w:eastAsia="Arial" w:hAnsi="Arial"/>
                <w:sz w:val="17"/>
                <w:szCs w:val="17"/>
                <w:color w:val="0000FF"/>
                <w:w w:val="88"/>
              </w:rPr>
            </w:pPr>
            <w:hyperlink w:anchor="page101">
              <w:r>
                <w:rPr>
                  <w:rFonts w:ascii="Arial" w:cs="Arial" w:eastAsia="Arial" w:hAnsi="Arial"/>
                  <w:sz w:val="17"/>
                  <w:szCs w:val="17"/>
                  <w:color w:val="0000FF"/>
                  <w:w w:val="88"/>
                </w:rPr>
                <w:t>Schedule III—Real Estate and Accumulated Depreciation</w:t>
              </w:r>
            </w:hyperlink>
          </w:p>
        </w:tc>
        <w:tc>
          <w:tcPr>
            <w:tcW w:w="3580" w:type="dxa"/>
            <w:vAlign w:val="bottom"/>
            <w:tcBorders>
              <w:bottom w:val="single" w:sz="8" w:color="CCEEFF"/>
            </w:tcBorders>
            <w:gridSpan w:val="8"/>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FF"/>
            </w:tcBorders>
            <w:gridSpan w:val="2"/>
            <w:shd w:val="clear" w:color="auto" w:fill="CCEEFF"/>
          </w:tcPr>
          <w:p>
            <w:pPr>
              <w:jc w:val="right"/>
              <w:spacing w:after="0" w:line="186" w:lineRule="exact"/>
              <w:rPr>
                <w:rFonts w:ascii="Arial" w:cs="Arial" w:eastAsia="Arial" w:hAnsi="Arial"/>
                <w:sz w:val="17"/>
                <w:szCs w:val="17"/>
                <w:color w:val="0000FF"/>
                <w:w w:val="84"/>
              </w:rPr>
            </w:pPr>
            <w:hyperlink w:anchor="page101">
              <w:r>
                <w:rPr>
                  <w:rFonts w:ascii="Arial" w:cs="Arial" w:eastAsia="Arial" w:hAnsi="Arial"/>
                  <w:sz w:val="17"/>
                  <w:szCs w:val="17"/>
                  <w:color w:val="0000FF"/>
                  <w:w w:val="84"/>
                </w:rPr>
                <w:t>101</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gridSpan w:val="12"/>
          </w:tcPr>
          <w:p>
            <w:pPr>
              <w:spacing w:after="0" w:line="186" w:lineRule="exact"/>
              <w:rPr>
                <w:rFonts w:ascii="Arial" w:cs="Arial" w:eastAsia="Arial" w:hAnsi="Arial"/>
                <w:sz w:val="17"/>
                <w:szCs w:val="17"/>
                <w:color w:val="0000FF"/>
              </w:rPr>
            </w:pPr>
            <w:hyperlink w:anchor="page112">
              <w:r>
                <w:rPr>
                  <w:rFonts w:ascii="Arial" w:cs="Arial" w:eastAsia="Arial" w:hAnsi="Arial"/>
                  <w:sz w:val="17"/>
                  <w:szCs w:val="17"/>
                  <w:color w:val="0000FF"/>
                </w:rPr>
                <w:t>Schedule IV—Mortgage Loans on Real Estate</w:t>
              </w:r>
            </w:hyperlink>
          </w:p>
        </w:tc>
        <w:tc>
          <w:tcPr>
            <w:tcW w:w="500" w:type="dxa"/>
            <w:vAlign w:val="bottom"/>
            <w:gridSpan w:val="4"/>
          </w:tcPr>
          <w:p>
            <w:pPr>
              <w:jc w:val="right"/>
              <w:ind w:right="20"/>
              <w:spacing w:after="0" w:line="186" w:lineRule="exact"/>
              <w:rPr>
                <w:rFonts w:ascii="Arial" w:cs="Arial" w:eastAsia="Arial" w:hAnsi="Arial"/>
                <w:sz w:val="17"/>
                <w:szCs w:val="17"/>
                <w:color w:val="0000FF"/>
              </w:rPr>
            </w:pPr>
            <w:hyperlink w:anchor="page112">
              <w:r>
                <w:rPr>
                  <w:rFonts w:ascii="Arial" w:cs="Arial" w:eastAsia="Arial" w:hAnsi="Arial"/>
                  <w:sz w:val="17"/>
                  <w:szCs w:val="17"/>
                  <w:color w:val="0000FF"/>
                </w:rPr>
                <w:t>111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38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219"/>
          </w:cols>
          <w:pgMar w:left="240" w:top="120" w:right="1440" w:bottom="1440" w:gutter="0" w:footer="0" w:header="0"/>
        </w:sectPr>
      </w:pPr>
    </w:p>
    <w:bookmarkStart w:id="48" w:name="page49"/>
    <w:bookmarkEnd w:id="48"/>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iStar Financial Inc.:</w:t>
      </w:r>
    </w:p>
    <w:p>
      <w:pPr>
        <w:spacing w:after="0" w:line="127" w:lineRule="exact"/>
        <w:rPr>
          <w:sz w:val="20"/>
          <w:szCs w:val="20"/>
          <w:color w:val="auto"/>
        </w:rPr>
      </w:pPr>
    </w:p>
    <w:p>
      <w:pPr>
        <w:jc w:val="both"/>
        <w:ind w:firstLine="372"/>
        <w:spacing w:after="0" w:line="300" w:lineRule="auto"/>
        <w:rPr>
          <w:sz w:val="20"/>
          <w:szCs w:val="20"/>
          <w:color w:val="auto"/>
        </w:rPr>
      </w:pPr>
      <w:r>
        <w:rPr>
          <w:rFonts w:ascii="Arial" w:cs="Arial" w:eastAsia="Arial" w:hAnsi="Arial"/>
          <w:sz w:val="14"/>
          <w:szCs w:val="14"/>
          <w:color w:val="auto"/>
        </w:rPr>
        <w:t xml:space="preserve">In our opinion, the consolidated financial statements listed in the accompanying index present fairly, in all material respects, the financial position of iStar Financial Inc. and its subsidiaries (collectively, the ''Company'') at December 31, 2012 and 2011, and the results of their operations and their cash flows for each of the three years in the period ended December 31, 2012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2012,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54" w:lineRule="exact"/>
        <w:rPr>
          <w:sz w:val="20"/>
          <w:szCs w:val="20"/>
          <w:color w:val="auto"/>
        </w:rPr>
      </w:pPr>
    </w:p>
    <w:p>
      <w:pPr>
        <w:jc w:val="both"/>
        <w:ind w:firstLine="372"/>
        <w:spacing w:after="0" w:line="26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March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20" w:right="2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Consolidated Balance Sheets</w:t>
      </w:r>
    </w:p>
    <w:p>
      <w:pPr>
        <w:spacing w:after="0" w:line="102"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26"/>
        </w:trPr>
        <w:tc>
          <w:tcPr>
            <w:tcW w:w="8360" w:type="dxa"/>
            <w:vAlign w:val="bottom"/>
            <w:tcBorders>
              <w:bottom w:val="single" w:sz="8" w:color="CCEEFF"/>
            </w:tcBorders>
            <w:shd w:val="clear" w:color="auto" w:fill="CCEEFF"/>
          </w:tcPr>
          <w:p>
            <w:pPr>
              <w:ind w:left="3860"/>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Real estate, at cost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3,226,648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3,344,672</w:t>
            </w:r>
          </w:p>
        </w:tc>
        <w:tc>
          <w:tcPr>
            <w:tcW w:w="0" w:type="dxa"/>
            <w:vAlign w:val="bottom"/>
          </w:tcPr>
          <w:p>
            <w:pPr>
              <w:spacing w:after="0"/>
              <w:rPr>
                <w:sz w:val="1"/>
                <w:szCs w:val="1"/>
                <w:color w:val="auto"/>
              </w:rPr>
            </w:pPr>
          </w:p>
        </w:tc>
      </w:tr>
      <w:tr>
        <w:trPr>
          <w:trHeight w:val="222"/>
        </w:trPr>
        <w:tc>
          <w:tcPr>
            <w:tcW w:w="8360" w:type="dxa"/>
            <w:vAlign w:val="bottom"/>
          </w:tcPr>
          <w:p>
            <w:pPr>
              <w:ind w:left="140"/>
              <w:spacing w:after="0"/>
              <w:rPr>
                <w:sz w:val="20"/>
                <w:szCs w:val="20"/>
                <w:color w:val="auto"/>
              </w:rPr>
            </w:pPr>
            <w:r>
              <w:rPr>
                <w:rFonts w:ascii="Arial" w:cs="Arial" w:eastAsia="Arial" w:hAnsi="Arial"/>
                <w:sz w:val="17"/>
                <w:szCs w:val="17"/>
                <w:color w:val="auto"/>
              </w:rPr>
              <w:t>Less: accumulated depreciation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(427,625)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(396,761)</w:t>
            </w:r>
          </w:p>
        </w:tc>
        <w:tc>
          <w:tcPr>
            <w:tcW w:w="0" w:type="dxa"/>
            <w:vAlign w:val="bottom"/>
          </w:tcPr>
          <w:p>
            <w:pPr>
              <w:spacing w:after="0"/>
              <w:rPr>
                <w:sz w:val="1"/>
                <w:szCs w:val="1"/>
                <w:color w:val="auto"/>
              </w:rPr>
            </w:pPr>
          </w:p>
        </w:tc>
      </w:tr>
      <w:tr>
        <w:trPr>
          <w:trHeight w:val="26"/>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Real estate, net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2,799,023</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2,947,911</w:t>
            </w:r>
          </w:p>
        </w:tc>
        <w:tc>
          <w:tcPr>
            <w:tcW w:w="0" w:type="dxa"/>
            <w:vAlign w:val="bottom"/>
          </w:tcPr>
          <w:p>
            <w:pPr>
              <w:spacing w:after="0"/>
              <w:rPr>
                <w:sz w:val="1"/>
                <w:szCs w:val="1"/>
                <w:color w:val="auto"/>
              </w:rPr>
            </w:pPr>
          </w:p>
        </w:tc>
      </w:tr>
      <w:tr>
        <w:trPr>
          <w:trHeight w:val="222"/>
        </w:trPr>
        <w:tc>
          <w:tcPr>
            <w:tcW w:w="8360" w:type="dxa"/>
            <w:vAlign w:val="bottom"/>
          </w:tcPr>
          <w:p>
            <w:pPr>
              <w:ind w:left="140"/>
              <w:spacing w:after="0"/>
              <w:rPr>
                <w:sz w:val="20"/>
                <w:szCs w:val="20"/>
                <w:color w:val="auto"/>
              </w:rPr>
            </w:pPr>
            <w:r>
              <w:rPr>
                <w:rFonts w:ascii="Arial" w:cs="Arial" w:eastAsia="Arial" w:hAnsi="Arial"/>
                <w:sz w:val="17"/>
                <w:szCs w:val="17"/>
                <w:color w:val="auto"/>
              </w:rPr>
              <w:t>Real estate available and held for sale</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635,865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677,458</w:t>
            </w:r>
          </w:p>
        </w:tc>
        <w:tc>
          <w:tcPr>
            <w:tcW w:w="0" w:type="dxa"/>
            <w:vAlign w:val="bottom"/>
          </w:tcPr>
          <w:p>
            <w:pPr>
              <w:spacing w:after="0"/>
              <w:rPr>
                <w:sz w:val="1"/>
                <w:szCs w:val="1"/>
                <w:color w:val="auto"/>
              </w:rPr>
            </w:pPr>
          </w:p>
        </w:tc>
      </w:tr>
      <w:tr>
        <w:trPr>
          <w:trHeight w:val="26"/>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3,434,888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3,625,369</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Loans receivable, net</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1,829,985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2,860,762</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investments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398,843</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457,835</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256,344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356,826</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36,778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32,630</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Accrued interest and operating lease income receivable, net</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15,226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20,208</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operating lease income receivable</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84,735</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73,368</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Deferred expenses and other assets, net</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93,990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90,839</w:t>
            </w:r>
          </w:p>
        </w:tc>
        <w:tc>
          <w:tcPr>
            <w:tcW w:w="0" w:type="dxa"/>
            <w:vAlign w:val="bottom"/>
          </w:tcPr>
          <w:p>
            <w:pPr>
              <w:spacing w:after="0"/>
              <w:rPr>
                <w:sz w:val="1"/>
                <w:szCs w:val="1"/>
                <w:color w:val="auto"/>
              </w:rPr>
            </w:pPr>
          </w:p>
        </w:tc>
      </w:tr>
      <w:tr>
        <w:trPr>
          <w:trHeight w:val="26"/>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6,150,789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7,517,837</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120"/>
              <w:spacing w:after="0"/>
              <w:rPr>
                <w:sz w:val="20"/>
                <w:szCs w:val="20"/>
                <w:color w:val="auto"/>
              </w:rPr>
            </w:pPr>
            <w:r>
              <w:rPr>
                <w:rFonts w:ascii="Arial" w:cs="Arial" w:eastAsia="Arial" w:hAnsi="Arial"/>
                <w:sz w:val="17"/>
                <w:szCs w:val="17"/>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Accounts payable, accrued expenses and other liabilities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132,460</w:t>
            </w:r>
          </w:p>
        </w:tc>
        <w:tc>
          <w:tcPr>
            <w:tcW w:w="120" w:type="dxa"/>
            <w:vAlign w:val="bottom"/>
          </w:tcPr>
          <w:p>
            <w:pPr>
              <w:spacing w:after="0"/>
              <w:rPr>
                <w:sz w:val="19"/>
                <w:szCs w:val="19"/>
                <w:color w:val="auto"/>
              </w:rPr>
            </w:pPr>
          </w:p>
        </w:tc>
        <w:tc>
          <w:tcPr>
            <w:tcW w:w="540" w:type="dxa"/>
            <w:vAlign w:val="bottom"/>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105,357</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obligations,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4,691,494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5,837,540</w:t>
            </w:r>
          </w:p>
        </w:tc>
        <w:tc>
          <w:tcPr>
            <w:tcW w:w="0" w:type="dxa"/>
            <w:vAlign w:val="bottom"/>
          </w:tcPr>
          <w:p>
            <w:pPr>
              <w:spacing w:after="0"/>
              <w:rPr>
                <w:sz w:val="1"/>
                <w:szCs w:val="1"/>
                <w:color w:val="auto"/>
              </w:rPr>
            </w:pPr>
          </w:p>
        </w:tc>
      </w:tr>
      <w:tr>
        <w:trPr>
          <w:trHeight w:val="214"/>
        </w:trPr>
        <w:tc>
          <w:tcPr>
            <w:tcW w:w="8360" w:type="dxa"/>
            <w:vAlign w:val="bottom"/>
          </w:tcPr>
          <w:p>
            <w:pPr>
              <w:ind w:left="140"/>
              <w:spacing w:after="0"/>
              <w:rPr>
                <w:sz w:val="20"/>
                <w:szCs w:val="20"/>
                <w:color w:val="auto"/>
              </w:rPr>
            </w:pPr>
            <w:r>
              <w:rPr>
                <w:rFonts w:ascii="Arial" w:cs="Arial" w:eastAsia="Arial" w:hAnsi="Arial"/>
                <w:sz w:val="17"/>
                <w:szCs w:val="17"/>
                <w:color w:val="auto"/>
              </w:rPr>
              <w:t>Total liabilities</w:t>
            </w: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4,823,954</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5,942,897</w:t>
            </w:r>
          </w:p>
        </w:tc>
        <w:tc>
          <w:tcPr>
            <w:tcW w:w="0" w:type="dxa"/>
            <w:vAlign w:val="bottom"/>
          </w:tcPr>
          <w:p>
            <w:pPr>
              <w:spacing w:after="0"/>
              <w:rPr>
                <w:sz w:val="1"/>
                <w:szCs w:val="1"/>
                <w:color w:val="auto"/>
              </w:rPr>
            </w:pPr>
          </w:p>
        </w:tc>
      </w:tr>
      <w:tr>
        <w:trPr>
          <w:trHeight w:val="26"/>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Redeemable noncontrolling interests</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13,681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iStar Financial Inc. shareholders' equity:</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Preferred Stock Series D, E, F, G and I, liquidation preference $25.00 per share (see Note 11)</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High Performance Units</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9,800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9,800</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Common Stock, $0.001 par value, 200,000 shares authorized, 142,699 issued and 83,782 outstanding at December 31, 2012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and 140,028 issued and 81,920 outstanding at December 31, 2011</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3,832,780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3,834,460</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Retained earnings (deficit)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(2,360,647)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(2,078,397)</w:t>
            </w:r>
          </w:p>
        </w:tc>
        <w:tc>
          <w:tcPr>
            <w:tcW w:w="0" w:type="dxa"/>
            <w:vAlign w:val="bottom"/>
          </w:tcPr>
          <w:p>
            <w:pPr>
              <w:spacing w:after="0"/>
              <w:rPr>
                <w:sz w:val="1"/>
                <w:szCs w:val="1"/>
                <w:color w:val="auto"/>
              </w:rPr>
            </w:pPr>
          </w:p>
        </w:tc>
      </w:tr>
      <w:tr>
        <w:trPr>
          <w:trHeight w:val="222"/>
        </w:trPr>
        <w:tc>
          <w:tcPr>
            <w:tcW w:w="836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 (see Note 11)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Treasury stock, at cost, $0.001 par value, 58,917 shares at December 31, 2012 and 58,108 shares at December 31, 2011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(241,969)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(237,341)</w:t>
            </w:r>
          </w:p>
        </w:tc>
        <w:tc>
          <w:tcPr>
            <w:tcW w:w="0" w:type="dxa"/>
            <w:vAlign w:val="bottom"/>
          </w:tcPr>
          <w:p>
            <w:pPr>
              <w:spacing w:after="0"/>
              <w:rPr>
                <w:sz w:val="1"/>
                <w:szCs w:val="1"/>
                <w:color w:val="auto"/>
              </w:rPr>
            </w:pPr>
          </w:p>
        </w:tc>
      </w:tr>
      <w:tr>
        <w:trPr>
          <w:trHeight w:val="214"/>
        </w:trPr>
        <w:tc>
          <w:tcPr>
            <w:tcW w:w="8360" w:type="dxa"/>
            <w:vAlign w:val="bottom"/>
          </w:tcPr>
          <w:p>
            <w:pPr>
              <w:ind w:left="140"/>
              <w:spacing w:after="0"/>
              <w:rPr>
                <w:sz w:val="20"/>
                <w:szCs w:val="20"/>
                <w:color w:val="auto"/>
              </w:rPr>
            </w:pPr>
            <w:r>
              <w:rPr>
                <w:rFonts w:ascii="Arial" w:cs="Arial" w:eastAsia="Arial" w:hAnsi="Arial"/>
                <w:sz w:val="17"/>
                <w:szCs w:val="17"/>
                <w:color w:val="auto"/>
              </w:rPr>
              <w:t>Total iStar Financial Inc. shareholders' equity</w:t>
            </w: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1,238,944</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1,528,356</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74,210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45,248</w:t>
            </w:r>
          </w:p>
        </w:tc>
        <w:tc>
          <w:tcPr>
            <w:tcW w:w="0" w:type="dxa"/>
            <w:vAlign w:val="bottom"/>
          </w:tcPr>
          <w:p>
            <w:pPr>
              <w:spacing w:after="0"/>
              <w:rPr>
                <w:sz w:val="1"/>
                <w:szCs w:val="1"/>
                <w:color w:val="auto"/>
              </w:rPr>
            </w:pPr>
          </w:p>
        </w:tc>
      </w:tr>
      <w:tr>
        <w:trPr>
          <w:trHeight w:val="214"/>
        </w:trPr>
        <w:tc>
          <w:tcPr>
            <w:tcW w:w="8360" w:type="dxa"/>
            <w:vAlign w:val="bottom"/>
          </w:tcPr>
          <w:p>
            <w:pPr>
              <w:ind w:left="140"/>
              <w:spacing w:after="0"/>
              <w:rPr>
                <w:sz w:val="20"/>
                <w:szCs w:val="20"/>
                <w:color w:val="auto"/>
              </w:rPr>
            </w:pPr>
            <w:r>
              <w:rPr>
                <w:rFonts w:ascii="Arial" w:cs="Arial" w:eastAsia="Arial" w:hAnsi="Arial"/>
                <w:sz w:val="17"/>
                <w:szCs w:val="17"/>
                <w:color w:val="auto"/>
              </w:rPr>
              <w:t>Total equity</w:t>
            </w: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1,313,154</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1,573,604</w:t>
            </w:r>
          </w:p>
        </w:tc>
        <w:tc>
          <w:tcPr>
            <w:tcW w:w="0" w:type="dxa"/>
            <w:vAlign w:val="bottom"/>
          </w:tcPr>
          <w:p>
            <w:pPr>
              <w:spacing w:after="0"/>
              <w:rPr>
                <w:sz w:val="1"/>
                <w:szCs w:val="1"/>
                <w:color w:val="auto"/>
              </w:rPr>
            </w:pPr>
          </w:p>
        </w:tc>
      </w:tr>
      <w:tr>
        <w:trPr>
          <w:trHeight w:val="26"/>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equity</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6,150,789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7,517,837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0" w:right="239" w:bottom="1440" w:gutter="0" w:footer="0" w:header="0"/>
        </w:sectPr>
      </w:pPr>
    </w:p>
    <w:bookmarkStart w:id="50" w:name="page51"/>
    <w:bookmarkEnd w:id="50"/>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355" w:lineRule="exact"/>
        <w:rPr>
          <w:sz w:val="20"/>
          <w:szCs w:val="20"/>
          <w:color w:val="auto"/>
        </w:rPr>
      </w:pPr>
    </w:p>
    <w:tbl>
      <w:tblPr>
        <w:tblLayout w:type="fixed"/>
        <w:tblInd w:w="1" w:type="dxa"/>
        <w:tblCellMar>
          <w:top w:w="0" w:type="dxa"/>
          <w:left w:w="0" w:type="dxa"/>
          <w:bottom w:w="0" w:type="dxa"/>
          <w:right w:w="0" w:type="dxa"/>
        </w:tblCellMar>
      </w:tblPr>
      <w:tr>
        <w:trPr>
          <w:trHeight w:val="193"/>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6"/>
          </w:tcPr>
          <w:p>
            <w:pPr>
              <w:jc w:val="right"/>
              <w:ind w:right="66"/>
              <w:spacing w:after="0"/>
              <w:rPr>
                <w:sz w:val="20"/>
                <w:szCs w:val="20"/>
                <w:color w:val="auto"/>
              </w:rPr>
            </w:pPr>
            <w:r>
              <w:rPr>
                <w:rFonts w:ascii="Arial" w:cs="Arial" w:eastAsia="Arial" w:hAnsi="Arial"/>
                <w:sz w:val="15"/>
                <w:szCs w:val="15"/>
                <w:b w:val="1"/>
                <w:bCs w:val="1"/>
                <w:color w:val="auto"/>
              </w:rPr>
              <w:t>For the 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26"/>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6"/>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46"/>
              <w:spacing w:after="0"/>
              <w:rPr>
                <w:sz w:val="20"/>
                <w:szCs w:val="20"/>
                <w:color w:val="auto"/>
              </w:rPr>
            </w:pPr>
            <w:r>
              <w:rPr>
                <w:rFonts w:ascii="Arial" w:cs="Arial" w:eastAsia="Arial" w:hAnsi="Arial"/>
                <w:sz w:val="15"/>
                <w:szCs w:val="15"/>
                <w:b w:val="1"/>
                <w:bCs w:val="1"/>
                <w:color w:val="auto"/>
              </w:rPr>
              <w:t>2010</w:t>
            </w:r>
          </w:p>
        </w:tc>
        <w:tc>
          <w:tcPr>
            <w:tcW w:w="0" w:type="dxa"/>
            <w:vAlign w:val="bottom"/>
          </w:tcPr>
          <w:p>
            <w:pPr>
              <w:spacing w:after="0"/>
              <w:rPr>
                <w:sz w:val="1"/>
                <w:szCs w:val="1"/>
                <w:color w:val="auto"/>
              </w:rPr>
            </w:pPr>
          </w:p>
        </w:tc>
      </w:tr>
      <w:tr>
        <w:trPr>
          <w:trHeight w:val="30"/>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Operating lease income</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219,019</w:t>
            </w:r>
          </w:p>
        </w:tc>
        <w:tc>
          <w:tcPr>
            <w:tcW w:w="100" w:type="dxa"/>
            <w:vAlign w:val="bottom"/>
          </w:tcPr>
          <w:p>
            <w:pPr>
              <w:spacing w:after="0"/>
              <w:rPr>
                <w:sz w:val="18"/>
                <w:szCs w:val="18"/>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198,478</w:t>
            </w:r>
          </w:p>
        </w:tc>
        <w:tc>
          <w:tcPr>
            <w:tcW w:w="100" w:type="dxa"/>
            <w:vAlign w:val="bottom"/>
          </w:tcPr>
          <w:p>
            <w:pPr>
              <w:spacing w:after="0"/>
              <w:rPr>
                <w:sz w:val="18"/>
                <w:szCs w:val="18"/>
                <w:color w:val="auto"/>
              </w:rPr>
            </w:pPr>
          </w:p>
        </w:tc>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186,630</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133,410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226,871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364,094</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Other income</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48,043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39,720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50,733</w:t>
            </w:r>
          </w:p>
        </w:tc>
        <w:tc>
          <w:tcPr>
            <w:tcW w:w="0" w:type="dxa"/>
            <w:vAlign w:val="bottom"/>
          </w:tcPr>
          <w:p>
            <w:pPr>
              <w:spacing w:after="0"/>
              <w:rPr>
                <w:sz w:val="1"/>
                <w:szCs w:val="1"/>
                <w:color w:val="auto"/>
              </w:rPr>
            </w:pPr>
          </w:p>
        </w:tc>
      </w:tr>
      <w:tr>
        <w:trPr>
          <w:trHeight w:val="30"/>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400,472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465,069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601,457</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5"/>
                <w:szCs w:val="15"/>
                <w:b w:val="1"/>
                <w:bCs w:val="1"/>
                <w:color w:val="auto"/>
              </w:rPr>
              <w:t>Costs and expenses: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355,097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342,186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313,766</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Real estate expense</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151,827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138,943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121,399</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69,350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58,662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57,220</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80,856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105,039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109,526</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loan losses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81,740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46,412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331,487</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Impairment of assets</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13,778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13,239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12,809</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17,266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16,055</w:t>
            </w:r>
          </w:p>
        </w:tc>
        <w:tc>
          <w:tcPr>
            <w:tcW w:w="0" w:type="dxa"/>
            <w:vAlign w:val="bottom"/>
          </w:tcPr>
          <w:p>
            <w:pPr>
              <w:spacing w:after="0"/>
              <w:rPr>
                <w:sz w:val="1"/>
                <w:szCs w:val="1"/>
                <w:color w:val="auto"/>
              </w:rPr>
            </w:pPr>
          </w:p>
        </w:tc>
      </w:tr>
      <w:tr>
        <w:trPr>
          <w:trHeight w:val="198"/>
        </w:trPr>
        <w:tc>
          <w:tcPr>
            <w:tcW w:w="6980" w:type="dxa"/>
            <w:vAlign w:val="bottom"/>
          </w:tcPr>
          <w:p>
            <w:pPr>
              <w:ind w:left="240"/>
              <w:spacing w:after="0"/>
              <w:rPr>
                <w:sz w:val="20"/>
                <w:szCs w:val="20"/>
                <w:color w:val="auto"/>
              </w:rPr>
            </w:pPr>
            <w:r>
              <w:rPr>
                <w:rFonts w:ascii="Arial" w:cs="Arial" w:eastAsia="Arial" w:hAnsi="Arial"/>
                <w:sz w:val="15"/>
                <w:szCs w:val="15"/>
                <w:color w:val="auto"/>
              </w:rPr>
              <w:t>Total costs and expenses</w:t>
            </w: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769,914</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715,551</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962,262</w:t>
            </w:r>
          </w:p>
        </w:tc>
        <w:tc>
          <w:tcPr>
            <w:tcW w:w="0" w:type="dxa"/>
            <w:vAlign w:val="bottom"/>
          </w:tcPr>
          <w:p>
            <w:pPr>
              <w:spacing w:after="0"/>
              <w:rPr>
                <w:sz w:val="1"/>
                <w:szCs w:val="1"/>
                <w:color w:val="auto"/>
              </w:rPr>
            </w:pPr>
          </w:p>
        </w:tc>
      </w:tr>
      <w:tr>
        <w:trPr>
          <w:trHeight w:val="30"/>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before earnings from equity method investments and other items</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(369,442)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(250,482)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(360,805)</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Gain (loss) on early extinguishment of debt,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(37,816)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101,466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108,923</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Earnings from equity method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103,009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95,091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51,908</w:t>
            </w:r>
          </w:p>
        </w:tc>
        <w:tc>
          <w:tcPr>
            <w:tcW w:w="0" w:type="dxa"/>
            <w:vAlign w:val="bottom"/>
          </w:tcPr>
          <w:p>
            <w:pPr>
              <w:spacing w:after="0"/>
              <w:rPr>
                <w:sz w:val="1"/>
                <w:szCs w:val="1"/>
                <w:color w:val="auto"/>
              </w:rPr>
            </w:pPr>
          </w:p>
        </w:tc>
      </w:tr>
      <w:tr>
        <w:trPr>
          <w:trHeight w:val="198"/>
        </w:trPr>
        <w:tc>
          <w:tcPr>
            <w:tcW w:w="6980" w:type="dxa"/>
            <w:vAlign w:val="bottom"/>
          </w:tcPr>
          <w:p>
            <w:pPr>
              <w:ind w:left="20"/>
              <w:spacing w:after="0"/>
              <w:rPr>
                <w:sz w:val="20"/>
                <w:szCs w:val="20"/>
                <w:color w:val="auto"/>
              </w:rPr>
            </w:pPr>
            <w:r>
              <w:rPr>
                <w:rFonts w:ascii="Arial" w:cs="Arial" w:eastAsia="Arial" w:hAnsi="Arial"/>
                <w:sz w:val="15"/>
                <w:szCs w:val="15"/>
                <w:color w:val="auto"/>
              </w:rPr>
              <w:t>Income (loss) from continuing operations before income taxes</w:t>
            </w: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(304,249)</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(53,925)</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(199,974)</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(7,023)</w:t>
            </w:r>
          </w:p>
        </w:tc>
        <w:tc>
          <w:tcPr>
            <w:tcW w:w="0" w:type="dxa"/>
            <w:vAlign w:val="bottom"/>
          </w:tcPr>
          <w:p>
            <w:pPr>
              <w:spacing w:after="0"/>
              <w:rPr>
                <w:sz w:val="1"/>
                <w:szCs w:val="1"/>
                <w:color w:val="auto"/>
              </w:rPr>
            </w:pPr>
          </w:p>
        </w:tc>
      </w:tr>
      <w:tr>
        <w:trPr>
          <w:trHeight w:val="198"/>
        </w:trPr>
        <w:tc>
          <w:tcPr>
            <w:tcW w:w="6980" w:type="dxa"/>
            <w:vAlign w:val="bottom"/>
          </w:tcPr>
          <w:p>
            <w:pPr>
              <w:ind w:left="20"/>
              <w:spacing w:after="0"/>
              <w:rPr>
                <w:sz w:val="20"/>
                <w:szCs w:val="20"/>
                <w:color w:val="auto"/>
              </w:rPr>
            </w:pPr>
            <w:r>
              <w:rPr>
                <w:rFonts w:ascii="Arial" w:cs="Arial" w:eastAsia="Arial" w:hAnsi="Arial"/>
                <w:sz w:val="15"/>
                <w:szCs w:val="15"/>
                <w:color w:val="auto"/>
              </w:rPr>
              <w:t>Income (loss) from continuing operations(1)</w:t>
            </w: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(312,694)</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(49,206)</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(206,997)</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(loss) from discontinued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(7,318)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16,821</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Gain from discontinued operations</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27,257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25,110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270,382</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from sales of residential property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63,472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9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(241,430)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(25,693)</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80,206</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 loss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198"/>
        </w:trPr>
        <w:tc>
          <w:tcPr>
            <w:tcW w:w="6980" w:type="dxa"/>
            <w:vAlign w:val="bottom"/>
          </w:tcPr>
          <w:p>
            <w:pPr>
              <w:ind w:left="20"/>
              <w:spacing w:after="0"/>
              <w:rPr>
                <w:sz w:val="20"/>
                <w:szCs w:val="20"/>
                <w:color w:val="auto"/>
              </w:rPr>
            </w:pPr>
            <w:r>
              <w:rPr>
                <w:rFonts w:ascii="Arial" w:cs="Arial" w:eastAsia="Arial" w:hAnsi="Arial"/>
                <w:sz w:val="15"/>
                <w:szCs w:val="15"/>
                <w:color w:val="auto"/>
              </w:rPr>
              <w:t>Net income (loss) attributable to iStar Financial Inc.</w:t>
            </w:r>
          </w:p>
        </w:tc>
        <w:tc>
          <w:tcPr>
            <w:tcW w:w="34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(239,930)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(22,064)</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79,683</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Preferred dividends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(42,320)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(42,320)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(42,320)</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Net (income) loss allocable to HPU holders and Participating Security holders(2)(3)</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9,253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1,997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(1,084)</w:t>
            </w:r>
          </w:p>
        </w:tc>
        <w:tc>
          <w:tcPr>
            <w:tcW w:w="0" w:type="dxa"/>
            <w:vAlign w:val="bottom"/>
          </w:tcPr>
          <w:p>
            <w:pPr>
              <w:spacing w:after="0"/>
              <w:rPr>
                <w:sz w:val="1"/>
                <w:szCs w:val="1"/>
                <w:color w:val="auto"/>
              </w:rPr>
            </w:pPr>
          </w:p>
        </w:tc>
      </w:tr>
      <w:tr>
        <w:trPr>
          <w:trHeight w:val="30"/>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allocable to common shareholders</w:t>
            </w: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(272,997)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(62,387)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36,279</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Per common share data(1):</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(loss) attributable to iStar Financial Inc. from continuing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tcPr>
          <w:p>
            <w:pPr>
              <w:ind w:left="240"/>
              <w:spacing w:after="0"/>
              <w:rPr>
                <w:sz w:val="20"/>
                <w:szCs w:val="20"/>
                <w:color w:val="auto"/>
              </w:rPr>
            </w:pPr>
            <w:r>
              <w:rPr>
                <w:rFonts w:ascii="Arial" w:cs="Arial" w:eastAsia="Arial" w:hAnsi="Arial"/>
                <w:sz w:val="15"/>
                <w:szCs w:val="15"/>
                <w:color w:val="auto"/>
              </w:rPr>
              <w:t>Basic</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8"/>
                <w:szCs w:val="18"/>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(0.89)</w:t>
            </w:r>
          </w:p>
        </w:tc>
        <w:tc>
          <w:tcPr>
            <w:tcW w:w="100" w:type="dxa"/>
            <w:vAlign w:val="bottom"/>
          </w:tcPr>
          <w:p>
            <w:pPr>
              <w:spacing w:after="0"/>
              <w:rPr>
                <w:sz w:val="18"/>
                <w:szCs w:val="18"/>
                <w:color w:val="auto"/>
              </w:rPr>
            </w:pPr>
          </w:p>
        </w:tc>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(0.89)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Net income (loss) attributable to iStar Financial Inc.:</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Basic</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(0.70)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218"/>
        </w:trPr>
        <w:tc>
          <w:tcPr>
            <w:tcW w:w="6980" w:type="dxa"/>
            <w:vAlign w:val="bottom"/>
          </w:tcPr>
          <w:p>
            <w:pPr>
              <w:ind w:left="240"/>
              <w:spacing w:after="0"/>
              <w:rPr>
                <w:sz w:val="20"/>
                <w:szCs w:val="20"/>
                <w:color w:val="auto"/>
              </w:rPr>
            </w:pPr>
            <w:r>
              <w:rPr>
                <w:rFonts w:ascii="Arial" w:cs="Arial" w:eastAsia="Arial" w:hAnsi="Arial"/>
                <w:sz w:val="15"/>
                <w:szCs w:val="15"/>
                <w:color w:val="auto"/>
              </w:rPr>
              <w:t>Diluted</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(3.26)</w:t>
            </w:r>
          </w:p>
        </w:tc>
        <w:tc>
          <w:tcPr>
            <w:tcW w:w="100" w:type="dxa"/>
            <w:vAlign w:val="bottom"/>
          </w:tcPr>
          <w:p>
            <w:pPr>
              <w:spacing w:after="0"/>
              <w:rPr>
                <w:sz w:val="18"/>
                <w:szCs w:val="18"/>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(0.70)</w:t>
            </w:r>
          </w:p>
        </w:tc>
        <w:tc>
          <w:tcPr>
            <w:tcW w:w="100" w:type="dxa"/>
            <w:vAlign w:val="bottom"/>
          </w:tcPr>
          <w:p>
            <w:pPr>
              <w:spacing w:after="0"/>
              <w:rPr>
                <w:sz w:val="18"/>
                <w:szCs w:val="18"/>
                <w:color w:val="auto"/>
              </w:rPr>
            </w:pPr>
          </w:p>
        </w:tc>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Weighted average number of common shares—basic</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83,742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88,688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93,244</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Weighted average number of common shares—diluted</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83,742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88,688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93,244</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Per HPU share data(1)(2):</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Income (loss) attributable to iStar Financial Inc. from continuing operations: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Basic</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(633.94)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(169.93)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(493.33)</w:t>
            </w:r>
          </w:p>
        </w:tc>
        <w:tc>
          <w:tcPr>
            <w:tcW w:w="0" w:type="dxa"/>
            <w:vAlign w:val="bottom"/>
          </w:tcPr>
          <w:p>
            <w:pPr>
              <w:spacing w:after="0"/>
              <w:rPr>
                <w:sz w:val="1"/>
                <w:szCs w:val="1"/>
                <w:color w:val="auto"/>
              </w:rPr>
            </w:pPr>
          </w:p>
        </w:tc>
      </w:tr>
      <w:tr>
        <w:trPr>
          <w:trHeight w:val="218"/>
        </w:trPr>
        <w:tc>
          <w:tcPr>
            <w:tcW w:w="6980" w:type="dxa"/>
            <w:vAlign w:val="bottom"/>
          </w:tcPr>
          <w:p>
            <w:pPr>
              <w:ind w:left="240"/>
              <w:spacing w:after="0"/>
              <w:rPr>
                <w:sz w:val="20"/>
                <w:szCs w:val="20"/>
                <w:color w:val="auto"/>
              </w:rPr>
            </w:pPr>
            <w:r>
              <w:rPr>
                <w:rFonts w:ascii="Arial" w:cs="Arial" w:eastAsia="Arial" w:hAnsi="Arial"/>
                <w:sz w:val="15"/>
                <w:szCs w:val="15"/>
                <w:color w:val="auto"/>
              </w:rPr>
              <w:t>Diluted</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(633.94)</w:t>
            </w:r>
          </w:p>
        </w:tc>
        <w:tc>
          <w:tcPr>
            <w:tcW w:w="100" w:type="dxa"/>
            <w:vAlign w:val="bottom"/>
          </w:tcPr>
          <w:p>
            <w:pPr>
              <w:spacing w:after="0"/>
              <w:rPr>
                <w:sz w:val="18"/>
                <w:szCs w:val="18"/>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(169.93)</w:t>
            </w:r>
          </w:p>
        </w:tc>
        <w:tc>
          <w:tcPr>
            <w:tcW w:w="100" w:type="dxa"/>
            <w:vAlign w:val="bottom"/>
          </w:tcPr>
          <w:p>
            <w:pPr>
              <w:spacing w:after="0"/>
              <w:rPr>
                <w:sz w:val="18"/>
                <w:szCs w:val="18"/>
                <w:color w:val="auto"/>
              </w:rPr>
            </w:pPr>
          </w:p>
        </w:tc>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(493.33)</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 (loss) attributable to iStar Financial Inc.:</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tcPr>
          <w:p>
            <w:pPr>
              <w:ind w:left="240"/>
              <w:spacing w:after="0"/>
              <w:rPr>
                <w:sz w:val="20"/>
                <w:szCs w:val="20"/>
                <w:color w:val="auto"/>
              </w:rPr>
            </w:pPr>
            <w:r>
              <w:rPr>
                <w:rFonts w:ascii="Arial" w:cs="Arial" w:eastAsia="Arial" w:hAnsi="Arial"/>
                <w:sz w:val="15"/>
                <w:szCs w:val="15"/>
                <w:color w:val="auto"/>
              </w:rPr>
              <w:t>Basic</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(616.87)</w:t>
            </w:r>
          </w:p>
        </w:tc>
        <w:tc>
          <w:tcPr>
            <w:tcW w:w="100" w:type="dxa"/>
            <w:vAlign w:val="bottom"/>
          </w:tcPr>
          <w:p>
            <w:pPr>
              <w:spacing w:after="0"/>
              <w:rPr>
                <w:sz w:val="18"/>
                <w:szCs w:val="18"/>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(133.13)</w:t>
            </w:r>
          </w:p>
        </w:tc>
        <w:tc>
          <w:tcPr>
            <w:tcW w:w="100" w:type="dxa"/>
            <w:vAlign w:val="bottom"/>
          </w:tcPr>
          <w:p>
            <w:pPr>
              <w:spacing w:after="0"/>
              <w:rPr>
                <w:sz w:val="18"/>
                <w:szCs w:val="18"/>
                <w:color w:val="auto"/>
              </w:rPr>
            </w:pPr>
          </w:p>
        </w:tc>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72.27</w:t>
            </w:r>
          </w:p>
        </w:tc>
        <w:tc>
          <w:tcPr>
            <w:tcW w:w="0" w:type="dxa"/>
            <w:vAlign w:val="bottom"/>
          </w:tcPr>
          <w:p>
            <w:pPr>
              <w:spacing w:after="0"/>
              <w:rPr>
                <w:sz w:val="1"/>
                <w:szCs w:val="1"/>
                <w:color w:val="auto"/>
              </w:rPr>
            </w:pPr>
          </w:p>
        </w:tc>
      </w:tr>
      <w:tr>
        <w:trPr>
          <w:trHeight w:val="30"/>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(616.87)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(133.13)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72.27</w:t>
            </w:r>
          </w:p>
        </w:tc>
        <w:tc>
          <w:tcPr>
            <w:tcW w:w="0" w:type="dxa"/>
            <w:vAlign w:val="bottom"/>
          </w:tcPr>
          <w:p>
            <w:pPr>
              <w:spacing w:after="0"/>
              <w:rPr>
                <w:sz w:val="1"/>
                <w:szCs w:val="1"/>
                <w:color w:val="auto"/>
              </w:rPr>
            </w:pPr>
          </w:p>
        </w:tc>
      </w:tr>
      <w:tr>
        <w:trPr>
          <w:trHeight w:val="218"/>
        </w:trPr>
        <w:tc>
          <w:tcPr>
            <w:tcW w:w="6980" w:type="dxa"/>
            <w:vAlign w:val="bottom"/>
          </w:tcPr>
          <w:p>
            <w:pPr>
              <w:ind w:left="140"/>
              <w:spacing w:after="0"/>
              <w:rPr>
                <w:sz w:val="20"/>
                <w:szCs w:val="20"/>
                <w:color w:val="auto"/>
              </w:rPr>
            </w:pPr>
            <w:r>
              <w:rPr>
                <w:rFonts w:ascii="Arial" w:cs="Arial" w:eastAsia="Arial" w:hAnsi="Arial"/>
                <w:sz w:val="15"/>
                <w:szCs w:val="15"/>
                <w:color w:val="auto"/>
              </w:rPr>
              <w:t>Weighted average number of HPU shares—basic and diluted</w:t>
            </w:r>
          </w:p>
        </w:tc>
        <w:tc>
          <w:tcPr>
            <w:tcW w:w="34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47" w:lineRule="auto"/>
        <w:tabs>
          <w:tab w:leader="none" w:pos="601"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Income (loss) from continuing operations attributable to iStar Financial Inc. for the years ended December 31, 2012, 2011 and 2010 was $(311.2) million, $(45.6) million and $(207.5) million, respectively. See Note 13 for details on the calculation of earnings per share.</w:t>
      </w:r>
    </w:p>
    <w:p>
      <w:pPr>
        <w:ind w:left="601" w:hanging="601"/>
        <w:spacing w:after="0"/>
        <w:tabs>
          <w:tab w:leader="none" w:pos="601" w:val="left"/>
        </w:tabs>
        <w:numPr>
          <w:ilvl w:val="0"/>
          <w:numId w:val="28"/>
        </w:numPr>
        <w:rPr>
          <w:rFonts w:ascii="Arial" w:cs="Arial" w:eastAsia="Arial" w:hAnsi="Arial"/>
          <w:sz w:val="13"/>
          <w:szCs w:val="13"/>
          <w:color w:val="auto"/>
        </w:rPr>
      </w:pPr>
      <w:r>
        <w:rPr>
          <w:rFonts w:ascii="Arial" w:cs="Arial" w:eastAsia="Arial" w:hAnsi="Arial"/>
          <w:sz w:val="13"/>
          <w:szCs w:val="13"/>
          <w:color w:val="auto"/>
        </w:rPr>
        <w:t>HPU holders are current and former Company employees who purchased high performance common stock units under the Company's High Performance Unit Program (see Note 11).</w:t>
      </w:r>
    </w:p>
    <w:p>
      <w:pPr>
        <w:ind w:left="601" w:hanging="601"/>
        <w:spacing w:after="0" w:line="249" w:lineRule="auto"/>
        <w:tabs>
          <w:tab w:leader="none" w:pos="601" w:val="left"/>
        </w:tabs>
        <w:numPr>
          <w:ilvl w:val="0"/>
          <w:numId w:val="28"/>
        </w:numPr>
        <w:rPr>
          <w:rFonts w:ascii="Arial" w:cs="Arial" w:eastAsia="Arial" w:hAnsi="Arial"/>
          <w:sz w:val="13"/>
          <w:szCs w:val="13"/>
          <w:color w:val="auto"/>
        </w:rPr>
      </w:pPr>
      <w:r>
        <w:rPr>
          <w:rFonts w:ascii="Arial" w:cs="Arial" w:eastAsia="Arial" w:hAnsi="Arial"/>
          <w:sz w:val="13"/>
          <w:szCs w:val="13"/>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12 and Note 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421"/>
          </w:cols>
          <w:pgMar w:left="239" w:top="120" w:right="239" w:bottom="560" w:gutter="0" w:footer="0" w:header="0"/>
        </w:sect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1"/>
          </w:cols>
          <w:pgMar w:left="239" w:top="120" w:right="239" w:bottom="560" w:gutter="0" w:footer="0" w:header="0"/>
          <w:type w:val="continuous"/>
        </w:sectPr>
      </w:pPr>
    </w:p>
    <w:bookmarkStart w:id="51" w:name="page52"/>
    <w:bookmarkEnd w:id="51"/>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26"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iStar Financial Inc.</w:t>
      </w:r>
    </w:p>
    <w:p>
      <w:pPr>
        <w:spacing w:after="0" w:line="53"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53"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(In thousands)</w:t>
      </w:r>
    </w:p>
    <w:p>
      <w:pPr>
        <w:spacing w:after="0" w:line="53"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6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3"/>
                <w:szCs w:val="13"/>
                <w:b w:val="1"/>
                <w:bCs w:val="1"/>
                <w:color w:val="auto"/>
              </w:rPr>
              <w:t>For the Years Ended December 31,</w:t>
            </w:r>
          </w:p>
        </w:tc>
        <w:tc>
          <w:tcPr>
            <w:tcW w:w="1020" w:type="dxa"/>
            <w:vAlign w:val="bottom"/>
            <w:tcBorders>
              <w:bottom w:val="single" w:sz="8" w:color="auto"/>
            </w:tcBorders>
          </w:tcPr>
          <w:p>
            <w:pPr>
              <w:spacing w:after="0"/>
              <w:rPr>
                <w:sz w:val="15"/>
                <w:szCs w:val="15"/>
                <w:color w:val="auto"/>
              </w:rPr>
            </w:pPr>
          </w:p>
        </w:tc>
      </w:tr>
      <w:tr>
        <w:trPr>
          <w:trHeight w:val="241"/>
        </w:trPr>
        <w:tc>
          <w:tcPr>
            <w:tcW w:w="63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2010</w:t>
            </w:r>
          </w:p>
        </w:tc>
      </w:tr>
      <w:tr>
        <w:trPr>
          <w:trHeight w:val="22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(241,430)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80,206</w:t>
            </w:r>
          </w:p>
        </w:tc>
      </w:tr>
      <w:tr>
        <w:trPr>
          <w:trHeight w:val="222"/>
        </w:trPr>
        <w:tc>
          <w:tcPr>
            <w:tcW w:w="638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1"/>
        </w:trPr>
        <w:tc>
          <w:tcPr>
            <w:tcW w:w="63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Reclassification of (gains)/losses on available-for-sale securities into earnings upon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realization</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(4,206)</w:t>
            </w:r>
          </w:p>
        </w:tc>
      </w:tr>
      <w:tr>
        <w:trPr>
          <w:trHeight w:val="222"/>
        </w:trPr>
        <w:tc>
          <w:tcPr>
            <w:tcW w:w="6380" w:type="dxa"/>
            <w:vAlign w:val="bottom"/>
          </w:tcPr>
          <w:p>
            <w:pPr>
              <w:ind w:left="140"/>
              <w:spacing w:after="0"/>
              <w:rPr>
                <w:sz w:val="20"/>
                <w:szCs w:val="20"/>
                <w:color w:val="auto"/>
              </w:rPr>
            </w:pPr>
            <w:r>
              <w:rPr>
                <w:rFonts w:ascii="Arial" w:cs="Arial" w:eastAsia="Arial" w:hAnsi="Arial"/>
                <w:sz w:val="17"/>
                <w:szCs w:val="17"/>
                <w:color w:val="auto"/>
                <w:w w:val="98"/>
              </w:rPr>
              <w:t>Reclassification of (gains)/losses on cash flow hedges into earnings upon realization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(799)</w:t>
            </w:r>
          </w:p>
        </w:tc>
      </w:tr>
      <w:tr>
        <w:trPr>
          <w:trHeight w:val="26"/>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Unrealized gains/(losses) on available-for-sale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278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445</w:t>
            </w:r>
          </w:p>
        </w:tc>
      </w:tr>
      <w:tr>
        <w:trPr>
          <w:trHeight w:val="222"/>
        </w:trPr>
        <w:tc>
          <w:tcPr>
            <w:tcW w:w="6380" w:type="dxa"/>
            <w:vAlign w:val="bottom"/>
          </w:tcPr>
          <w:p>
            <w:pPr>
              <w:ind w:left="140"/>
              <w:spacing w:after="0"/>
              <w:rPr>
                <w:sz w:val="20"/>
                <w:szCs w:val="20"/>
                <w:color w:val="auto"/>
              </w:rPr>
            </w:pPr>
            <w:r>
              <w:rPr>
                <w:rFonts w:ascii="Arial" w:cs="Arial" w:eastAsia="Arial" w:hAnsi="Arial"/>
                <w:sz w:val="17"/>
                <w:szCs w:val="17"/>
                <w:color w:val="auto"/>
              </w:rPr>
              <w:t>Unrealized gains/(losses) on cash flow hedges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6"/>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Unrealized gains/(losses) on cumulative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24</w:t>
            </w:r>
          </w:p>
        </w:tc>
      </w:tr>
      <w:tr>
        <w:trPr>
          <w:trHeight w:val="214"/>
        </w:trPr>
        <w:tc>
          <w:tcPr>
            <w:tcW w:w="63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(1,937)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(4,536)</w:t>
            </w:r>
          </w:p>
        </w:tc>
      </w:tr>
      <w:tr>
        <w:trPr>
          <w:trHeight w:val="26"/>
        </w:trPr>
        <w:tc>
          <w:tcPr>
            <w:tcW w:w="6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(242,287)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(27,630)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75,670</w:t>
            </w:r>
          </w:p>
        </w:tc>
      </w:tr>
      <w:tr>
        <w:trPr>
          <w:trHeight w:val="222"/>
        </w:trPr>
        <w:tc>
          <w:tcPr>
            <w:tcW w:w="6380" w:type="dxa"/>
            <w:vAlign w:val="bottom"/>
          </w:tcPr>
          <w:p>
            <w:pPr>
              <w:ind w:left="140"/>
              <w:spacing w:after="0"/>
              <w:rPr>
                <w:sz w:val="20"/>
                <w:szCs w:val="20"/>
                <w:color w:val="auto"/>
              </w:rPr>
            </w:pPr>
            <w:r>
              <w:rPr>
                <w:rFonts w:ascii="Arial" w:cs="Arial" w:eastAsia="Arial" w:hAnsi="Arial"/>
                <w:sz w:val="17"/>
                <w:szCs w:val="17"/>
                <w:color w:val="auto"/>
              </w:rPr>
              <w:t>Net (income) loss attributable to noncontrolling interests</w:t>
            </w:r>
          </w:p>
        </w:tc>
        <w:tc>
          <w:tcPr>
            <w:tcW w:w="34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3,629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(523)</w:t>
            </w:r>
          </w:p>
        </w:tc>
      </w:tr>
      <w:tr>
        <w:trPr>
          <w:trHeight w:val="26"/>
        </w:trPr>
        <w:tc>
          <w:tcPr>
            <w:tcW w:w="6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 attributable to iStar Financial Inc.</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(240,787)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75,147</w:t>
            </w: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35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120"/>
          </w:cols>
          <w:pgMar w:left="240" w:top="120" w:right="5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Years Ended December 31, 2012, 2011 and 2010</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3"/>
              </w:rPr>
              <w:t>iStar Financial Inc. Shareholders' Equity</w:t>
            </w: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92"/>
              </w:rPr>
              <w:t>Common</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0"/>
              </w:rPr>
              <w:t>Retained</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90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0"/>
              </w:rPr>
              <w:t>Treasury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760" w:type="dxa"/>
            <w:vAlign w:val="bottom"/>
            <w:gridSpan w:val="3"/>
          </w:tcPr>
          <w:p>
            <w:pPr>
              <w:jc w:val="right"/>
              <w:ind w:right="160"/>
              <w:spacing w:after="0" w:line="137"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00"/>
              <w:spacing w:after="0" w:line="137" w:lineRule="exact"/>
              <w:rPr>
                <w:sz w:val="20"/>
                <w:szCs w:val="20"/>
                <w:color w:val="auto"/>
              </w:rPr>
            </w:pPr>
            <w:r>
              <w:rPr>
                <w:rFonts w:ascii="Arial" w:cs="Arial" w:eastAsia="Arial" w:hAnsi="Arial"/>
                <w:sz w:val="13"/>
                <w:szCs w:val="13"/>
                <w:b w:val="1"/>
                <w:bCs w:val="1"/>
                <w:color w:val="auto"/>
                <w:w w:val="90"/>
              </w:rPr>
              <w:t>Stock at</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3"/>
              </w:rPr>
              <w:t>Earnings</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0"/>
              </w:rPr>
              <w:t>Comprehensive</w:t>
            </w:r>
          </w:p>
        </w:tc>
        <w:tc>
          <w:tcPr>
            <w:tcW w:w="180" w:type="dxa"/>
            <w:vAlign w:val="bottom"/>
          </w:tcPr>
          <w:p>
            <w:pPr>
              <w:spacing w:after="0"/>
              <w:rPr>
                <w:sz w:val="11"/>
                <w:szCs w:val="11"/>
                <w:color w:val="auto"/>
              </w:rPr>
            </w:pPr>
          </w:p>
        </w:tc>
        <w:tc>
          <w:tcPr>
            <w:tcW w:w="90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0"/>
              </w:rPr>
              <w:t>Stock at</w:t>
            </w:r>
          </w:p>
        </w:tc>
        <w:tc>
          <w:tcPr>
            <w:tcW w:w="1160" w:type="dxa"/>
            <w:vAlign w:val="bottom"/>
            <w:tcBorders>
              <w:right w:val="single" w:sz="8" w:color="auto"/>
            </w:tcBorders>
            <w:gridSpan w:val="3"/>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Noncontrolling</w:t>
            </w:r>
          </w:p>
        </w:tc>
        <w:tc>
          <w:tcPr>
            <w:tcW w:w="180" w:type="dxa"/>
            <w:vAlign w:val="bottom"/>
          </w:tcPr>
          <w:p>
            <w:pPr>
              <w:spacing w:after="0"/>
              <w:rPr>
                <w:sz w:val="11"/>
                <w:szCs w:val="11"/>
                <w:color w:val="auto"/>
              </w:rPr>
            </w:pPr>
          </w:p>
        </w:tc>
        <w:tc>
          <w:tcPr>
            <w:tcW w:w="820" w:type="dxa"/>
            <w:vAlign w:val="bottom"/>
          </w:tcPr>
          <w:p>
            <w:pPr>
              <w:jc w:val="right"/>
              <w:ind w:right="279"/>
              <w:spacing w:after="0" w:line="13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760" w:type="dxa"/>
            <w:vAlign w:val="bottom"/>
            <w:gridSpan w:val="3"/>
          </w:tcPr>
          <w:p>
            <w:pPr>
              <w:ind w:left="100"/>
              <w:spacing w:after="0"/>
              <w:rPr>
                <w:sz w:val="20"/>
                <w:szCs w:val="20"/>
                <w:color w:val="auto"/>
              </w:rPr>
            </w:pPr>
            <w:r>
              <w:rPr>
                <w:rFonts w:ascii="Arial" w:cs="Arial" w:eastAsia="Arial" w:hAnsi="Arial"/>
                <w:sz w:val="13"/>
                <w:szCs w:val="13"/>
                <w:b w:val="1"/>
                <w:bCs w:val="1"/>
                <w:color w:val="auto"/>
              </w:rPr>
              <w:t>Stock(1)</w:t>
            </w:r>
          </w:p>
        </w:tc>
        <w:tc>
          <w:tcPr>
            <w:tcW w:w="1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HPU's</w:t>
            </w:r>
          </w:p>
        </w:tc>
        <w:tc>
          <w:tcPr>
            <w:tcW w:w="160" w:type="dxa"/>
            <w:vAlign w:val="bottom"/>
          </w:tcPr>
          <w:p>
            <w:pPr>
              <w:spacing w:after="0"/>
              <w:rPr>
                <w:sz w:val="15"/>
                <w:szCs w:val="15"/>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Par</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(Deficit)</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Income (Loss)</w:t>
            </w: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cost</w:t>
            </w:r>
          </w:p>
        </w:tc>
        <w:tc>
          <w:tcPr>
            <w:tcW w:w="180" w:type="dxa"/>
            <w:vAlign w:val="bottom"/>
          </w:tcPr>
          <w:p>
            <w:pPr>
              <w:spacing w:after="0"/>
              <w:rPr>
                <w:sz w:val="15"/>
                <w:szCs w:val="15"/>
                <w:color w:val="auto"/>
              </w:rPr>
            </w:pPr>
          </w:p>
        </w:tc>
        <w:tc>
          <w:tcPr>
            <w:tcW w:w="9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8"/>
              </w:rPr>
              <w:t>Interests</w:t>
            </w:r>
          </w:p>
        </w:tc>
        <w:tc>
          <w:tcPr>
            <w:tcW w:w="180" w:type="dxa"/>
            <w:vAlign w:val="bottom"/>
          </w:tcPr>
          <w:p>
            <w:pPr>
              <w:spacing w:after="0"/>
              <w:rPr>
                <w:sz w:val="15"/>
                <w:szCs w:val="15"/>
                <w:color w:val="auto"/>
              </w:rPr>
            </w:pPr>
          </w:p>
        </w:tc>
        <w:tc>
          <w:tcPr>
            <w:tcW w:w="820" w:type="dxa"/>
            <w:vAlign w:val="bottom"/>
          </w:tcPr>
          <w:p>
            <w:pPr>
              <w:jc w:val="right"/>
              <w:ind w:right="23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7"/>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2009</w:t>
            </w:r>
          </w:p>
        </w:tc>
        <w:tc>
          <w:tcPr>
            <w:tcW w:w="2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3,791,972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(2,051,376)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(151,016)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50,433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1,656,118</w:t>
            </w:r>
          </w:p>
        </w:tc>
        <w:tc>
          <w:tcPr>
            <w:tcW w:w="0" w:type="dxa"/>
            <w:vAlign w:val="bottom"/>
          </w:tcPr>
          <w:p>
            <w:pPr>
              <w:spacing w:after="0"/>
              <w:rPr>
                <w:sz w:val="1"/>
                <w:szCs w:val="1"/>
                <w:color w:val="auto"/>
              </w:rPr>
            </w:pPr>
          </w:p>
        </w:tc>
      </w:tr>
      <w:tr>
        <w:trPr>
          <w:trHeight w:val="211"/>
        </w:trPr>
        <w:tc>
          <w:tcPr>
            <w:tcW w:w="2080" w:type="dxa"/>
            <w:vAlign w:val="bottom"/>
          </w:tcPr>
          <w:p>
            <w:pPr>
              <w:ind w:left="20"/>
              <w:spacing w:after="0"/>
              <w:rPr>
                <w:sz w:val="20"/>
                <w:szCs w:val="20"/>
                <w:color w:val="auto"/>
              </w:rPr>
            </w:pPr>
            <w:r>
              <w:rPr>
                <w:rFonts w:ascii="Arial" w:cs="Arial" w:eastAsia="Arial" w:hAnsi="Arial"/>
                <w:sz w:val="17"/>
                <w:szCs w:val="17"/>
                <w:color w:val="auto"/>
              </w:rPr>
              <w:t>Dividends declared—</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7"/>
                <w:szCs w:val="17"/>
                <w:color w:val="auto"/>
              </w:rPr>
              <w:t>preferred</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(42,320)</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Repurchase of stock</w:t>
            </w:r>
          </w:p>
        </w:tc>
        <w:tc>
          <w:tcPr>
            <w:tcW w:w="2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(7,476)</w:t>
            </w:r>
          </w:p>
        </w:tc>
        <w:tc>
          <w:tcPr>
            <w:tcW w:w="0" w:type="dxa"/>
            <w:vAlign w:val="bottom"/>
          </w:tcPr>
          <w:p>
            <w:pPr>
              <w:spacing w:after="0"/>
              <w:rPr>
                <w:sz w:val="1"/>
                <w:szCs w:val="1"/>
                <w:color w:val="auto"/>
              </w:rPr>
            </w:pPr>
          </w:p>
        </w:tc>
      </w:tr>
      <w:tr>
        <w:trPr>
          <w:trHeight w:val="211"/>
        </w:trPr>
        <w:tc>
          <w:tcPr>
            <w:tcW w:w="2080" w:type="dxa"/>
            <w:vAlign w:val="bottom"/>
          </w:tcPr>
          <w:p>
            <w:pPr>
              <w:ind w:left="20"/>
              <w:spacing w:after="0"/>
              <w:rPr>
                <w:sz w:val="20"/>
                <w:szCs w:val="20"/>
                <w:color w:val="auto"/>
              </w:rPr>
            </w:pPr>
            <w:r>
              <w:rPr>
                <w:rFonts w:ascii="Arial" w:cs="Arial" w:eastAsia="Arial" w:hAnsi="Arial"/>
                <w:sz w:val="17"/>
                <w:szCs w:val="17"/>
                <w:color w:val="auto"/>
                <w:w w:val="99"/>
              </w:rPr>
              <w:t>Issuance of stock/restricted</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7"/>
                <w:szCs w:val="17"/>
                <w:color w:val="auto"/>
              </w:rPr>
              <w:t>stock amortization, net</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17,099</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Net income for the period(2)</w:t>
            </w:r>
          </w:p>
        </w:tc>
        <w:tc>
          <w:tcPr>
            <w:tcW w:w="2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80,217</w:t>
            </w:r>
          </w:p>
        </w:tc>
        <w:tc>
          <w:tcPr>
            <w:tcW w:w="0" w:type="dxa"/>
            <w:vAlign w:val="bottom"/>
          </w:tcPr>
          <w:p>
            <w:pPr>
              <w:spacing w:after="0"/>
              <w:rPr>
                <w:sz w:val="1"/>
                <w:szCs w:val="1"/>
                <w:color w:val="auto"/>
              </w:rPr>
            </w:pPr>
          </w:p>
        </w:tc>
      </w:tr>
      <w:tr>
        <w:trPr>
          <w:trHeight w:val="211"/>
        </w:trPr>
        <w:tc>
          <w:tcPr>
            <w:tcW w:w="2080" w:type="dxa"/>
            <w:vAlign w:val="bottom"/>
          </w:tcPr>
          <w:p>
            <w:pPr>
              <w:ind w:left="20"/>
              <w:spacing w:after="0"/>
              <w:rPr>
                <w:sz w:val="20"/>
                <w:szCs w:val="20"/>
                <w:color w:val="auto"/>
              </w:rPr>
            </w:pPr>
            <w:r>
              <w:rPr>
                <w:rFonts w:ascii="Arial" w:cs="Arial" w:eastAsia="Arial" w:hAnsi="Arial"/>
                <w:sz w:val="17"/>
                <w:szCs w:val="17"/>
                <w:color w:val="auto"/>
              </w:rPr>
              <w:t>Contributions from</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(4,602)</w:t>
            </w:r>
          </w:p>
        </w:tc>
        <w:tc>
          <w:tcPr>
            <w:tcW w:w="0" w:type="dxa"/>
            <w:vAlign w:val="bottom"/>
          </w:tcPr>
          <w:p>
            <w:pPr>
              <w:spacing w:after="0"/>
              <w:rPr>
                <w:sz w:val="1"/>
                <w:szCs w:val="1"/>
                <w:color w:val="auto"/>
              </w:rPr>
            </w:pPr>
          </w:p>
        </w:tc>
      </w:tr>
      <w:tr>
        <w:trPr>
          <w:trHeight w:val="211"/>
        </w:trPr>
        <w:tc>
          <w:tcPr>
            <w:tcW w:w="2080" w:type="dxa"/>
            <w:vAlign w:val="bottom"/>
          </w:tcPr>
          <w:p>
            <w:pPr>
              <w:ind w:left="20"/>
              <w:spacing w:after="0"/>
              <w:rPr>
                <w:sz w:val="20"/>
                <w:szCs w:val="20"/>
                <w:color w:val="auto"/>
              </w:rPr>
            </w:pPr>
            <w:r>
              <w:rPr>
                <w:rFonts w:ascii="Arial" w:cs="Arial" w:eastAsia="Arial" w:hAnsi="Arial"/>
                <w:sz w:val="17"/>
                <w:szCs w:val="17"/>
                <w:color w:val="auto"/>
                <w:w w:val="91"/>
              </w:rPr>
              <w:t>Change in accumulated other</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8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7"/>
                <w:szCs w:val="17"/>
                <w:color w:val="auto"/>
              </w:rPr>
              <w:t>(loss)</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(4,536)</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Balance at December 31,</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2010</w:t>
            </w:r>
          </w:p>
        </w:tc>
        <w:tc>
          <w:tcPr>
            <w:tcW w:w="2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3,809,071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(2,014,013)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(158,492)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46,524</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1,694,659</w:t>
            </w:r>
          </w:p>
        </w:tc>
        <w:tc>
          <w:tcPr>
            <w:tcW w:w="0" w:type="dxa"/>
            <w:vAlign w:val="bottom"/>
          </w:tcPr>
          <w:p>
            <w:pPr>
              <w:spacing w:after="0"/>
              <w:rPr>
                <w:sz w:val="1"/>
                <w:szCs w:val="1"/>
                <w:color w:val="auto"/>
              </w:rPr>
            </w:pPr>
          </w:p>
        </w:tc>
      </w:tr>
      <w:tr>
        <w:trPr>
          <w:trHeight w:val="211"/>
        </w:trPr>
        <w:tc>
          <w:tcPr>
            <w:tcW w:w="2080" w:type="dxa"/>
            <w:vAlign w:val="bottom"/>
          </w:tcPr>
          <w:p>
            <w:pPr>
              <w:ind w:left="20"/>
              <w:spacing w:after="0"/>
              <w:rPr>
                <w:sz w:val="20"/>
                <w:szCs w:val="20"/>
                <w:color w:val="auto"/>
              </w:rPr>
            </w:pPr>
            <w:r>
              <w:rPr>
                <w:rFonts w:ascii="Arial" w:cs="Arial" w:eastAsia="Arial" w:hAnsi="Arial"/>
                <w:sz w:val="17"/>
                <w:szCs w:val="17"/>
                <w:color w:val="auto"/>
              </w:rPr>
              <w:t>Dividends declared—</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7"/>
                <w:szCs w:val="17"/>
                <w:color w:val="auto"/>
              </w:rPr>
              <w:t>preferred</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(42,320)</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Issuance of stock/restricted</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amortization, net</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25,389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25,391</w:t>
            </w:r>
          </w:p>
        </w:tc>
        <w:tc>
          <w:tcPr>
            <w:tcW w:w="0" w:type="dxa"/>
            <w:vAlign w:val="bottom"/>
          </w:tcPr>
          <w:p>
            <w:pPr>
              <w:spacing w:after="0"/>
              <w:rPr>
                <w:sz w:val="1"/>
                <w:szCs w:val="1"/>
                <w:color w:val="auto"/>
              </w:rPr>
            </w:pPr>
          </w:p>
        </w:tc>
      </w:tr>
      <w:tr>
        <w:trPr>
          <w:trHeight w:val="222"/>
        </w:trPr>
        <w:tc>
          <w:tcPr>
            <w:tcW w:w="2080" w:type="dxa"/>
            <w:vAlign w:val="bottom"/>
          </w:tcPr>
          <w:p>
            <w:pPr>
              <w:ind w:left="20"/>
              <w:spacing w:after="0"/>
              <w:rPr>
                <w:sz w:val="20"/>
                <w:szCs w:val="20"/>
                <w:color w:val="auto"/>
              </w:rPr>
            </w:pPr>
            <w:r>
              <w:rPr>
                <w:rFonts w:ascii="Arial" w:cs="Arial" w:eastAsia="Arial" w:hAnsi="Arial"/>
                <w:sz w:val="17"/>
                <w:szCs w:val="17"/>
                <w:color w:val="auto"/>
              </w:rPr>
              <w:t>Net loss for the period(2)</w:t>
            </w: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(3,603)</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(25,667)</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Change in accumulated other</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(1,937)</w:t>
            </w:r>
          </w:p>
        </w:tc>
        <w:tc>
          <w:tcPr>
            <w:tcW w:w="0" w:type="dxa"/>
            <w:vAlign w:val="bottom"/>
          </w:tcPr>
          <w:p>
            <w:pPr>
              <w:spacing w:after="0"/>
              <w:rPr>
                <w:sz w:val="1"/>
                <w:szCs w:val="1"/>
                <w:color w:val="auto"/>
              </w:rPr>
            </w:pPr>
          </w:p>
        </w:tc>
      </w:tr>
      <w:tr>
        <w:trPr>
          <w:trHeight w:val="222"/>
        </w:trPr>
        <w:tc>
          <w:tcPr>
            <w:tcW w:w="2080" w:type="dxa"/>
            <w:vAlign w:val="bottom"/>
          </w:tcPr>
          <w:p>
            <w:pPr>
              <w:ind w:left="20"/>
              <w:spacing w:after="0"/>
              <w:rPr>
                <w:sz w:val="20"/>
                <w:szCs w:val="20"/>
                <w:color w:val="auto"/>
              </w:rPr>
            </w:pPr>
            <w:r>
              <w:rPr>
                <w:rFonts w:ascii="Arial" w:cs="Arial" w:eastAsia="Arial" w:hAnsi="Arial"/>
                <w:sz w:val="17"/>
                <w:szCs w:val="17"/>
                <w:color w:val="auto"/>
              </w:rPr>
              <w:t>Repurchase of stock</w:t>
            </w: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(78,849)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(78,849)</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Contributions from</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0" w:type="dxa"/>
            <w:vAlign w:val="bottom"/>
          </w:tcPr>
          <w:p>
            <w:pPr>
              <w:spacing w:after="0"/>
              <w:rPr>
                <w:sz w:val="1"/>
                <w:szCs w:val="1"/>
                <w:color w:val="auto"/>
              </w:rPr>
            </w:pPr>
          </w:p>
        </w:tc>
      </w:tr>
      <w:tr>
        <w:trPr>
          <w:trHeight w:val="211"/>
        </w:trPr>
        <w:tc>
          <w:tcPr>
            <w:tcW w:w="2080" w:type="dxa"/>
            <w:vAlign w:val="bottom"/>
          </w:tcPr>
          <w:p>
            <w:pPr>
              <w:ind w:left="20"/>
              <w:spacing w:after="0"/>
              <w:rPr>
                <w:sz w:val="20"/>
                <w:szCs w:val="20"/>
                <w:color w:val="auto"/>
              </w:rPr>
            </w:pPr>
            <w:r>
              <w:rPr>
                <w:rFonts w:ascii="Arial" w:cs="Arial" w:eastAsia="Arial" w:hAnsi="Arial"/>
                <w:sz w:val="17"/>
                <w:szCs w:val="17"/>
                <w:color w:val="auto"/>
              </w:rPr>
              <w:t>Distributions to</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(1,590)</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(1,590)</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Balance at December 31,</w:t>
            </w:r>
          </w:p>
        </w:tc>
        <w:tc>
          <w:tcPr>
            <w:tcW w:w="280" w:type="dxa"/>
            <w:vAlign w:val="bottom"/>
            <w:vMerge w:val="restart"/>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9,800</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3,834,460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(2,078,397)</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(237,341)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45,248</w:t>
            </w: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5"/>
              </w:rPr>
              <w:t>1,573,604</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2011</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60"/>
          </w:cols>
          <w:pgMar w:left="240" w:top="120" w:right="299" w:bottom="1440" w:gutter="0" w:footer="0" w:header="0"/>
        </w:sectPr>
      </w:pPr>
    </w:p>
    <w:bookmarkStart w:id="53" w:name="page54"/>
    <w:bookmarkEnd w:id="53"/>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 (Continued)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2012, 2011 and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0"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w w:val="97"/>
              </w:rPr>
              <w:t>iStar Financial Inc. Shareholders' Equity</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left="3"/>
              <w:spacing w:after="0" w:line="137" w:lineRule="exact"/>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0"/>
              </w:rPr>
              <w:t>Retained</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94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0"/>
              </w:rPr>
              <w:t>Treasury</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840" w:type="dxa"/>
            <w:vAlign w:val="bottom"/>
            <w:gridSpan w:val="3"/>
          </w:tcPr>
          <w:p>
            <w:pPr>
              <w:ind w:left="80"/>
              <w:spacing w:after="0" w:line="137"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Stock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3"/>
              </w:rPr>
              <w:t>Earnings</w:t>
            </w:r>
          </w:p>
        </w:tc>
        <w:tc>
          <w:tcPr>
            <w:tcW w:w="1140" w:type="dxa"/>
            <w:vAlign w:val="bottom"/>
            <w:gridSpan w:val="3"/>
          </w:tcPr>
          <w:p>
            <w:pPr>
              <w:jc w:val="center"/>
              <w:ind w:right="100"/>
              <w:spacing w:after="0" w:line="137" w:lineRule="exact"/>
              <w:rPr>
                <w:sz w:val="20"/>
                <w:szCs w:val="20"/>
                <w:color w:val="auto"/>
              </w:rPr>
            </w:pPr>
            <w:r>
              <w:rPr>
                <w:rFonts w:ascii="Arial" w:cs="Arial" w:eastAsia="Arial" w:hAnsi="Arial"/>
                <w:sz w:val="13"/>
                <w:szCs w:val="13"/>
                <w:b w:val="1"/>
                <w:bCs w:val="1"/>
                <w:color w:val="auto"/>
                <w:w w:val="90"/>
              </w:rPr>
              <w:t>Comprehensive</w:t>
            </w:r>
          </w:p>
        </w:tc>
        <w:tc>
          <w:tcPr>
            <w:tcW w:w="180" w:type="dxa"/>
            <w:vAlign w:val="bottom"/>
          </w:tcPr>
          <w:p>
            <w:pPr>
              <w:spacing w:after="0"/>
              <w:rPr>
                <w:sz w:val="11"/>
                <w:szCs w:val="11"/>
                <w:color w:val="auto"/>
              </w:rPr>
            </w:pPr>
          </w:p>
        </w:tc>
        <w:tc>
          <w:tcPr>
            <w:tcW w:w="94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0"/>
              </w:rPr>
              <w:t>Stock at</w:t>
            </w:r>
          </w:p>
        </w:tc>
        <w:tc>
          <w:tcPr>
            <w:tcW w:w="120" w:type="dxa"/>
            <w:vAlign w:val="bottom"/>
          </w:tcPr>
          <w:p>
            <w:pPr>
              <w:spacing w:after="0"/>
              <w:rPr>
                <w:sz w:val="11"/>
                <w:szCs w:val="11"/>
                <w:color w:val="auto"/>
              </w:rPr>
            </w:pPr>
          </w:p>
        </w:tc>
        <w:tc>
          <w:tcPr>
            <w:tcW w:w="1140" w:type="dxa"/>
            <w:vAlign w:val="bottom"/>
            <w:tcBorders>
              <w:right w:val="single" w:sz="8" w:color="auto"/>
            </w:tcBorders>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1"/>
                <w:szCs w:val="11"/>
                <w:color w:val="auto"/>
              </w:rPr>
            </w:pPr>
          </w:p>
        </w:tc>
        <w:tc>
          <w:tcPr>
            <w:tcW w:w="880" w:type="dxa"/>
            <w:vAlign w:val="bottom"/>
          </w:tcPr>
          <w:p>
            <w:pPr>
              <w:jc w:val="right"/>
              <w:ind w:right="340"/>
              <w:spacing w:after="0" w:line="13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Stock(1)</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HPU's</w:t>
            </w:r>
          </w:p>
        </w:tc>
        <w:tc>
          <w:tcPr>
            <w:tcW w:w="1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Income (Loss)</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cost</w:t>
            </w: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Interests</w:t>
            </w:r>
          </w:p>
        </w:tc>
        <w:tc>
          <w:tcPr>
            <w:tcW w:w="240" w:type="dxa"/>
            <w:vAlign w:val="bottom"/>
          </w:tcPr>
          <w:p>
            <w:pPr>
              <w:spacing w:after="0"/>
              <w:rPr>
                <w:sz w:val="15"/>
                <w:szCs w:val="15"/>
                <w:color w:val="auto"/>
              </w:rPr>
            </w:pPr>
          </w:p>
        </w:tc>
        <w:tc>
          <w:tcPr>
            <w:tcW w:w="880" w:type="dxa"/>
            <w:vAlign w:val="bottom"/>
          </w:tcPr>
          <w:p>
            <w:pPr>
              <w:jc w:val="right"/>
              <w:ind w:right="2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7"/>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9,800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7"/>
              </w:rPr>
              <w:t>3,834,460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(2,078,397)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(237,341)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45,248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1,573,604</w:t>
            </w:r>
          </w:p>
        </w:tc>
        <w:tc>
          <w:tcPr>
            <w:tcW w:w="0" w:type="dxa"/>
            <w:vAlign w:val="bottom"/>
          </w:tcPr>
          <w:p>
            <w:pPr>
              <w:spacing w:after="0"/>
              <w:rPr>
                <w:sz w:val="1"/>
                <w:szCs w:val="1"/>
                <w:color w:val="auto"/>
              </w:rPr>
            </w:pPr>
          </w:p>
        </w:tc>
      </w:tr>
      <w:tr>
        <w:trPr>
          <w:trHeight w:val="211"/>
        </w:trPr>
        <w:tc>
          <w:tcPr>
            <w:tcW w:w="2060" w:type="dxa"/>
            <w:vAlign w:val="bottom"/>
          </w:tcPr>
          <w:p>
            <w:pPr>
              <w:ind w:left="20"/>
              <w:spacing w:after="0"/>
              <w:rPr>
                <w:sz w:val="20"/>
                <w:szCs w:val="20"/>
                <w:color w:val="auto"/>
              </w:rPr>
            </w:pPr>
            <w:r>
              <w:rPr>
                <w:rFonts w:ascii="Arial" w:cs="Arial" w:eastAsia="Arial" w:hAnsi="Arial"/>
                <w:sz w:val="17"/>
                <w:szCs w:val="17"/>
                <w:color w:val="auto"/>
              </w:rPr>
              <w:t>Dividends declared—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Arial" w:cs="Arial" w:eastAsia="Arial" w:hAnsi="Arial"/>
                <w:sz w:val="17"/>
                <w:szCs w:val="17"/>
                <w:color w:val="auto"/>
              </w:rPr>
              <w:t>preferred</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(42,320)</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Repurchase of stock</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(4,628)</w:t>
            </w:r>
          </w:p>
        </w:tc>
        <w:tc>
          <w:tcPr>
            <w:tcW w:w="0" w:type="dxa"/>
            <w:vAlign w:val="bottom"/>
          </w:tcPr>
          <w:p>
            <w:pPr>
              <w:spacing w:after="0"/>
              <w:rPr>
                <w:sz w:val="1"/>
                <w:szCs w:val="1"/>
                <w:color w:val="auto"/>
              </w:rPr>
            </w:pPr>
          </w:p>
        </w:tc>
      </w:tr>
      <w:tr>
        <w:trPr>
          <w:trHeight w:val="211"/>
        </w:trPr>
        <w:tc>
          <w:tcPr>
            <w:tcW w:w="2060" w:type="dxa"/>
            <w:vAlign w:val="bottom"/>
          </w:tcPr>
          <w:p>
            <w:pPr>
              <w:ind w:left="20"/>
              <w:spacing w:after="0"/>
              <w:rPr>
                <w:sz w:val="20"/>
                <w:szCs w:val="20"/>
                <w:color w:val="auto"/>
              </w:rPr>
            </w:pPr>
            <w:r>
              <w:rPr>
                <w:rFonts w:ascii="Arial" w:cs="Arial" w:eastAsia="Arial" w:hAnsi="Arial"/>
                <w:sz w:val="17"/>
                <w:szCs w:val="17"/>
                <w:color w:val="auto"/>
                <w:w w:val="98"/>
              </w:rPr>
              <w:t>Issuance of stock/restricted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Arial" w:cs="Arial" w:eastAsia="Arial" w:hAnsi="Arial"/>
                <w:sz w:val="17"/>
                <w:szCs w:val="17"/>
                <w:color w:val="auto"/>
              </w:rPr>
              <w:t>stock amortization, net</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7"/>
                <w:szCs w:val="17"/>
                <w:color w:val="auto"/>
              </w:rPr>
              <w:t>2,705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7"/>
                <w:szCs w:val="17"/>
                <w:color w:val="auto"/>
              </w:rPr>
              <w:t>2,708</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for the period(2)</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(239,930)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(240,618)</w:t>
            </w:r>
          </w:p>
        </w:tc>
        <w:tc>
          <w:tcPr>
            <w:tcW w:w="0" w:type="dxa"/>
            <w:vAlign w:val="bottom"/>
          </w:tcPr>
          <w:p>
            <w:pPr>
              <w:spacing w:after="0"/>
              <w:rPr>
                <w:sz w:val="1"/>
                <w:szCs w:val="1"/>
                <w:color w:val="auto"/>
              </w:rPr>
            </w:pPr>
          </w:p>
        </w:tc>
      </w:tr>
      <w:tr>
        <w:trPr>
          <w:trHeight w:val="211"/>
        </w:trPr>
        <w:tc>
          <w:tcPr>
            <w:tcW w:w="2060" w:type="dxa"/>
            <w:vAlign w:val="bottom"/>
          </w:tcPr>
          <w:p>
            <w:pPr>
              <w:ind w:left="20"/>
              <w:spacing w:after="0"/>
              <w:rPr>
                <w:sz w:val="20"/>
                <w:szCs w:val="20"/>
                <w:color w:val="auto"/>
              </w:rPr>
            </w:pPr>
            <w:r>
              <w:rPr>
                <w:rFonts w:ascii="Arial" w:cs="Arial" w:eastAsia="Arial" w:hAnsi="Arial"/>
                <w:sz w:val="17"/>
                <w:szCs w:val="17"/>
                <w:color w:val="auto"/>
                <w:w w:val="90"/>
              </w:rPr>
              <w:t>Change in accumulated other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Arial" w:cs="Arial" w:eastAsia="Arial" w:hAnsi="Arial"/>
                <w:sz w:val="17"/>
                <w:szCs w:val="17"/>
                <w:color w:val="auto"/>
                <w:w w:val="91"/>
              </w:rPr>
              <w:t>comprehensive income (loss)</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 of convertible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211"/>
        </w:trPr>
        <w:tc>
          <w:tcPr>
            <w:tcW w:w="206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60" w:type="dxa"/>
            <w:vAlign w:val="bottom"/>
          </w:tcPr>
          <w:p>
            <w:pPr>
              <w:ind w:left="20"/>
              <w:spacing w:after="0"/>
              <w:rPr>
                <w:sz w:val="20"/>
                <w:szCs w:val="20"/>
                <w:color w:val="auto"/>
              </w:rPr>
            </w:pPr>
            <w:r>
              <w:rPr>
                <w:rFonts w:ascii="Arial" w:cs="Arial" w:eastAsia="Arial" w:hAnsi="Arial"/>
                <w:sz w:val="17"/>
                <w:szCs w:val="17"/>
                <w:color w:val="auto"/>
              </w:rPr>
              <w:t>attributable to redeemable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(1,657)</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Contributions from</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interests (3)</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32,654</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32,654</w:t>
            </w:r>
          </w:p>
        </w:tc>
        <w:tc>
          <w:tcPr>
            <w:tcW w:w="0" w:type="dxa"/>
            <w:vAlign w:val="bottom"/>
          </w:tcPr>
          <w:p>
            <w:pPr>
              <w:spacing w:after="0"/>
              <w:rPr>
                <w:sz w:val="1"/>
                <w:szCs w:val="1"/>
                <w:color w:val="auto"/>
              </w:rPr>
            </w:pPr>
          </w:p>
        </w:tc>
      </w:tr>
      <w:tr>
        <w:trPr>
          <w:trHeight w:val="211"/>
        </w:trPr>
        <w:tc>
          <w:tcPr>
            <w:tcW w:w="2060" w:type="dxa"/>
            <w:vAlign w:val="bottom"/>
          </w:tcPr>
          <w:p>
            <w:pPr>
              <w:ind w:left="20"/>
              <w:spacing w:after="0"/>
              <w:rPr>
                <w:sz w:val="20"/>
                <w:szCs w:val="20"/>
                <w:color w:val="auto"/>
              </w:rPr>
            </w:pPr>
            <w:r>
              <w:rPr>
                <w:rFonts w:ascii="Arial" w:cs="Arial" w:eastAsia="Arial" w:hAnsi="Arial"/>
                <w:sz w:val="17"/>
                <w:szCs w:val="17"/>
                <w:color w:val="auto"/>
              </w:rPr>
              <w:t>Distributions to</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(3,004)</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(3,004)</w:t>
            </w:r>
          </w:p>
        </w:tc>
        <w:tc>
          <w:tcPr>
            <w:tcW w:w="0" w:type="dxa"/>
            <w:vAlign w:val="bottom"/>
          </w:tcPr>
          <w:p>
            <w:pPr>
              <w:spacing w:after="0"/>
              <w:rPr>
                <w:sz w:val="1"/>
                <w:szCs w:val="1"/>
                <w:color w:val="auto"/>
              </w:rPr>
            </w:pPr>
          </w:p>
        </w:tc>
      </w:tr>
      <w:tr>
        <w:trPr>
          <w:trHeight w:val="26"/>
        </w:trPr>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6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Balance at December 31,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9,800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3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7"/>
                <w:szCs w:val="17"/>
                <w:color w:val="auto"/>
                <w:w w:val="97"/>
              </w:rPr>
              <w:t>3,832,780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(2,360,647)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(241,969)</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74,210</w:t>
            </w:r>
          </w:p>
        </w:tc>
        <w:tc>
          <w:tcPr>
            <w:tcW w:w="120" w:type="dxa"/>
            <w:vAlign w:val="bottom"/>
            <w:tcBorders>
              <w:right w:val="single" w:sz="8" w:color="auto"/>
            </w:tcBorders>
            <w:shd w:val="clear" w:color="auto" w:fill="CCEEFF"/>
          </w:tcPr>
          <w:p>
            <w:pPr>
              <w:spacing w:after="0"/>
              <w:rPr>
                <w:sz w:val="16"/>
                <w:szCs w:val="16"/>
                <w:color w:val="auto"/>
              </w:rPr>
            </w:pPr>
          </w:p>
        </w:tc>
        <w:tc>
          <w:tcPr>
            <w:tcW w:w="240" w:type="dxa"/>
            <w:vAlign w:val="bottom"/>
            <w:vMerge w:val="restart"/>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1,313,154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2012</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 Note 11 for details on the Company's Cumulative Redeemable Preferred Stock.</w:t>
      </w:r>
    </w:p>
    <w:p>
      <w:pPr>
        <w:spacing w:after="0" w:line="9" w:lineRule="exact"/>
        <w:rPr>
          <w:rFonts w:ascii="Arial" w:cs="Arial" w:eastAsia="Arial" w:hAnsi="Arial"/>
          <w:sz w:val="13"/>
          <w:szCs w:val="13"/>
          <w:color w:val="auto"/>
        </w:rPr>
      </w:pPr>
    </w:p>
    <w:p>
      <w:pPr>
        <w:ind w:left="601" w:hanging="601"/>
        <w:spacing w:after="0" w:line="239" w:lineRule="auto"/>
        <w:tabs>
          <w:tab w:leader="none" w:pos="601"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For the years ended December 31, 2012, 2011 and 2010, net income (loss) shown above excludes $(812), $(26) and $(11), respectively, of net income (loss) attributable to redeemable noncontrolling interests.</w:t>
      </w:r>
    </w:p>
    <w:p>
      <w:pPr>
        <w:ind w:left="601" w:hanging="601"/>
        <w:spacing w:after="0"/>
        <w:tabs>
          <w:tab w:leader="none" w:pos="601"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$27.3 million of land assets contributed by a noncontrolling partner (see Note 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1"/>
          </w:cols>
          <w:pgMar w:left="239" w:top="120" w:right="239" w:bottom="1440" w:gutter="0" w:footer="0" w:header="0"/>
        </w:sectPr>
      </w:pPr>
    </w:p>
    <w:bookmarkStart w:id="54" w:name="page55"/>
    <w:bookmarkEnd w:id="54"/>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8" w:lineRule="exact"/>
        <w:rPr>
          <w:sz w:val="20"/>
          <w:szCs w:val="20"/>
          <w:color w:val="auto"/>
        </w:rPr>
      </w:pPr>
    </w:p>
    <w:tbl>
      <w:tblPr>
        <w:tblLayout w:type="fixed"/>
        <w:tblInd w:w="141"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right"/>
              <w:ind w:right="146"/>
              <w:spacing w:after="0"/>
              <w:rPr>
                <w:sz w:val="20"/>
                <w:szCs w:val="20"/>
                <w:color w:val="auto"/>
              </w:rPr>
            </w:pPr>
            <w:r>
              <w:rPr>
                <w:rFonts w:ascii="Arial" w:cs="Arial" w:eastAsia="Arial" w:hAnsi="Arial"/>
                <w:sz w:val="13"/>
                <w:szCs w:val="13"/>
                <w:b w:val="1"/>
                <w:bCs w:val="1"/>
                <w:color w:val="auto"/>
              </w:rPr>
              <w:t>For the Years Ended December 31,</w:t>
            </w:r>
          </w:p>
        </w:tc>
        <w:tc>
          <w:tcPr>
            <w:tcW w:w="1060" w:type="dxa"/>
            <w:vAlign w:val="bottom"/>
            <w:tcBorders>
              <w:bottom w:val="single" w:sz="8" w:color="auto"/>
            </w:tcBorders>
          </w:tcPr>
          <w:p>
            <w:pPr>
              <w:spacing w:after="0"/>
              <w:rPr>
                <w:sz w:val="15"/>
                <w:szCs w:val="15"/>
                <w:color w:val="auto"/>
              </w:rPr>
            </w:pPr>
          </w:p>
        </w:tc>
      </w:tr>
      <w:tr>
        <w:trPr>
          <w:trHeight w:val="241"/>
        </w:trPr>
        <w:tc>
          <w:tcPr>
            <w:tcW w:w="65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2010</w:t>
            </w:r>
          </w:p>
        </w:tc>
      </w:tr>
      <w:tr>
        <w:trPr>
          <w:trHeight w:val="22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8"/>
        </w:trPr>
        <w:tc>
          <w:tcPr>
            <w:tcW w:w="658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(241,430)</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(25,693)</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80,206</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(loss) to cash flows from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Provision for loan losses</w:t>
            </w: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81,740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46,412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331,487</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Impairment of assets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38,077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22,386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22,403</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70,786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63,928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70,770</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Payments for withholding taxes upon vesting of stock-based compensation</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(12,589)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(6,273)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(639)</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Non-cash expense for stock-based compensation</w:t>
            </w: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15,293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29,702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19,355</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discounts/premiums and deferred financing costs on debt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31,981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32,345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(18,926)</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Amortization of discounts/premiums and deferred interest on loans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(47,279)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(62,194)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(102,261)</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Earnings from equity method investments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(103,009)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(95,091)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(51,908)</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Distributions from operations of equity method investments</w:t>
            </w: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105,586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85,766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32,651</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Deferred operating lease income</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(9,390)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(9,976)</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Deferred income taxes</w:t>
            </w: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(13,729)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4,473</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from sales of residential property</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(63,472)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(5,721)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Gain from discontinued operations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(25,110)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(270,382)</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(Gain) loss on early extinguishment of debt, net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22,405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(97,742)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(110,075)</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Repayments and repurchases of debt - debt discount(1)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(74,712)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(1,461)</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operating activities, net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9,427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6,492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9,749</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Changes in assets and liabilities: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Changes in accrued interest and operating lease income receivable, net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4,793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14,259</w:t>
            </w:r>
          </w:p>
        </w:tc>
      </w:tr>
      <w:tr>
        <w:trPr>
          <w:trHeight w:val="218"/>
        </w:trPr>
        <w:tc>
          <w:tcPr>
            <w:tcW w:w="6580" w:type="dxa"/>
            <w:vAlign w:val="bottom"/>
          </w:tcPr>
          <w:p>
            <w:pPr>
              <w:ind w:left="260"/>
              <w:spacing w:after="0"/>
              <w:rPr>
                <w:sz w:val="20"/>
                <w:szCs w:val="20"/>
                <w:color w:val="auto"/>
              </w:rPr>
            </w:pPr>
            <w:r>
              <w:rPr>
                <w:rFonts w:ascii="Arial" w:cs="Arial" w:eastAsia="Arial" w:hAnsi="Arial"/>
                <w:sz w:val="15"/>
                <w:szCs w:val="15"/>
                <w:color w:val="auto"/>
              </w:rPr>
              <w:t>Changes in deferred expenses and other assets, net</w:t>
            </w: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1,271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20,580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(1,781)</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Changes in accounts payable, 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5,710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(63,827)</w:t>
            </w:r>
          </w:p>
        </w:tc>
      </w:tr>
      <w:tr>
        <w:trPr>
          <w:trHeight w:val="198"/>
        </w:trPr>
        <w:tc>
          <w:tcPr>
            <w:tcW w:w="6580" w:type="dxa"/>
            <w:vAlign w:val="bottom"/>
          </w:tcPr>
          <w:p>
            <w:pPr>
              <w:ind w:left="260"/>
              <w:spacing w:after="0"/>
              <w:rPr>
                <w:sz w:val="20"/>
                <w:szCs w:val="20"/>
                <w:color w:val="auto"/>
              </w:rPr>
            </w:pPr>
            <w:r>
              <w:rPr>
                <w:rFonts w:ascii="Arial" w:cs="Arial" w:eastAsia="Arial" w:hAnsi="Arial"/>
                <w:sz w:val="15"/>
                <w:szCs w:val="15"/>
                <w:color w:val="auto"/>
              </w:rPr>
              <w:t>Cash flows from operating activities</w:t>
            </w: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(191,932)</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(28,577)</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(45,883)</w:t>
            </w:r>
          </w:p>
        </w:tc>
      </w:tr>
      <w:tr>
        <w:trPr>
          <w:trHeight w:val="30"/>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investing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Investment originations and fundings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(57,353)</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(120,333)</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(456,678)</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Capital expenditures on real estate assets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(83,070)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(64,169)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(42,863)</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Contributions to unconsolidated entities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(10,640)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(41,820)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(23,520)</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Repayments of and principal collections on loans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728,657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1,208,403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1,519,653</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Net proceeds from sales of loans</w:t>
            </w: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56,998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95,859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700,098</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Net proceeds from sales of real estate assets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562,705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215,930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1,823,181</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Net proceeds from repayments and sales of securities</w:t>
            </w: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213,344</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Distributions from unconsolidated entities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78,238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188,467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11,441</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Changes in restricted cash held in connection with investing activities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(20,042)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(2,068)</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investing activities,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(3,765)</w:t>
            </w:r>
          </w:p>
        </w:tc>
      </w:tr>
      <w:tr>
        <w:trPr>
          <w:trHeight w:val="198"/>
        </w:trPr>
        <w:tc>
          <w:tcPr>
            <w:tcW w:w="6580" w:type="dxa"/>
            <w:vAlign w:val="bottom"/>
          </w:tcPr>
          <w:p>
            <w:pPr>
              <w:ind w:left="260"/>
              <w:spacing w:after="0"/>
              <w:rPr>
                <w:sz w:val="20"/>
                <w:szCs w:val="20"/>
                <w:color w:val="auto"/>
              </w:rPr>
            </w:pPr>
            <w:r>
              <w:rPr>
                <w:rFonts w:ascii="Arial" w:cs="Arial" w:eastAsia="Arial" w:hAnsi="Arial"/>
                <w:sz w:val="15"/>
                <w:szCs w:val="15"/>
                <w:color w:val="auto"/>
              </w:rPr>
              <w:t>Cash flows from investing activities</w:t>
            </w: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1,267,047</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1,461,257</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3,738,823</w:t>
            </w:r>
          </w:p>
        </w:tc>
      </w:tr>
      <w:tr>
        <w:trPr>
          <w:trHeight w:val="30"/>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Borrowings under secured credit facilities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2,652,265</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2,913,250</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36,294</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Repayments under secured credit facilities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(2,681,112)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(1,489,970)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(36,812)</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Repayments under unsecured credit facilities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(244,046)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(506,600)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Borrowings under secured term loans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82,500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124,575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Repayments under secured term loans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(1,684,231)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(2,132,899)</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Borrowings under unsecured notes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764,029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Repayments under unsecured notes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(697,842)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(374,775)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(374,249)</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Repurchases and redemptions of secured and unsecured notes</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(873,873)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(408,678)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(857,346)</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Payments for deferred financing costs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(21,662)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(35,545)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Preferred dividends paid</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(42,320)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(42,320)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(42,320)</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Purchase of treasury stock</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(78,849)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(7,476)</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Changes in restricted cash held in connection with debt obligations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12,064</w:t>
            </w:r>
          </w:p>
        </w:tc>
      </w:tr>
      <w:tr>
        <w:trPr>
          <w:trHeight w:val="218"/>
        </w:trPr>
        <w:tc>
          <w:tcPr>
            <w:tcW w:w="6580" w:type="dxa"/>
            <w:vAlign w:val="bottom"/>
          </w:tcPr>
          <w:p>
            <w:pPr>
              <w:ind w:left="160"/>
              <w:spacing w:after="0"/>
              <w:rPr>
                <w:sz w:val="20"/>
                <w:szCs w:val="20"/>
                <w:color w:val="auto"/>
              </w:rPr>
            </w:pPr>
            <w:r>
              <w:rPr>
                <w:rFonts w:ascii="Arial" w:cs="Arial" w:eastAsia="Arial" w:hAnsi="Arial"/>
                <w:sz w:val="15"/>
                <w:szCs w:val="15"/>
                <w:color w:val="auto"/>
              </w:rPr>
              <w:t>Other financing activities, net</w:t>
            </w: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2,352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2,225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(9,963)</w:t>
            </w:r>
          </w:p>
        </w:tc>
      </w:tr>
      <w:tr>
        <w:trPr>
          <w:trHeight w:val="30"/>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Cash flows from financing activities</w:t>
            </w: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(1,175,597)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(1,580,719)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(3,412,707)</w:t>
            </w:r>
          </w:p>
        </w:tc>
      </w:tr>
      <w:tr>
        <w:trPr>
          <w:trHeight w:val="198"/>
        </w:trPr>
        <w:tc>
          <w:tcPr>
            <w:tcW w:w="6580" w:type="dxa"/>
            <w:vAlign w:val="bottom"/>
          </w:tcPr>
          <w:p>
            <w:pPr>
              <w:ind w:left="160"/>
              <w:spacing w:after="0"/>
              <w:rPr>
                <w:sz w:val="20"/>
                <w:szCs w:val="20"/>
                <w:color w:val="auto"/>
              </w:rPr>
            </w:pPr>
            <w:r>
              <w:rPr>
                <w:rFonts w:ascii="Arial" w:cs="Arial" w:eastAsia="Arial" w:hAnsi="Arial"/>
                <w:sz w:val="15"/>
                <w:szCs w:val="15"/>
                <w:color w:val="auto"/>
              </w:rPr>
              <w:t>Changes in cash and cash equivalents</w:t>
            </w: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(100,482)</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(148,039)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280,233</w:t>
            </w:r>
          </w:p>
        </w:tc>
      </w:tr>
      <w:tr>
        <w:trPr>
          <w:trHeight w:val="30"/>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cash equivalents at beginning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356,826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504,865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224,632</w:t>
            </w:r>
          </w:p>
        </w:tc>
      </w:tr>
      <w:tr>
        <w:trPr>
          <w:trHeight w:val="221"/>
        </w:trPr>
        <w:tc>
          <w:tcPr>
            <w:tcW w:w="6580" w:type="dxa"/>
            <w:vAlign w:val="bottom"/>
          </w:tcPr>
          <w:p>
            <w:pPr>
              <w:ind w:left="160"/>
              <w:spacing w:after="0"/>
              <w:rPr>
                <w:sz w:val="20"/>
                <w:szCs w:val="20"/>
                <w:color w:val="auto"/>
              </w:rPr>
            </w:pPr>
            <w:r>
              <w:rPr>
                <w:rFonts w:ascii="Arial" w:cs="Arial" w:eastAsia="Arial" w:hAnsi="Arial"/>
                <w:sz w:val="15"/>
                <w:szCs w:val="15"/>
                <w:color w:val="auto"/>
              </w:rPr>
              <w:t>Cash and cash equivalents at end of period</w:t>
            </w: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256,344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356,826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504,865</w:t>
            </w:r>
          </w:p>
        </w:tc>
      </w:tr>
      <w:tr>
        <w:trPr>
          <w:trHeight w:val="20"/>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65" w:lineRule="auto"/>
        <w:tabs>
          <w:tab w:leader="none" w:pos="601"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portion of debt repayments and repurchases made during the period related to the original issue discount ("OID"). Although these amounts do not reflect contractual interest payments made during the period, the OID is considered an operating cash flow in accordance with GAAP.</w:t>
      </w:r>
    </w:p>
    <w:p>
      <w:pPr>
        <w:sectPr>
          <w:pgSz w:w="11900" w:h="16838" w:orient="portrait"/>
          <w:cols w:equalWidth="0" w:num="1">
            <w:col w:w="11421"/>
          </w:cols>
          <w:pgMar w:left="239" w:top="120" w:right="239" w:bottom="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1"/>
          </w:cols>
          <w:pgMar w:left="239" w:top="120" w:right="239" w:bottom="0" w:gutter="0" w:footer="0" w:header="0"/>
          <w:type w:val="continuous"/>
        </w:sectPr>
      </w:pPr>
    </w:p>
    <w:bookmarkStart w:id="55" w:name="page56"/>
    <w:bookmarkEnd w:id="55"/>
    <w:p>
      <w:pPr>
        <w:jc w:val="center"/>
        <w:ind w:right="-2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9019"/>
          </w:cols>
          <w:pgMar w:left="1440" w:top="350" w:right="1440" w:bottom="1440" w:gutter="0" w:footer="0" w:header="0"/>
        </w:sectPr>
      </w:pPr>
    </w:p>
    <w:bookmarkStart w:id="56" w:name="page57"/>
    <w:bookmarkEnd w:id="56"/>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1—Business and Organization</w:t>
      </w:r>
    </w:p>
    <w:p>
      <w:pPr>
        <w:spacing w:after="0" w:line="202" w:lineRule="exact"/>
        <w:rPr>
          <w:sz w:val="20"/>
          <w:szCs w:val="20"/>
          <w:color w:val="auto"/>
        </w:rPr>
      </w:pPr>
    </w:p>
    <w:p>
      <w:pPr>
        <w:jc w:val="both"/>
        <w:ind w:firstLine="397"/>
        <w:spacing w:after="0" w:line="25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is a fully-integrated finance and investment company focused on the commercial real estate industry.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leasing, operating properties and land.</w:t>
      </w:r>
    </w:p>
    <w:p>
      <w:pPr>
        <w:spacing w:after="0" w:line="175"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Organization</w:t>
      </w:r>
      <w:r>
        <w:rPr>
          <w:rFonts w:ascii="Arial" w:cs="Arial" w:eastAsia="Arial" w:hAnsi="Arial"/>
          <w:sz w:val="17"/>
          <w:szCs w:val="17"/>
          <w:color w:val="auto"/>
        </w:rPr>
        <w:t>—The Company began its business in 1993 through private investment funds and became publicly traded in 1998. Since that time, the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grown through the origination of new lending and leasing transactions, as well as through corporate acquisitions.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2—Basis of Presentation and Principles of Consolidation</w:t>
      </w:r>
    </w:p>
    <w:p>
      <w:pPr>
        <w:spacing w:after="0" w:line="326" w:lineRule="exact"/>
        <w:rPr>
          <w:sz w:val="20"/>
          <w:szCs w:val="20"/>
          <w:color w:val="auto"/>
        </w:rPr>
      </w:pPr>
    </w:p>
    <w:p>
      <w:pPr>
        <w:jc w:val="both"/>
        <w:ind w:firstLine="397"/>
        <w:spacing w:after="0" w:line="322" w:lineRule="auto"/>
        <w:rPr>
          <w:sz w:val="20"/>
          <w:szCs w:val="20"/>
          <w:color w:val="auto"/>
        </w:rPr>
      </w:pPr>
      <w:r>
        <w:rPr>
          <w:rFonts w:ascii="Arial" w:cs="Arial" w:eastAsia="Arial" w:hAnsi="Arial"/>
          <w:sz w:val="14"/>
          <w:szCs w:val="14"/>
          <w:b w:val="1"/>
          <w:bCs w:val="1"/>
          <w:color w:val="auto"/>
        </w:rPr>
        <w:t>Basis of Presentation</w:t>
      </w:r>
      <w:r>
        <w:rPr>
          <w:rFonts w:ascii="Arial" w:cs="Arial" w:eastAsia="Arial" w:hAnsi="Arial"/>
          <w:sz w:val="14"/>
          <w:szCs w:val="14"/>
          <w:color w:val="auto"/>
        </w:rPr>
        <w:t>—The accompanying audited Consolidated Financial Statements have been prepared in conformity with generally accepted accounting</w:t>
      </w:r>
      <w:r>
        <w:rPr>
          <w:rFonts w:ascii="Arial" w:cs="Arial" w:eastAsia="Arial" w:hAnsi="Arial"/>
          <w:sz w:val="14"/>
          <w:szCs w:val="14"/>
          <w:b w:val="1"/>
          <w:bCs w:val="1"/>
          <w:color w:val="auto"/>
        </w:rPr>
        <w:t xml:space="preserve"> </w:t>
      </w:r>
      <w:r>
        <w:rPr>
          <w:rFonts w:ascii="Arial" w:cs="Arial" w:eastAsia="Arial" w:hAnsi="Arial"/>
          <w:sz w:val="14"/>
          <w:szCs w:val="14"/>
          <w:color w:val="auto"/>
        </w:rPr>
        <w:t>principles in the United States of America ("GAAP") for complete financial statements. The preparation of financial statements in conformity with GAAP requires management to make estimates and assumptions that affect the reported amounts of assets, liabilities, disclosure of contingent assets and liabilities at the dates of the financial statements and the reported amounts of revenues and expenses during the reporting periods. Actual results could differ from those estimates.</w:t>
      </w:r>
    </w:p>
    <w:p>
      <w:pPr>
        <w:spacing w:after="0" w:line="58" w:lineRule="exact"/>
        <w:rPr>
          <w:sz w:val="20"/>
          <w:szCs w:val="20"/>
          <w:color w:val="auto"/>
        </w:rPr>
      </w:pPr>
    </w:p>
    <w:p>
      <w:pPr>
        <w:jc w:val="both"/>
        <w:ind w:firstLine="372"/>
        <w:spacing w:after="0" w:line="249" w:lineRule="auto"/>
        <w:rPr>
          <w:sz w:val="20"/>
          <w:szCs w:val="20"/>
          <w:color w:val="auto"/>
        </w:rPr>
      </w:pPr>
      <w:r>
        <w:rPr>
          <w:rFonts w:ascii="Arial" w:cs="Arial" w:eastAsia="Arial" w:hAnsi="Arial"/>
          <w:sz w:val="17"/>
          <w:szCs w:val="17"/>
          <w:color w:val="auto"/>
        </w:rPr>
        <w:t>The Company has revised the presentation of its Consolidated Financial Statements to provide financial information that management believes better reflects the changes in its underlying business, including the types of investments the Company now holds. The Company has not changed any of its historically applied accounting policies, nor has it revised the aggregate amount of previously reported total assets, liabilities, equity, net income or classifications of cash flows as part of the new presentation.</w:t>
      </w:r>
    </w:p>
    <w:p>
      <w:pPr>
        <w:spacing w:after="0" w:line="182" w:lineRule="exact"/>
        <w:rPr>
          <w:sz w:val="20"/>
          <w:szCs w:val="20"/>
          <w:color w:val="auto"/>
        </w:rPr>
      </w:pPr>
    </w:p>
    <w:p>
      <w:pPr>
        <w:jc w:val="both"/>
        <w:ind w:firstLine="372"/>
        <w:spacing w:after="0" w:line="368" w:lineRule="auto"/>
        <w:rPr>
          <w:sz w:val="20"/>
          <w:szCs w:val="20"/>
          <w:color w:val="auto"/>
        </w:rPr>
      </w:pPr>
      <w:r>
        <w:rPr>
          <w:rFonts w:ascii="Arial" w:cs="Arial" w:eastAsia="Arial" w:hAnsi="Arial"/>
          <w:sz w:val="14"/>
          <w:szCs w:val="14"/>
          <w:color w:val="auto"/>
        </w:rPr>
        <w:t>As of December 31, 2012, assets that were previously presented in, “Net lease assets, net,” and “Real estate held for investment, net,” are now presented in “Real estate, net.” Assets that were presented in “Other real estate owned” and "Assets held for sale" are now presented in “Real estate available and held for sale.”</w:t>
      </w:r>
    </w:p>
    <w:p>
      <w:pPr>
        <w:spacing w:after="0" w:line="102"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6"/>
          <w:szCs w:val="16"/>
          <w:color w:val="auto"/>
        </w:rPr>
        <w:t>On the Consolidated Statements of Operations, lease income related to what was previously classified as “Real estate held for investment, net” and was previously presented in “Other income,” is now presented as “Operating lease income.” Additionally, tenant expense recoveries that were previously presented in “Operating costs-net lease assets” and “Other income” are now presented in “Operating lease income.” In addition, subject to certain changes mentioned above, costs previously presented as “Operating costs-net lease asset,” and “Operating costs-REHI and OREO,” are now presented in “Real estate expense.”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Prior year amounts have been reclassified in the Consolidated Financial Statements and the related notes to conform to the current period presentation.</w:t>
      </w:r>
    </w:p>
    <w:p>
      <w:pPr>
        <w:spacing w:after="0" w:line="209"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Principles of Consolidation</w:t>
      </w:r>
      <w:r>
        <w:rPr>
          <w:rFonts w:ascii="Arial" w:cs="Arial" w:eastAsia="Arial" w:hAnsi="Arial"/>
          <w:sz w:val="17"/>
          <w:szCs w:val="17"/>
          <w:color w:val="auto"/>
        </w:rPr>
        <w:t>—The Consolidated Financial Statements include the financial statements of the Company, its wholly owned subsidiaries, controlled</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partnerships and variable interest entities ("VIEs") for which the Company is the primary beneficiary. All significant intercompany balances and transactions have been eliminated in consolidation.</w:t>
      </w:r>
    </w:p>
    <w:p>
      <w:pPr>
        <w:spacing w:after="0" w:line="178" w:lineRule="exact"/>
        <w:rPr>
          <w:sz w:val="20"/>
          <w:szCs w:val="20"/>
          <w:color w:val="auto"/>
        </w:rPr>
      </w:pPr>
    </w:p>
    <w:p>
      <w:pPr>
        <w:jc w:val="both"/>
        <w:ind w:firstLine="447"/>
        <w:spacing w:after="0" w:line="275" w:lineRule="auto"/>
        <w:rPr>
          <w:sz w:val="20"/>
          <w:szCs w:val="20"/>
          <w:color w:val="auto"/>
        </w:rPr>
      </w:pPr>
      <w:r>
        <w:rPr>
          <w:rFonts w:ascii="Arial" w:cs="Arial" w:eastAsia="Arial" w:hAnsi="Arial"/>
          <w:sz w:val="16"/>
          <w:szCs w:val="16"/>
          <w:b w:val="1"/>
          <w:bCs w:val="1"/>
          <w:i w:val="1"/>
          <w:iCs w:val="1"/>
          <w:color w:val="auto"/>
        </w:rPr>
        <w:t>Consolidated VIEs</w:t>
      </w:r>
      <w:r>
        <w:rPr>
          <w:rFonts w:ascii="Arial" w:cs="Arial" w:eastAsia="Arial" w:hAnsi="Arial"/>
          <w:sz w:val="16"/>
          <w:szCs w:val="16"/>
          <w:color w:val="auto"/>
        </w:rPr>
        <w:t>—As of December 31, 2012, the Company consolidated five VIEs for which the Company is considered the primary beneficiary. None of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entities had debt as of December 31, 2012 and 2011. The assets and liabilities of the Company's consolidated VIEs are included in the Company's Consolidated Balance Sheets. The Company's total unfunded commitments related to consolidated VIEs is $67.0 million as of December 31, 2012.</w:t>
      </w:r>
    </w:p>
    <w:p>
      <w:pPr>
        <w:spacing w:after="0" w:line="162"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b w:val="1"/>
          <w:bCs w:val="1"/>
          <w:i w:val="1"/>
          <w:iCs w:val="1"/>
          <w:color w:val="auto"/>
        </w:rPr>
        <w:t>Unconsolidated VIEs</w:t>
      </w:r>
      <w:r>
        <w:rPr>
          <w:rFonts w:ascii="Arial" w:cs="Arial" w:eastAsia="Arial" w:hAnsi="Arial"/>
          <w:sz w:val="14"/>
          <w:szCs w:val="14"/>
          <w:color w:val="auto"/>
        </w:rPr>
        <w:t>—As of December 31, 2012, 27 of the Company's other investments were in VIEs where it is not the primary beneficiary and accordingly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VIEs have not been consolidated in the Company's Consolidated Financial Statements. As of December 31, 2012, the Company's maximum exposure to loss from these investments does not exceed the sum of the $153.1 million carrying value of the investments and $8.5 million of related unfunded commitments.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3—Summary of Significant Accounting Policies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Real estate—</w:t>
      </w:r>
      <w:r>
        <w:rPr>
          <w:rFonts w:ascii="Arial" w:cs="Arial" w:eastAsia="Arial" w:hAnsi="Arial"/>
          <w:sz w:val="17"/>
          <w:szCs w:val="17"/>
          <w:color w:val="auto"/>
        </w:rPr>
        <w:t>Real estate assets are recorded at cost less accumulated depreciation and amortization, as follows:</w:t>
      </w:r>
    </w:p>
    <w:p>
      <w:pPr>
        <w:spacing w:after="0" w:line="168" w:lineRule="exact"/>
        <w:rPr>
          <w:sz w:val="20"/>
          <w:szCs w:val="20"/>
          <w:color w:val="auto"/>
        </w:rPr>
      </w:pPr>
    </w:p>
    <w:p>
      <w:pPr>
        <w:jc w:val="both"/>
        <w:ind w:firstLine="596"/>
        <w:spacing w:after="0" w:line="310" w:lineRule="auto"/>
        <w:rPr>
          <w:sz w:val="20"/>
          <w:szCs w:val="20"/>
          <w:color w:val="auto"/>
        </w:rPr>
      </w:pPr>
      <w:r>
        <w:rPr>
          <w:rFonts w:ascii="Arial" w:cs="Arial" w:eastAsia="Arial" w:hAnsi="Arial"/>
          <w:sz w:val="14"/>
          <w:szCs w:val="14"/>
          <w:i w:val="1"/>
          <w:iCs w:val="1"/>
          <w:color w:val="auto"/>
        </w:rPr>
        <w:t xml:space="preserve">Capitalization and depreciation— </w:t>
      </w:r>
      <w:r>
        <w:rPr>
          <w:rFonts w:ascii="Arial" w:cs="Arial" w:eastAsia="Arial" w:hAnsi="Arial"/>
          <w:sz w:val="14"/>
          <w:szCs w:val="14"/>
          <w:color w:val="auto"/>
        </w:rPr>
        <w:t>Certain improvements and replacements are capitalized when they extend the useful life of the asset. Qualified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construction costs, including interest and certain other carrying costs incurred during the construction and/or renovation periods are also capitalized and charged to operations through depreciation over the asset's estimated useful life. The Company ceases capitalization on the portions substantially completed and capitalizes only those costs associated with the portions under development. Repairs and maintenance items are expensed as incurred. Depreciation is computed using the straight-line method of cost recovery over the 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05" w:lineRule="exact"/>
        <w:rPr>
          <w:sz w:val="20"/>
          <w:szCs w:val="20"/>
          <w:color w:val="auto"/>
        </w:rPr>
      </w:pPr>
    </w:p>
    <w:p>
      <w:pPr>
        <w:jc w:val="both"/>
        <w:ind w:firstLine="596"/>
        <w:spacing w:after="0" w:line="308" w:lineRule="auto"/>
        <w:rPr>
          <w:sz w:val="20"/>
          <w:szCs w:val="20"/>
          <w:color w:val="auto"/>
        </w:rPr>
      </w:pPr>
      <w:r>
        <w:rPr>
          <w:rFonts w:ascii="Arial" w:cs="Arial" w:eastAsia="Arial" w:hAnsi="Arial"/>
          <w:sz w:val="14"/>
          <w:szCs w:val="14"/>
          <w:i w:val="1"/>
          <w:iCs w:val="1"/>
          <w:color w:val="auto"/>
        </w:rPr>
        <w:t>Purchase price allocation—</w:t>
      </w:r>
      <w:r>
        <w:rPr>
          <w:rFonts w:ascii="Arial" w:cs="Arial" w:eastAsia="Arial" w:hAnsi="Arial"/>
          <w:sz w:val="14"/>
          <w:szCs w:val="14"/>
          <w:color w:val="auto"/>
        </w:rPr>
        <w:t>The Company accounts for its acquisition of properties by recording the purchase price of tangible and intangible assets and liabilities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acquired based on their estimated fair values. The value of the tangible assets, consisting of land, buildings, building improvements and tenant improvements is determined as if these assets are vacant. Intangible assets may include the value of above-market or below-market, in-place leases and the value of customer relationships, which are each recorded at their estimated fair values and included in “Real estate, net” on the Company's Consolidated Balance Sheets. The capitalized above-market (or below-market) lease value is amortized as a reduction of (or, increase to) operating lease income over the remaining non-cancelable term of each lease plus any renewal periods with fixed rental terms that are considered to be below-market. The Company also engages in sale/leaseback transactions and typically executes leases with the occupant simultaneously with the purchase of the net lease asset at market-rate rents. As such, no above-market or below-market lease value is ascribed to these transactions.</w:t>
      </w:r>
    </w:p>
    <w:p>
      <w:pPr>
        <w:spacing w:after="0" w:line="105"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16"/>
          <w:szCs w:val="16"/>
          <w:i w:val="1"/>
          <w:iCs w:val="1"/>
          <w:color w:val="auto"/>
        </w:rPr>
        <w:t>Impairments—</w:t>
      </w:r>
      <w:r>
        <w:rPr>
          <w:rFonts w:ascii="Arial" w:cs="Arial" w:eastAsia="Arial" w:hAnsi="Arial"/>
          <w:sz w:val="16"/>
          <w:szCs w:val="16"/>
          <w:color w:val="auto"/>
        </w:rPr>
        <w:t>The Company periodically reviews long-lived assets to be held and used for impairment in value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amount of such assets may not be recoverable. The value of a long-lived asset held for use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estimated fair value of the asset and reflected as an adjustment to the basis of the asset. Impairments of real estate assets that are not held for sale are recorded in "Impairment of assets" on the Company's Consolidated Statements of Operations.</w:t>
      </w:r>
    </w:p>
    <w:p>
      <w:pPr>
        <w:spacing w:after="0" w:line="135" w:lineRule="exact"/>
        <w:rPr>
          <w:sz w:val="20"/>
          <w:szCs w:val="20"/>
          <w:color w:val="auto"/>
        </w:rPr>
      </w:pPr>
    </w:p>
    <w:p>
      <w:pPr>
        <w:jc w:val="both"/>
        <w:ind w:firstLine="596"/>
        <w:spacing w:after="0" w:line="247" w:lineRule="auto"/>
        <w:rPr>
          <w:sz w:val="20"/>
          <w:szCs w:val="20"/>
          <w:color w:val="auto"/>
        </w:rPr>
      </w:pPr>
      <w:r>
        <w:rPr>
          <w:rFonts w:ascii="Arial" w:cs="Arial" w:eastAsia="Arial" w:hAnsi="Arial"/>
          <w:sz w:val="17"/>
          <w:szCs w:val="17"/>
          <w:i w:val="1"/>
          <w:iCs w:val="1"/>
          <w:color w:val="auto"/>
        </w:rPr>
        <w:t>Real estate available and held for sale—</w:t>
      </w:r>
      <w:r>
        <w:rPr>
          <w:rFonts w:ascii="Arial" w:cs="Arial" w:eastAsia="Arial" w:hAnsi="Arial"/>
          <w:sz w:val="17"/>
          <w:szCs w:val="17"/>
          <w:color w:val="auto"/>
        </w:rPr>
        <w:t>The Company reports real estate assets to be disposed of at the lower of their carrying amount or estimated fair value less</w:t>
      </w:r>
      <w:r>
        <w:rPr>
          <w:rFonts w:ascii="Arial" w:cs="Arial" w:eastAsia="Arial" w:hAnsi="Arial"/>
          <w:sz w:val="17"/>
          <w:szCs w:val="17"/>
          <w:i w:val="1"/>
          <w:iCs w:val="1"/>
          <w:color w:val="auto"/>
        </w:rPr>
        <w:t xml:space="preserve"> </w:t>
      </w:r>
      <w:r>
        <w:rPr>
          <w:rFonts w:ascii="Arial" w:cs="Arial" w:eastAsia="Arial" w:hAnsi="Arial"/>
          <w:sz w:val="17"/>
          <w:szCs w:val="17"/>
          <w:color w:val="auto"/>
        </w:rPr>
        <w:t>costs to sell and classifies them as “Real estate available and held for sale” on the Company's Consolidated Balance Sheets. If a triggering event occurs and the estimated fair value less costs to sell is less than the carrying value, the difference will be recorded as an impairment charge and included in "Income (loss) from discontinued operations" on the Company's Consolidated Statements of Operations. Once a real estate asset is classified as held for sale, depreciation expense is no longer recorded and historical operating results, including impairments, are reclassified to "Income (loss) from discontinued operations" on the Company's Consolidated Statements of Operations.</w:t>
      </w:r>
    </w:p>
    <w:p>
      <w:pPr>
        <w:spacing w:after="0" w:line="146" w:lineRule="exact"/>
        <w:rPr>
          <w:sz w:val="20"/>
          <w:szCs w:val="20"/>
          <w:color w:val="auto"/>
        </w:rPr>
      </w:pPr>
    </w:p>
    <w:p>
      <w:pPr>
        <w:jc w:val="both"/>
        <w:ind w:firstLine="596"/>
        <w:spacing w:after="0" w:line="320" w:lineRule="auto"/>
        <w:rPr>
          <w:sz w:val="20"/>
          <w:szCs w:val="20"/>
          <w:color w:val="auto"/>
        </w:rPr>
      </w:pPr>
      <w:r>
        <w:rPr>
          <w:rFonts w:ascii="Arial" w:cs="Arial" w:eastAsia="Arial" w:hAnsi="Arial"/>
          <w:sz w:val="14"/>
          <w:szCs w:val="14"/>
          <w:color w:val="auto"/>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 for sale, adjusted for any depreciation expense that would have been recognized had the property been continuously classified as held and used, or (ii) the estimated fair value at the date of the subsequent decision not to sell.</w:t>
      </w:r>
    </w:p>
    <w:p>
      <w:pPr>
        <w:spacing w:after="0" w:line="97" w:lineRule="exact"/>
        <w:rPr>
          <w:sz w:val="20"/>
          <w:szCs w:val="20"/>
          <w:color w:val="auto"/>
        </w:rPr>
      </w:pPr>
    </w:p>
    <w:p>
      <w:pPr>
        <w:jc w:val="both"/>
        <w:ind w:firstLine="596"/>
        <w:spacing w:after="0" w:line="320" w:lineRule="auto"/>
        <w:rPr>
          <w:sz w:val="20"/>
          <w:szCs w:val="20"/>
          <w:color w:val="auto"/>
        </w:rPr>
      </w:pPr>
      <w:r>
        <w:rPr>
          <w:rFonts w:ascii="Arial" w:cs="Arial" w:eastAsia="Arial" w:hAnsi="Arial"/>
          <w:sz w:val="14"/>
          <w:szCs w:val="14"/>
          <w:color w:val="auto"/>
        </w:rPr>
        <w:t>The Company reports residential property units to be disposed of at the lower of their carrying amount or estimated fair value less costs to sell and classifies them as “Real estate available and held for sale” on the Company's Consolidated Balance Sheets. If the estimated fair value less costs to sell is less than the carrying value, the difference will be recorded as an impairment charge and included in “Impairment of assets” on the Company's Consolidated Statements of Operations. The net carrying costs for residential property units are recorded in “Real estate expense” on the Company's Consolidated Statements of Operations.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ind w:firstLine="397"/>
        <w:spacing w:after="0" w:line="310" w:lineRule="auto"/>
        <w:rPr>
          <w:sz w:val="20"/>
          <w:szCs w:val="20"/>
          <w:color w:val="auto"/>
        </w:rPr>
      </w:pPr>
      <w:r>
        <w:rPr>
          <w:rFonts w:ascii="Arial" w:cs="Arial" w:eastAsia="Arial" w:hAnsi="Arial"/>
          <w:sz w:val="14"/>
          <w:szCs w:val="14"/>
          <w:i w:val="1"/>
          <w:iCs w:val="1"/>
          <w:color w:val="auto"/>
        </w:rPr>
        <w:t>Dispositions—</w:t>
      </w:r>
      <w:r>
        <w:rPr>
          <w:rFonts w:ascii="Arial" w:cs="Arial" w:eastAsia="Arial" w:hAnsi="Arial"/>
          <w:sz w:val="14"/>
          <w:szCs w:val="14"/>
          <w:color w:val="auto"/>
        </w:rPr>
        <w:t>Sales and the associated gains or losses on real estate assets, including developed condominiums, are recognized in accordance with ASC 360-20</w:t>
      </w:r>
      <w:r>
        <w:rPr>
          <w:rFonts w:ascii="Arial" w:cs="Arial" w:eastAsia="Arial" w:hAnsi="Arial"/>
          <w:sz w:val="14"/>
          <w:szCs w:val="14"/>
          <w:i w:val="1"/>
          <w:iCs w:val="1"/>
          <w:color w:val="auto"/>
        </w:rPr>
        <w:t>, Real Estate Sales</w:t>
      </w:r>
      <w:r>
        <w:rPr>
          <w:rFonts w:ascii="Arial" w:cs="Arial" w:eastAsia="Arial" w:hAnsi="Arial"/>
          <w:sz w:val="14"/>
          <w:szCs w:val="14"/>
          <w:color w:val="auto"/>
        </w:rPr>
        <w:t>. Sales and the associated gains for individual condominium units are recognized for full profit recognition upon closing of the sale transactions, when the profit</w:t>
      </w:r>
      <w:r>
        <w:rPr>
          <w:rFonts w:ascii="Arial" w:cs="Arial" w:eastAsia="Arial" w:hAnsi="Arial"/>
          <w:sz w:val="14"/>
          <w:szCs w:val="14"/>
          <w:i w:val="1"/>
          <w:iCs w:val="1"/>
          <w:color w:val="auto"/>
        </w:rPr>
        <w:t xml:space="preserve"> </w:t>
      </w:r>
      <w:r>
        <w:rPr>
          <w:rFonts w:ascii="Arial" w:cs="Arial" w:eastAsia="Arial" w:hAnsi="Arial"/>
          <w:sz w:val="14"/>
          <w:szCs w:val="14"/>
          <w:color w:val="auto"/>
        </w:rPr>
        <w:t>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uses the relative sales value method to allocate costs. Gains on sales of net lease assets or commercial operating properties are recorded in “Gains from discontinued operations” and profits on sales of residential property units are included in "Income from sales of residential property" on the Company's Consolidated Statements of Operations.</w:t>
      </w:r>
    </w:p>
    <w:p>
      <w:pPr>
        <w:spacing w:after="0" w:line="101" w:lineRule="exact"/>
        <w:rPr>
          <w:sz w:val="20"/>
          <w:szCs w:val="20"/>
          <w:color w:val="auto"/>
        </w:rPr>
      </w:pPr>
    </w:p>
    <w:p>
      <w:pPr>
        <w:jc w:val="both"/>
        <w:ind w:firstLine="397"/>
        <w:spacing w:after="0" w:line="374" w:lineRule="auto"/>
        <w:rPr>
          <w:sz w:val="20"/>
          <w:szCs w:val="20"/>
          <w:color w:val="auto"/>
        </w:rPr>
      </w:pPr>
      <w:r>
        <w:rPr>
          <w:rFonts w:ascii="Arial" w:cs="Arial" w:eastAsia="Arial" w:hAnsi="Arial"/>
          <w:sz w:val="14"/>
          <w:szCs w:val="14"/>
          <w:b w:val="1"/>
          <w:bCs w:val="1"/>
          <w:color w:val="auto"/>
        </w:rPr>
        <w:t>Loans receivable, net</w:t>
      </w:r>
      <w:r>
        <w:rPr>
          <w:rFonts w:ascii="Arial" w:cs="Arial" w:eastAsia="Arial" w:hAnsi="Arial"/>
          <w:sz w:val="14"/>
          <w:szCs w:val="14"/>
          <w:i w:val="1"/>
          <w:iCs w:val="1"/>
          <w:color w:val="auto"/>
        </w:rPr>
        <w:t>—</w:t>
      </w:r>
      <w:r>
        <w:rPr>
          <w:rFonts w:ascii="Arial" w:cs="Arial" w:eastAsia="Arial" w:hAnsi="Arial"/>
          <w:sz w:val="14"/>
          <w:szCs w:val="14"/>
          <w:color w:val="auto"/>
        </w:rPr>
        <w:t>Loans receivable, net includes the following investments: senior mortgages, subordinate mortgages, corporate/partnership loans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investments-securities. Management considers nearly all of its loans to be held-for-investment, although certain investments may be classified as held-for-sale.</w:t>
      </w:r>
    </w:p>
    <w:p>
      <w:pPr>
        <w:spacing w:after="0" w:line="185"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Loans classified as held-for-investment are reported at their outstanding unpaid principal balance, and include unamortized acquisition premiums or discounts and unamortized deferred loan costs or fees. These loans also include accrued and paid-in-kind interest and accrued exit fees that the Company determines are probable of being collected.</w:t>
      </w:r>
    </w:p>
    <w:p>
      <w:pPr>
        <w:spacing w:after="0" w:line="22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Loans receivable designated for sale are classified as held-for-sale and are carried at lower of amortized historical cost or estimated fair value. The amount by which carrying value exceeds fair value is recorded as a valuation allowance. Subsequent changes in the valuation allowance are included in the determination of net income (loss) in the period in which the change occurs.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color w:val="auto"/>
        </w:rPr>
        <w:t>The Company acquires properties through foreclosure or by deed-in-lieu of foreclosure in full or partial satisfaction of non-performing loans. Based on the Company's strategic plan to realize the maximum value from the collateral received, property is classified as "Real estate, net" or "Real estate available and held for sale" at its estimated fair value when title to the property is obtained. Any excess of the carrying value of the loan over the estimated fair value of the property (less costs to sell for assets held for sale) is charged-off against the reserve for loan losses as of the date of foreclosure.</w:t>
      </w:r>
    </w:p>
    <w:p>
      <w:pPr>
        <w:spacing w:after="0" w:line="210" w:lineRule="exact"/>
        <w:rPr>
          <w:sz w:val="20"/>
          <w:szCs w:val="20"/>
          <w:color w:val="auto"/>
        </w:rPr>
      </w:pPr>
    </w:p>
    <w:p>
      <w:pPr>
        <w:jc w:val="both"/>
        <w:ind w:firstLine="397"/>
        <w:spacing w:after="0" w:line="315" w:lineRule="auto"/>
        <w:rPr>
          <w:sz w:val="20"/>
          <w:szCs w:val="20"/>
          <w:color w:val="auto"/>
        </w:rPr>
      </w:pPr>
      <w:r>
        <w:rPr>
          <w:rFonts w:ascii="Arial" w:cs="Arial" w:eastAsia="Arial" w:hAnsi="Arial"/>
          <w:sz w:val="14"/>
          <w:szCs w:val="14"/>
          <w:b w:val="1"/>
          <w:bCs w:val="1"/>
          <w:color w:val="auto"/>
        </w:rPr>
        <w:t>Equity and cost method investments</w:t>
      </w:r>
      <w:r>
        <w:rPr>
          <w:rFonts w:ascii="Arial" w:cs="Arial" w:eastAsia="Arial" w:hAnsi="Arial"/>
          <w:sz w:val="14"/>
          <w:szCs w:val="14"/>
          <w:i w:val="1"/>
          <w:iCs w:val="1"/>
          <w:color w:val="auto"/>
        </w:rPr>
        <w:t>—</w:t>
      </w:r>
      <w:r>
        <w:rPr>
          <w:rFonts w:ascii="Arial" w:cs="Arial" w:eastAsia="Arial" w:hAnsi="Arial"/>
          <w:sz w:val="14"/>
          <w:szCs w:val="14"/>
          <w:color w:val="auto"/>
        </w:rPr>
        <w:t>Equity interests are accounted for pursuant to the equity method of accounting if the Company can significantly influence the</w:t>
      </w:r>
      <w:r>
        <w:rPr>
          <w:rFonts w:ascii="Arial" w:cs="Arial" w:eastAsia="Arial" w:hAnsi="Arial"/>
          <w:sz w:val="14"/>
          <w:szCs w:val="14"/>
          <w:b w:val="1"/>
          <w:bCs w:val="1"/>
          <w:color w:val="auto"/>
        </w:rPr>
        <w:t xml:space="preserve"> </w:t>
      </w:r>
      <w:r>
        <w:rPr>
          <w:rFonts w:ascii="Arial" w:cs="Arial" w:eastAsia="Arial" w:hAnsi="Arial"/>
          <w:sz w:val="14"/>
          <w:szCs w:val="14"/>
          <w:color w:val="auto"/>
        </w:rPr>
        <w:t>operating and financial policies of an investee. This is generally presumed to exist when ownership interest is between 20% and 50% of a corporation, or greater than 5% of a limited partnership or certain limited liability companies. The Company's periodic share of earnings and losses in equity method investees is included in "Earnings from equity method investments" on the Consolidated Statements of Operations. When the Company's ownership position is too small to provide such influence, the cost method is used to account for the equity interest. Equity and cost method investments are included in "Other investments" on the Company's Consolidated Balance Sheets.</w:t>
      </w:r>
    </w:p>
    <w:p>
      <w:pPr>
        <w:spacing w:after="0" w:line="188"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are recorded in "Earnings from equity method investments" on the Company's Consolidated Statements of Operations.</w:t>
      </w:r>
    </w:p>
    <w:p>
      <w:pPr>
        <w:spacing w:after="0" w:line="227"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Cash and cash equivalents</w:t>
      </w:r>
      <w:r>
        <w:rPr>
          <w:rFonts w:ascii="Arial" w:cs="Arial" w:eastAsia="Arial" w:hAnsi="Arial"/>
          <w:sz w:val="17"/>
          <w:szCs w:val="17"/>
          <w:i w:val="1"/>
          <w:iCs w:val="1"/>
          <w:color w:val="auto"/>
        </w:rPr>
        <w:t>—</w:t>
      </w:r>
      <w:r>
        <w:rPr>
          <w:rFonts w:ascii="Arial" w:cs="Arial" w:eastAsia="Arial" w:hAnsi="Arial"/>
          <w:sz w:val="17"/>
          <w:szCs w:val="17"/>
          <w:color w:val="auto"/>
        </w:rPr>
        <w:t>Cash and cash equivalents include cash held in banks or invested in money market funds with original maturity terms of less than</w:t>
      </w:r>
      <w:r>
        <w:rPr>
          <w:rFonts w:ascii="Arial" w:cs="Arial" w:eastAsia="Arial" w:hAnsi="Arial"/>
          <w:sz w:val="17"/>
          <w:szCs w:val="17"/>
          <w:b w:val="1"/>
          <w:bCs w:val="1"/>
          <w:color w:val="auto"/>
        </w:rPr>
        <w:t xml:space="preserve"> </w:t>
      </w:r>
      <w:r>
        <w:rPr>
          <w:rFonts w:ascii="Arial" w:cs="Arial" w:eastAsia="Arial" w:hAnsi="Arial"/>
          <w:sz w:val="17"/>
          <w:szCs w:val="17"/>
          <w:color w:val="auto"/>
        </w:rPr>
        <w:t>90 days.</w:t>
      </w:r>
    </w:p>
    <w:p>
      <w:pPr>
        <w:spacing w:after="0" w:line="21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Restricted cash</w:t>
      </w:r>
      <w:r>
        <w:rPr>
          <w:rFonts w:ascii="Arial" w:cs="Arial" w:eastAsia="Arial" w:hAnsi="Arial"/>
          <w:sz w:val="17"/>
          <w:szCs w:val="17"/>
          <w:i w:val="1"/>
          <w:iCs w:val="1"/>
          <w:color w:val="auto"/>
        </w:rPr>
        <w:t>—</w:t>
      </w:r>
      <w:r>
        <w:rPr>
          <w:rFonts w:ascii="Arial" w:cs="Arial" w:eastAsia="Arial" w:hAnsi="Arial"/>
          <w:sz w:val="17"/>
          <w:szCs w:val="17"/>
          <w:color w:val="auto"/>
        </w:rPr>
        <w:t>Restricted cash represents amounts required to be maintained under certain of the Company's debt obligations, loans, leasing, land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transactions.</w:t>
      </w:r>
    </w:p>
    <w:p>
      <w:pPr>
        <w:spacing w:after="0" w:line="21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b w:val="1"/>
          <w:bCs w:val="1"/>
          <w:color w:val="auto"/>
        </w:rPr>
        <w:t>Consolidation-Variable interest entities</w:t>
      </w:r>
      <w:r>
        <w:rPr>
          <w:rFonts w:ascii="Arial" w:cs="Arial" w:eastAsia="Arial" w:hAnsi="Arial"/>
          <w:sz w:val="16"/>
          <w:szCs w:val="16"/>
          <w:i w:val="1"/>
          <w:iCs w:val="1"/>
          <w:color w:val="auto"/>
        </w:rPr>
        <w:t>—</w:t>
      </w:r>
      <w:r>
        <w:rPr>
          <w:rFonts w:ascii="Arial" w:cs="Arial" w:eastAsia="Arial" w:hAnsi="Arial"/>
          <w:sz w:val="16"/>
          <w:szCs w:val="16"/>
          <w:color w:val="auto"/>
        </w:rPr>
        <w:t>The Company evaluated its investments and other contractual arrangements to determine if they constitute variable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The Company has investments in certain funds that meet the deferral criteria in Accounting Standards Update ("ASU") 2010-10 and will continue to assess consolidation of these entities under the overall guidance on the consolidation of VIEs in Accounting Standards Codification ("ASC") 810-10. The consolidation evaluation is similar to the process noted above, except that the primary beneficiary is the party that will receive a majority of the VIE's anticipated losses, a majority of the VIE's expected residual returns, or both. In addition, for entities that meet the deferral criteria, the Company reassesses its initial evaluation of the primary beneficiary and whether an entity is a VIE upon the occurrence of certain reconsideration events.</w:t>
      </w:r>
    </w:p>
    <w:p>
      <w:pPr>
        <w:spacing w:after="0" w:line="227" w:lineRule="exact"/>
        <w:rPr>
          <w:sz w:val="20"/>
          <w:szCs w:val="20"/>
          <w:color w:val="auto"/>
        </w:rPr>
      </w:pPr>
    </w:p>
    <w:p>
      <w:pPr>
        <w:jc w:val="both"/>
        <w:ind w:firstLine="397"/>
        <w:spacing w:after="0" w:line="322" w:lineRule="auto"/>
        <w:rPr>
          <w:sz w:val="20"/>
          <w:szCs w:val="20"/>
          <w:color w:val="auto"/>
        </w:rPr>
      </w:pPr>
      <w:r>
        <w:rPr>
          <w:rFonts w:ascii="Arial" w:cs="Arial" w:eastAsia="Arial" w:hAnsi="Arial"/>
          <w:sz w:val="14"/>
          <w:szCs w:val="14"/>
          <w:b w:val="1"/>
          <w:bCs w:val="1"/>
          <w:color w:val="auto"/>
        </w:rPr>
        <w:t>Deferred expenses</w:t>
      </w:r>
      <w:r>
        <w:rPr>
          <w:rFonts w:ascii="Arial" w:cs="Arial" w:eastAsia="Arial" w:hAnsi="Arial"/>
          <w:sz w:val="14"/>
          <w:szCs w:val="14"/>
          <w:i w:val="1"/>
          <w:iCs w:val="1"/>
          <w:color w:val="auto"/>
        </w:rPr>
        <w:t>—</w:t>
      </w:r>
      <w:r>
        <w:rPr>
          <w:rFonts w:ascii="Arial" w:cs="Arial" w:eastAsia="Arial" w:hAnsi="Arial"/>
          <w:sz w:val="14"/>
          <w:szCs w:val="14"/>
          <w:color w:val="auto"/>
        </w:rPr>
        <w:t>Deferred expenses include leasing costs and financing fees. Leasing costs include brokerage, legal and other costs which are amortized over the</w:t>
      </w:r>
      <w:r>
        <w:rPr>
          <w:rFonts w:ascii="Arial" w:cs="Arial" w:eastAsia="Arial" w:hAnsi="Arial"/>
          <w:sz w:val="14"/>
          <w:szCs w:val="14"/>
          <w:b w:val="1"/>
          <w:bCs w:val="1"/>
          <w:color w:val="auto"/>
        </w:rPr>
        <w:t xml:space="preserve"> </w:t>
      </w:r>
      <w:r>
        <w:rPr>
          <w:rFonts w:ascii="Arial" w:cs="Arial" w:eastAsia="Arial" w:hAnsi="Arial"/>
          <w:sz w:val="14"/>
          <w:szCs w:val="14"/>
          <w:color w:val="auto"/>
        </w:rPr>
        <w:t>life of the respective leases. External fees and costs incurred to obtain long-term financing have been deferred and are amortized over the term of the respective borrowing using the effective interest method or the straight line method, as appropriate. Amortization of leasing costs is included in "Depreciation and amortization" and amortization of deferred financing fees is included in "Interest expense" on the Company's Consolidated Statements of Operations.</w:t>
      </w:r>
    </w:p>
    <w:p>
      <w:pPr>
        <w:spacing w:after="0" w:line="178" w:lineRule="exact"/>
        <w:rPr>
          <w:sz w:val="20"/>
          <w:szCs w:val="20"/>
          <w:color w:val="auto"/>
        </w:rPr>
      </w:pPr>
    </w:p>
    <w:p>
      <w:pPr>
        <w:jc w:val="both"/>
        <w:ind w:firstLine="397"/>
        <w:spacing w:after="0" w:line="309" w:lineRule="auto"/>
        <w:rPr>
          <w:sz w:val="20"/>
          <w:szCs w:val="20"/>
          <w:color w:val="auto"/>
        </w:rPr>
      </w:pPr>
      <w:r>
        <w:rPr>
          <w:rFonts w:ascii="Arial" w:cs="Arial" w:eastAsia="Arial" w:hAnsi="Arial"/>
          <w:sz w:val="14"/>
          <w:szCs w:val="14"/>
          <w:b w:val="1"/>
          <w:bCs w:val="1"/>
          <w:color w:val="auto"/>
        </w:rPr>
        <w:t>Identified intangible assets</w:t>
      </w:r>
      <w:r>
        <w:rPr>
          <w:rFonts w:ascii="Arial" w:cs="Arial" w:eastAsia="Arial" w:hAnsi="Arial"/>
          <w:sz w:val="14"/>
          <w:szCs w:val="14"/>
          <w:i w:val="1"/>
          <w:iCs w:val="1"/>
          <w:color w:val="auto"/>
        </w:rPr>
        <w:t>—</w:t>
      </w:r>
      <w:r>
        <w:rPr>
          <w:rFonts w:ascii="Arial" w:cs="Arial" w:eastAsia="Arial" w:hAnsi="Arial"/>
          <w:sz w:val="14"/>
          <w:szCs w:val="14"/>
          <w:color w:val="auto"/>
        </w:rPr>
        <w:t>Upon the acquisition of a business, the Company records intangible assets acquired at their estimated fair values separate and apart</w:t>
      </w:r>
      <w:r>
        <w:rPr>
          <w:rFonts w:ascii="Arial" w:cs="Arial" w:eastAsia="Arial" w:hAnsi="Arial"/>
          <w:sz w:val="14"/>
          <w:szCs w:val="14"/>
          <w:b w:val="1"/>
          <w:bCs w:val="1"/>
          <w:color w:val="auto"/>
        </w:rPr>
        <w:t xml:space="preserve"> </w:t>
      </w:r>
      <w:r>
        <w:rPr>
          <w:rFonts w:ascii="Arial" w:cs="Arial" w:eastAsia="Arial" w:hAnsi="Arial"/>
          <w:sz w:val="14"/>
          <w:szCs w:val="14"/>
          <w:color w:val="auto"/>
        </w:rPr>
        <w:t>from goodwill. The Company determines whether such intangible assets have finite or indefinite lives. As of December 31, 2012, all such intangible assets acquired by the Company have finite lives and are included in "Real estate, net" on the Company's Consolidated Balance Sheets. The Company amortizes finite lived intangible assets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 assets are recorded in "Impairment of assets" on the Company's Consolidated Statements of Operations.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i w:val="1"/>
          <w:iCs w:val="1"/>
          <w:color w:val="auto"/>
        </w:rPr>
        <w:t>—</w:t>
      </w:r>
      <w:r>
        <w:rPr>
          <w:rFonts w:ascii="Arial" w:cs="Arial" w:eastAsia="Arial" w:hAnsi="Arial"/>
          <w:sz w:val="17"/>
          <w:szCs w:val="17"/>
          <w:color w:val="auto"/>
        </w:rPr>
        <w:t>The Company's revenue recognition policies are as follows:</w:t>
      </w:r>
    </w:p>
    <w:p>
      <w:pPr>
        <w:spacing w:after="0" w:line="255"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i w:val="1"/>
          <w:iCs w:val="1"/>
          <w:color w:val="auto"/>
        </w:rPr>
        <w:t xml:space="preserve">Operating lease income: </w:t>
      </w:r>
      <w:r>
        <w:rPr>
          <w:rFonts w:ascii="Arial" w:cs="Arial" w:eastAsia="Arial" w:hAnsi="Arial"/>
          <w:sz w:val="16"/>
          <w:szCs w:val="16"/>
          <w:color w:val="auto"/>
        </w:rPr>
        <w:t>The Company's leases have all been determined to be operating leases based on an analysis performed in accordance with ASC 840.</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 income is recognized on the straight-line method of accounting, generally from the later of the date the lessee takes possession of the space and it is ready for its intended use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on the Company's Consolidated Balance Sheets.</w:t>
      </w:r>
    </w:p>
    <w:p>
      <w:pPr>
        <w:spacing w:after="0" w:line="21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color w:val="auto"/>
        </w:rPr>
        <w:t>The Company also recognizes revenue from certain tenant leases for reimbursements of all or a portion of operating expenses, including common area costs, insurance, utilities and real estate taxes of the respective property. This revenue is accrued in the same periods as the expense is incurred and is recorded as “Operating lease income” on the Company's Consolidated Statements of Operations. Revenue is also recorded from certain tenant leases that is contingent upon tenant sales exceeding defined thresholds. These rents are recognized only after the defined threshold has been met for the period.</w:t>
      </w:r>
    </w:p>
    <w:p>
      <w:pPr>
        <w:spacing w:after="0" w:line="214"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color w:val="auto"/>
        </w:rPr>
        <w:t>Management estimates losses inherent in the accrued operating lease income receivable and deferred operating lease income receivable balances as of the balance sheet date and incorporates an asset-specific component, as well as a general, formula-based reserve based on management's evaluation of the credit risks associated with these receivables. At December 31, 2012 and 2011, the total allowance for doubtful accounts was $5.6 million and $3.7 million, respectively.</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on loans receivable is recognized on an accrual basis using the interest method.</w:t>
      </w:r>
    </w:p>
    <w:p>
      <w:pPr>
        <w:spacing w:after="0" w:line="289"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 unamortized portion, which is included in "Other income" on the Company's Consolidated Statements of Operations.</w:t>
      </w:r>
    </w:p>
    <w:p>
      <w:pPr>
        <w:spacing w:after="0" w:line="214"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The Company considers a loan to be non-performing and places loans on non-accrual status at such time as: (1) the loan becomes 90 days delinquent; (2) the loan has a maturity default; or (3) management determines it is probable that it will be unable to collect all amounts due according to the contractual terms of the loan.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 Non-accrual loans are returned to accrual status when a loan has become contractually current and management believes all amounts contractually owed will be received.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Certain of the Company's loans contractually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22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interest income only upon receipt of cash.</w:t>
      </w:r>
    </w:p>
    <w:p>
      <w:pPr>
        <w:spacing w:after="0" w:line="22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The Company holds certain loans initially acquired at a discount, for which it was probable, at acquisition, that all contractually required payments would not be received. The Company does not have a reasonable expectation about the timing and amount of cash flows expected to be collected on these loans and recognizes income when cash is received.</w:t>
      </w:r>
    </w:p>
    <w:p>
      <w:pPr>
        <w:spacing w:after="0" w:line="224" w:lineRule="exact"/>
        <w:rPr>
          <w:sz w:val="20"/>
          <w:szCs w:val="20"/>
          <w:color w:val="auto"/>
        </w:rPr>
      </w:pPr>
    </w:p>
    <w:p>
      <w:pPr>
        <w:jc w:val="both"/>
        <w:ind w:firstLine="397"/>
        <w:spacing w:after="0" w:line="315" w:lineRule="auto"/>
        <w:rPr>
          <w:sz w:val="20"/>
          <w:szCs w:val="20"/>
          <w:color w:val="auto"/>
        </w:rPr>
      </w:pPr>
      <w:r>
        <w:rPr>
          <w:rFonts w:ascii="Arial" w:cs="Arial" w:eastAsia="Arial" w:hAnsi="Arial"/>
          <w:sz w:val="14"/>
          <w:szCs w:val="14"/>
          <w:b w:val="1"/>
          <w:bCs w:val="1"/>
          <w:color w:val="auto"/>
        </w:rPr>
        <w:t>Reserve for loan losses</w:t>
      </w:r>
      <w:r>
        <w:rPr>
          <w:rFonts w:ascii="Arial" w:cs="Arial" w:eastAsia="Arial" w:hAnsi="Arial"/>
          <w:sz w:val="14"/>
          <w:szCs w:val="14"/>
          <w:i w:val="1"/>
          <w:iCs w:val="1"/>
          <w:color w:val="auto"/>
        </w:rPr>
        <w:t>—</w:t>
      </w:r>
      <w:r>
        <w:rPr>
          <w:rFonts w:ascii="Arial" w:cs="Arial" w:eastAsia="Arial" w:hAnsi="Arial"/>
          <w:sz w:val="14"/>
          <w:szCs w:val="14"/>
          <w:color w:val="auto"/>
        </w:rPr>
        <w:t>The reserve for loan losses reflects management's estimate of loan losses inherent in the loan portfolio as of the balance sheet date. The</w:t>
      </w:r>
      <w:r>
        <w:rPr>
          <w:rFonts w:ascii="Arial" w:cs="Arial" w:eastAsia="Arial" w:hAnsi="Arial"/>
          <w:sz w:val="14"/>
          <w:szCs w:val="14"/>
          <w:b w:val="1"/>
          <w:bCs w:val="1"/>
          <w:color w:val="auto"/>
        </w:rPr>
        <w:t xml:space="preserve"> </w:t>
      </w:r>
      <w:r>
        <w:rPr>
          <w:rFonts w:ascii="Arial" w:cs="Arial" w:eastAsia="Arial" w:hAnsi="Arial"/>
          <w:sz w:val="14"/>
          <w:szCs w:val="14"/>
          <w:color w:val="auto"/>
        </w:rPr>
        <w:t>reserve is increased through the "Provision for loan losses" on the Company's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The Company has one portfolio segment, represented by commercial real estate lending, whereby it utilizes a uniform process for determining its reserve for loan losses. The reserve for loan losses includes a general, formula-based component and an asset-specific component.</w:t>
      </w:r>
    </w:p>
    <w:p>
      <w:pPr>
        <w:spacing w:after="0" w:line="188" w:lineRule="exact"/>
        <w:rPr>
          <w:sz w:val="20"/>
          <w:szCs w:val="20"/>
          <w:color w:val="auto"/>
        </w:rPr>
      </w:pPr>
    </w:p>
    <w:p>
      <w:pPr>
        <w:jc w:val="both"/>
        <w:ind w:firstLine="397"/>
        <w:spacing w:after="0" w:line="304" w:lineRule="auto"/>
        <w:rPr>
          <w:sz w:val="20"/>
          <w:szCs w:val="20"/>
          <w:color w:val="auto"/>
        </w:rPr>
      </w:pPr>
      <w:r>
        <w:rPr>
          <w:rFonts w:ascii="Arial" w:cs="Arial" w:eastAsia="Arial" w:hAnsi="Arial"/>
          <w:sz w:val="14"/>
          <w:szCs w:val="14"/>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the Company's quarterly loan portfolio assessment. During this assessment, the Company performs a comprehensive analysis of its loan portfolio and assigns risk ratings to loans that incorporate management's current judgments about their credit quality based on all known and relevant internal and external factors that may affect collectability. The Company considers,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The Company estimates loss rates based on historical realized losses experienced within its portfolio and takes into account current economic conditions affecting the commercial real estate market when establishing appropriate time frames to evaluate loss experience.</w:t>
      </w:r>
    </w:p>
    <w:p>
      <w:pPr>
        <w:spacing w:after="0" w:line="195"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color w:val="auto"/>
        </w:rPr>
        <w:t>The asset-specific reserve component relates to reserves for losses on impaired loans. The Company considers a loan to be impaired when, based upon current information and events, it believes that it is probable that the Company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221"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Substantially all of the Company's impaired loans are collateral dependent and impairment is measured using the estimated fair value of collateral, less costs to sell. The Company generally uses the income approach through internally developed valuation models to estimate the fair value of the collateral for such loans. In more limited cases, the Company obtains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21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A loan is also considered impaired if its terms are modified in a troubled debt restructuring ("TDR"). A TDR occurs when the Company has granted a concession and the debtor is experiencing financial difficulties. Impairments on TDR loans are generally measured based on the present value of expected future cash flows discounted at the effective interest rate of the original loan.</w:t>
      </w:r>
    </w:p>
    <w:p>
      <w:pPr>
        <w:spacing w:after="0" w:line="100"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7"/>
          <w:szCs w:val="17"/>
          <w:b w:val="1"/>
          <w:bCs w:val="1"/>
          <w:color w:val="auto"/>
        </w:rPr>
        <w:t>Gain or loss on debt extinguishments</w:t>
      </w:r>
      <w:r>
        <w:rPr>
          <w:rFonts w:ascii="Arial" w:cs="Arial" w:eastAsia="Arial" w:hAnsi="Arial"/>
          <w:sz w:val="17"/>
          <w:szCs w:val="17"/>
          <w:i w:val="1"/>
          <w:iCs w:val="1"/>
          <w:color w:val="auto"/>
        </w:rPr>
        <w:t>—</w:t>
      </w:r>
      <w:r>
        <w:rPr>
          <w:rFonts w:ascii="Arial" w:cs="Arial" w:eastAsia="Arial" w:hAnsi="Arial"/>
          <w:sz w:val="17"/>
          <w:szCs w:val="17"/>
          <w:color w:val="auto"/>
        </w:rPr>
        <w:t>The Company recognizes the difference between the reacquisition price of debt and the net carrying amount of extinguished</w:t>
      </w:r>
      <w:r>
        <w:rPr>
          <w:rFonts w:ascii="Arial" w:cs="Arial" w:eastAsia="Arial" w:hAnsi="Arial"/>
          <w:sz w:val="17"/>
          <w:szCs w:val="17"/>
          <w:b w:val="1"/>
          <w:bCs w:val="1"/>
          <w:color w:val="auto"/>
        </w:rPr>
        <w:t xml:space="preserve"> </w:t>
      </w:r>
      <w:r>
        <w:rPr>
          <w:rFonts w:ascii="Arial" w:cs="Arial" w:eastAsia="Arial" w:hAnsi="Arial"/>
          <w:sz w:val="17"/>
          <w:szCs w:val="17"/>
          <w:color w:val="auto"/>
        </w:rPr>
        <w:t>debt currently in earnings. Such amounts may include prepayment penalties or the write-off of unamortized debt issuance costs, and are recorded in “Gain (loss) on early extinguishment of debt, net” on the Company's Consolidated Statements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400" w:lineRule="exact"/>
        <w:rPr>
          <w:sz w:val="20"/>
          <w:szCs w:val="20"/>
          <w:color w:val="auto"/>
        </w:rPr>
      </w:pPr>
    </w:p>
    <w:p>
      <w:pPr>
        <w:jc w:val="both"/>
        <w:ind w:left="1" w:firstLine="397"/>
        <w:spacing w:after="0" w:line="278" w:lineRule="auto"/>
        <w:rPr>
          <w:sz w:val="20"/>
          <w:szCs w:val="20"/>
          <w:color w:val="auto"/>
        </w:rPr>
      </w:pPr>
      <w:r>
        <w:rPr>
          <w:rFonts w:ascii="Arial" w:cs="Arial" w:eastAsia="Arial" w:hAnsi="Arial"/>
          <w:sz w:val="16"/>
          <w:szCs w:val="16"/>
          <w:b w:val="1"/>
          <w:bCs w:val="1"/>
          <w:color w:val="auto"/>
        </w:rPr>
        <w:t>Derivative instruments and hedging activity</w:t>
      </w:r>
      <w:r>
        <w:rPr>
          <w:rFonts w:ascii="Arial" w:cs="Arial" w:eastAsia="Arial" w:hAnsi="Arial"/>
          <w:sz w:val="16"/>
          <w:szCs w:val="16"/>
          <w:i w:val="1"/>
          <w:iCs w:val="1"/>
          <w:color w:val="auto"/>
        </w:rPr>
        <w:t>—</w:t>
      </w:r>
      <w:r>
        <w:rPr>
          <w:rFonts w:ascii="Arial" w:cs="Arial" w:eastAsia="Arial" w:hAnsi="Arial"/>
          <w:sz w:val="16"/>
          <w:szCs w:val="16"/>
          <w:color w:val="auto"/>
        </w:rPr>
        <w:t>The Company recognizes derivatives as either assets or liabilities on the Company's Consolidated Balance Sheets at</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209"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Derivatives, such as foreign currency hedges and interest rate caps, that are not designated hedges are considered economic hedges, with changes in fair value reported in current earnings in "Other expense" on the Company's Consolidated Statements of Operations. The Company does not enter into derivatives for trading purposes.</w:t>
      </w:r>
    </w:p>
    <w:p>
      <w:pPr>
        <w:spacing w:after="0" w:line="224" w:lineRule="exact"/>
        <w:rPr>
          <w:sz w:val="20"/>
          <w:szCs w:val="20"/>
          <w:color w:val="auto"/>
        </w:rPr>
      </w:pPr>
    </w:p>
    <w:p>
      <w:pPr>
        <w:jc w:val="both"/>
        <w:ind w:left="1" w:firstLine="397"/>
        <w:spacing w:after="0" w:line="265"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i w:val="1"/>
          <w:iCs w:val="1"/>
          <w:color w:val="auto"/>
        </w:rPr>
        <w:t>—</w:t>
      </w:r>
      <w:r>
        <w:rPr>
          <w:rFonts w:ascii="Arial" w:cs="Arial" w:eastAsia="Arial" w:hAnsi="Arial"/>
          <w:sz w:val="16"/>
          <w:szCs w:val="16"/>
          <w:color w:val="auto"/>
        </w:rPr>
        <w:t>Compensation cost for stock-based awards is measured on the grant date and adjusted over the period of the employees' services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(i) actual forfeitures and (ii) the outcome of awards with performance or service conditions through the requisite service period. The Company recognizes compensation cost for performance-based awards if and when the Company concludes that it is probable that the performance condition will be achieved. Compensation cost for market condition-based awards is determined using a Monte Carlo model to simulate a range of possible future stock prices for the Company's Common Stock, which is reflected in the grant date fair value. All compensation cost for market-condition based awards in which the service conditions are met is recognized regardless of whether the market condition is satisfied. Compensation costs are recognized ratably over the applicable vesting/service period and recorded in "General and administrative" on the Company's Consolidated Statements of Operations.</w:t>
      </w:r>
    </w:p>
    <w:p>
      <w:pPr>
        <w:spacing w:after="0" w:line="216" w:lineRule="exact"/>
        <w:rPr>
          <w:sz w:val="20"/>
          <w:szCs w:val="20"/>
          <w:color w:val="auto"/>
        </w:rPr>
      </w:pPr>
    </w:p>
    <w:p>
      <w:pPr>
        <w:jc w:val="both"/>
        <w:ind w:left="1" w:firstLine="397"/>
        <w:spacing w:after="0" w:line="262"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i w:val="1"/>
          <w:iCs w:val="1"/>
          <w:color w:val="auto"/>
        </w:rPr>
        <w:t>—</w:t>
      </w:r>
      <w:r>
        <w:rPr>
          <w:rFonts w:ascii="Arial" w:cs="Arial" w:eastAsia="Arial" w:hAnsi="Arial"/>
          <w:sz w:val="16"/>
          <w:szCs w:val="16"/>
          <w:color w:val="auto"/>
        </w:rPr>
        <w:t>The Company has elected to be qualified and taxed as a REIT under section 856 through 860 of the Internal Revenue Code of 1986,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The Company is subject to federal income taxation at corporate rates on its REIT taxable income, however, the Company is allowed a deduction for the amount of dividends paid to its shareholders, thereby subjecting the distributed net income of the Company to taxation at the shareholder level only. In addition, the Company is allowed several other deductions in computing its REIT taxable income, including non-cash items such as depreciation expense and certain specific reserve amounts that the Company deems to be uncollectable. These deductions allow the Company to shelter a portion of its operating cash flow from its dividend payout requirement under federal tax laws. In addition, the Company has made foreclosure elections for certain properties acquired through foreclosure which allows the Company to operate these properties within the REIT but subjects them to certain tax obligations. The carrying value of assets with foreclosure elections as of December 31, 2012 is $1.23 billion. The Company intends to operate in a manner consistent with and to elect to be treated as a REIT for tax purposes. As of December 31, 2011, the Company had $423.9 million of net operating loss carryforwards at the corporate REIT level, which can generally be used to offset both ordinary and capital taxable income in future years and will expire through 2031 if unused. The amount of net operating loss carryforwards as of December 31, 2012 will be subject to finalization of the 2012 tax returns. The Company recognizes interest expense and penalties related to uncertain tax positions, if any, as "Income tax (expense) benefit" on the Company's Consolidated Statements of Operations.</w:t>
      </w:r>
    </w:p>
    <w:p>
      <w:pPr>
        <w:spacing w:after="0" w:line="225" w:lineRule="exact"/>
        <w:rPr>
          <w:sz w:val="20"/>
          <w:szCs w:val="20"/>
          <w:color w:val="auto"/>
        </w:rPr>
      </w:pPr>
    </w:p>
    <w:p>
      <w:pPr>
        <w:jc w:val="both"/>
        <w:ind w:left="1" w:firstLine="397"/>
        <w:spacing w:after="0" w:line="246" w:lineRule="auto"/>
        <w:rPr>
          <w:sz w:val="20"/>
          <w:szCs w:val="20"/>
          <w:color w:val="auto"/>
        </w:rPr>
      </w:pPr>
      <w:r>
        <w:rPr>
          <w:rFonts w:ascii="Arial" w:cs="Arial" w:eastAsia="Arial" w:hAnsi="Arial"/>
          <w:sz w:val="17"/>
          <w:szCs w:val="17"/>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primarily related to managing activities related to certain foreclosed assets, as well as managing various investments in equity affiliates, including LNR. As of December 31, 2012, $796.8 million of the Company's assets were owned by TRS entities. The Company's TRS entities are not consolidated for federal income tax purposes and are taxed as corporations. For financial reporting purposes, current and deferred taxes are provided for on the portion of earnings recognized by the Company with respect to its interest in TRS entities. The following represents the Company's TRS income tax expense ($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1981"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right"/>
              <w:ind w:right="321"/>
              <w:spacing w:after="0"/>
              <w:rPr>
                <w:sz w:val="20"/>
                <w:szCs w:val="20"/>
                <w:color w:val="auto"/>
              </w:rPr>
            </w:pPr>
            <w:r>
              <w:rPr>
                <w:rFonts w:ascii="Arial" w:cs="Arial" w:eastAsia="Arial" w:hAnsi="Arial"/>
                <w:sz w:val="13"/>
                <w:szCs w:val="13"/>
                <w:b w:val="1"/>
                <w:bCs w:val="1"/>
                <w:color w:val="auto"/>
                <w:w w:val="99"/>
              </w:rPr>
              <w:t>For the Years Ended December 31,</w:t>
            </w:r>
          </w:p>
        </w:tc>
      </w:tr>
      <w:tr>
        <w:trPr>
          <w:trHeight w:val="241"/>
        </w:trPr>
        <w:tc>
          <w:tcPr>
            <w:tcW w:w="4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2010</w:t>
            </w:r>
          </w:p>
        </w:tc>
      </w:tr>
      <w:tr>
        <w:trPr>
          <w:trHeight w:val="22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tax expense</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9,010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2,550</w:t>
            </w:r>
          </w:p>
        </w:tc>
      </w:tr>
      <w:tr>
        <w:trPr>
          <w:trHeight w:val="222"/>
        </w:trPr>
        <w:tc>
          <w:tcPr>
            <w:tcW w:w="4680" w:type="dxa"/>
            <w:vAlign w:val="bottom"/>
          </w:tcPr>
          <w:p>
            <w:pPr>
              <w:ind w:left="20"/>
              <w:spacing w:after="0"/>
              <w:rPr>
                <w:sz w:val="20"/>
                <w:szCs w:val="20"/>
                <w:color w:val="auto"/>
              </w:rPr>
            </w:pPr>
            <w:r>
              <w:rPr>
                <w:rFonts w:ascii="Arial" w:cs="Arial" w:eastAsia="Arial" w:hAnsi="Arial"/>
                <w:sz w:val="17"/>
                <w:szCs w:val="17"/>
                <w:color w:val="auto"/>
              </w:rPr>
              <w:t>Deferred tax expense (benefit)(1)</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(13,729)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4,473</w:t>
            </w:r>
          </w:p>
        </w:tc>
      </w:tr>
      <w:tr>
        <w:trPr>
          <w:trHeight w:val="26"/>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income tax expense (benefit)</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7,023</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65" w:lineRule="auto"/>
        <w:tabs>
          <w:tab w:leader="none" w:pos="601" w:val="left"/>
        </w:tabs>
        <w:numPr>
          <w:ilvl w:val="0"/>
          <w:numId w:val="31"/>
        </w:numPr>
        <w:rPr>
          <w:rFonts w:ascii="Arial" w:cs="Arial" w:eastAsia="Arial" w:hAnsi="Arial"/>
          <w:sz w:val="13"/>
          <w:szCs w:val="13"/>
          <w:color w:val="auto"/>
        </w:rPr>
      </w:pPr>
      <w:r>
        <w:rPr>
          <w:rFonts w:ascii="Arial" w:cs="Arial" w:eastAsia="Arial" w:hAnsi="Arial"/>
          <w:sz w:val="13"/>
          <w:szCs w:val="13"/>
          <w:color w:val="auto"/>
        </w:rPr>
        <w:t>During the year ended December 31, 2011, the Company sold its investment in Oak Hill Advisors L.P. (see Note 6) and recognized a deferred tax benefit resulting from the reversal of a deferred tax liability associated with the investment. See the table below for the Company's deferred tax assets and liabilities as of December 31, 2012 and 2011.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1"/>
          </w:cols>
          <w:pgMar w:left="239" w:top="122" w:right="239" w:bottom="1440" w:gutter="0" w:footer="0" w:header="0"/>
        </w:sectPr>
      </w:pPr>
    </w:p>
    <w:bookmarkStart w:id="62" w:name="page63"/>
    <w:bookmarkEnd w:id="62"/>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left="1" w:firstLine="397"/>
        <w:spacing w:after="0" w:line="320" w:lineRule="auto"/>
        <w:rPr>
          <w:sz w:val="20"/>
          <w:szCs w:val="20"/>
          <w:color w:val="auto"/>
        </w:rPr>
      </w:pPr>
      <w:r>
        <w:rPr>
          <w:rFonts w:ascii="Arial" w:cs="Arial" w:eastAsia="Arial" w:hAnsi="Arial"/>
          <w:sz w:val="14"/>
          <w:szCs w:val="14"/>
          <w:color w:val="auto"/>
        </w:rPr>
        <w:t>During the year ended December 31, 2012, the Company's TRS entities generated taxable income of $42.2 million which was partially offset by the utilization of net operating loss carryforwards, resulting in current tax expense of $8.4 million. During the year ended December 31, 2011, the Company's TRS entities generated taxable income of $75.8 million which was partially offset by the utilization of net operating loss carryforwards, resulting in current tax expense of $9.0 million. The Company's TRS taxable income for the year ended December 31, 2011 included the gain on the Company's sale of its investment in Oak Hill Advisors L.P. (see Note 6).</w:t>
      </w:r>
    </w:p>
    <w:p>
      <w:pPr>
        <w:spacing w:after="0" w:line="184"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Total cash paid for taxes for the years ended December 31, 2012, 2011 and 2010, was $5.5 million, $8.5 million and $7.3 million, respectively.</w:t>
      </w:r>
    </w:p>
    <w:p>
      <w:pPr>
        <w:spacing w:after="0" w:line="251" w:lineRule="exact"/>
        <w:rPr>
          <w:sz w:val="20"/>
          <w:szCs w:val="20"/>
          <w:color w:val="auto"/>
        </w:rPr>
      </w:pPr>
    </w:p>
    <w:p>
      <w:pPr>
        <w:jc w:val="both"/>
        <w:ind w:left="1" w:firstLine="397"/>
        <w:spacing w:after="0" w:line="305" w:lineRule="auto"/>
        <w:rPr>
          <w:sz w:val="20"/>
          <w:szCs w:val="20"/>
          <w:color w:val="auto"/>
        </w:rPr>
      </w:pPr>
      <w:r>
        <w:rPr>
          <w:rFonts w:ascii="Arial" w:cs="Arial" w:eastAsia="Arial" w:hAnsi="Arial"/>
          <w:sz w:val="14"/>
          <w:szCs w:val="14"/>
          <w:color w:val="auto"/>
        </w:rPr>
        <w:t>Deferred income taxes reflect the net tax effects of temporary differences between the carrying amount of assets and liabilities for financial reporting purposes and the amounts used for income tax purposes, as well as operating loss and tax credit carryforwards. The Company evaluates the realizability of its deferred tax assets and recognizes a valuation allowance if, based on the available evidence, both positive and negative, it is more likely than not that some portion or all of its deferred tax assets will not be realized. When evaluating the realizability of its deferred tax assets, the Company considers,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the Company to forecast its business and general economic environment in future periods. Based on an assessment of all factors, including historical losses and continued volatility of the activities within the TRS entities, it was determined that valuation allowances of $40.8 million and $50.9 million were required on the net deferred tax assets as of December 31, 2012 and 2011, respectively. Changes in estimate of deferred tax asset realizability, if any are included in "Income tax (expense) benefit" on the Consolidated Statements of Operations.</w:t>
      </w:r>
    </w:p>
    <w:p>
      <w:pPr>
        <w:spacing w:after="0" w:line="194" w:lineRule="exact"/>
        <w:rPr>
          <w:sz w:val="20"/>
          <w:szCs w:val="20"/>
          <w:color w:val="auto"/>
        </w:rPr>
      </w:pPr>
    </w:p>
    <w:p>
      <w:pPr>
        <w:ind w:left="401"/>
        <w:spacing w:after="0"/>
        <w:rPr>
          <w:sz w:val="20"/>
          <w:szCs w:val="20"/>
          <w:color w:val="auto"/>
        </w:rPr>
      </w:pPr>
      <w:r>
        <w:rPr>
          <w:rFonts w:ascii="Arial" w:cs="Arial" w:eastAsia="Arial" w:hAnsi="Arial"/>
          <w:sz w:val="17"/>
          <w:szCs w:val="17"/>
          <w:color w:val="auto"/>
        </w:rPr>
        <w:t>Deferred tax assets and liabilities of the Company's TRS entities were as follows ($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1481"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3"/>
                <w:szCs w:val="13"/>
                <w:b w:val="1"/>
                <w:bCs w:val="1"/>
                <w:color w:val="auto"/>
              </w:rPr>
              <w:t>As of December 31,</w:t>
            </w:r>
          </w:p>
        </w:tc>
      </w:tr>
      <w:tr>
        <w:trPr>
          <w:trHeight w:val="228"/>
        </w:trPr>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2011</w:t>
            </w:r>
          </w:p>
        </w:tc>
      </w:tr>
      <w:tr>
        <w:trPr>
          <w:trHeight w:val="226"/>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assets(1)</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7"/>
                <w:szCs w:val="17"/>
                <w:color w:val="auto"/>
              </w:rPr>
              <w:t>40,800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50,889</w:t>
            </w:r>
          </w:p>
        </w:tc>
      </w:tr>
      <w:tr>
        <w:trPr>
          <w:trHeight w:val="222"/>
        </w:trPr>
        <w:tc>
          <w:tcPr>
            <w:tcW w:w="632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(50,889)</w:t>
            </w:r>
          </w:p>
        </w:tc>
      </w:tr>
      <w:tr>
        <w:trPr>
          <w:trHeight w:val="26"/>
        </w:trPr>
        <w:tc>
          <w:tcPr>
            <w:tcW w:w="6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4"/>
        </w:trPr>
        <w:tc>
          <w:tcPr>
            <w:tcW w:w="6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deferred tax assets (liabilities)</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r>
      <w:tr>
        <w:trPr>
          <w:trHeight w:val="26"/>
        </w:trPr>
        <w:tc>
          <w:tcPr>
            <w:tcW w:w="6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307" w:lineRule="auto"/>
        <w:tabs>
          <w:tab w:leader="none" w:pos="601"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Deferred tax assets as of December 31, 2012, include real estate basis differences of $31.2 million, net operating loss carryforwards of $10.8 million and investment basis differences of $(1.2) million. Deferred tax assets as of December 31, 2011, include real estate basis differences of $30.8 million, net operating loss carryforwards of $22.8 million and investment basis differences of $(0.6) million.</w:t>
      </w:r>
    </w:p>
    <w:p>
      <w:pPr>
        <w:spacing w:after="0" w:line="69" w:lineRule="exact"/>
        <w:rPr>
          <w:sz w:val="20"/>
          <w:szCs w:val="20"/>
          <w:color w:val="auto"/>
        </w:rPr>
      </w:pPr>
    </w:p>
    <w:p>
      <w:pPr>
        <w:jc w:val="both"/>
        <w:ind w:left="1" w:firstLine="397"/>
        <w:spacing w:after="0" w:line="311" w:lineRule="auto"/>
        <w:rPr>
          <w:sz w:val="20"/>
          <w:szCs w:val="20"/>
          <w:color w:val="auto"/>
        </w:rPr>
      </w:pPr>
      <w:r>
        <w:rPr>
          <w:rFonts w:ascii="Arial" w:cs="Arial" w:eastAsia="Arial" w:hAnsi="Arial"/>
          <w:sz w:val="14"/>
          <w:szCs w:val="14"/>
          <w:b w:val="1"/>
          <w:bCs w:val="1"/>
          <w:color w:val="auto"/>
        </w:rPr>
        <w:t>Earnings per share</w:t>
      </w:r>
      <w:r>
        <w:rPr>
          <w:rFonts w:ascii="Arial" w:cs="Arial" w:eastAsia="Arial" w:hAnsi="Arial"/>
          <w:sz w:val="14"/>
          <w:szCs w:val="14"/>
          <w:i w:val="1"/>
          <w:iCs w:val="1"/>
          <w:color w:val="auto"/>
        </w:rPr>
        <w:t>—</w:t>
      </w:r>
      <w:r>
        <w:rPr>
          <w:rFonts w:ascii="Arial" w:cs="Arial" w:eastAsia="Arial" w:hAnsi="Arial"/>
          <w:sz w:val="14"/>
          <w:szCs w:val="14"/>
          <w:color w:val="auto"/>
        </w:rPr>
        <w:t>The Company uses the two-class method in calculating EPS when it issues securities other than common stock that contractually entitle the</w:t>
      </w:r>
      <w:r>
        <w:rPr>
          <w:rFonts w:ascii="Arial" w:cs="Arial" w:eastAsia="Arial" w:hAnsi="Arial"/>
          <w:sz w:val="14"/>
          <w:szCs w:val="14"/>
          <w:b w:val="1"/>
          <w:bCs w:val="1"/>
          <w:color w:val="auto"/>
        </w:rPr>
        <w:t xml:space="preserve"> </w:t>
      </w:r>
      <w:r>
        <w:rPr>
          <w:rFonts w:ascii="Arial" w:cs="Arial" w:eastAsia="Arial" w:hAnsi="Arial"/>
          <w:sz w:val="14"/>
          <w:szCs w:val="14"/>
          <w:color w:val="auto"/>
        </w:rPr>
        <w:t>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92" w:lineRule="exact"/>
        <w:rPr>
          <w:sz w:val="20"/>
          <w:szCs w:val="20"/>
          <w:color w:val="auto"/>
        </w:rPr>
      </w:pPr>
    </w:p>
    <w:p>
      <w:pPr>
        <w:jc w:val="both"/>
        <w:ind w:left="1" w:firstLine="397"/>
        <w:spacing w:after="0" w:line="249" w:lineRule="auto"/>
        <w:rPr>
          <w:sz w:val="20"/>
          <w:szCs w:val="20"/>
          <w:color w:val="auto"/>
        </w:rPr>
      </w:pPr>
      <w:r>
        <w:rPr>
          <w:rFonts w:ascii="Arial" w:cs="Arial" w:eastAsia="Arial" w:hAnsi="Arial"/>
          <w:sz w:val="17"/>
          <w:szCs w:val="17"/>
          <w:color w:val="auto"/>
        </w:rPr>
        <w:t>Unvested share-based payment awards that contain non-forfeitable rights to dividends or dividend equivalents (whether paid or unpaid) are deemed a ("Participating Security") and are included in the computation of earnings per share pursuant to the two-class method. The Company's unvested restricted stock units and restricted stock awards with rights to dividends and common stock equivalents issued under its Long-Term Incentive Plans are considered participating securities and have been included in the two-class method when calculating EPS.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1"/>
          </w:cols>
          <w:pgMar w:left="239" w:top="122" w:right="239" w:bottom="1440" w:gutter="0" w:footer="0" w:header="0"/>
        </w:sectPr>
      </w:pPr>
    </w:p>
    <w:bookmarkStart w:id="63" w:name="page64"/>
    <w:bookmarkEnd w:id="63"/>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06"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6"/>
          <w:szCs w:val="16"/>
          <w:color w:val="auto"/>
        </w:rPr>
        <w:t>In June 2011, the Financial Accounting Standards Board ("FASB") issued Accounting Standards Update ("ASU") 2011-05, "Presentation of Comprehensive Income," which requires entities to (1) present net income and other comprehensive income in either a single continuous statement or in two separate, but consecutive, statements of net income and other comprehensive income and (2) present reclassification of other comprehensive income on the face of the income statement. In December 2011, the FASB issued ASU 2011-12, "Deferral of the Effective Date for Amendments to the Presentation of Reclassifications of Items Out of Accumulated Other Comprehensive Income in Accounting Standards Update No. 2011-05," which deferred the requirements of entities to present reclassification of other comprehensive income on the face of the income statement. The Company adopted this ASU beginning with the reporting period ended March 31, 2012, as required, and now presents Consolidated Statements of Comprehensive Income (Loss).</w:t>
      </w:r>
    </w:p>
    <w:p>
      <w:pPr>
        <w:spacing w:after="0" w:line="172"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In February 2013, the FASB issued ASU 2013-12, “Reporting of Amounts Reclassified Out of Accumulated Other Comprehensive Income”. This guidance is the culmination of the board's redeliberation on reporting reclassification adjustments from accumulated other comprehensive income. The standard requires that companies present information about reclassification adjustments from accumulated other comprehensive income in their interim and annual financial statements in a single note or on the face of the financial statements. This ASU is effective for interim and annual reporting periods beginning after December 15, 2012. The Company will adopt this ASU beginning with the reporting period ending March 31, 2013.</w:t>
      </w:r>
    </w:p>
    <w:p>
      <w:pPr>
        <w:spacing w:after="0" w:line="181"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color w:val="auto"/>
        </w:rPr>
        <w:t>In May 2011, the FASB issued ASU 2011-04, "Amendments to Achieve Common Fair Value Measurement and Disclosure Requirements in U.S. GAAP and IFRSs." This ASU is a result of joint efforts by the FASB and IASB to develop a single, converged framework on how to measure fair value and what disclosures to provide about fair value measurements. This ASU is largely consistent with existing fair value measurement principles of U.S. GAAP, however, it expands existing disclosure requirements for fair value measurements. The ASU is effective for interim and annual reporting periods beginning after December 15, 2011 and applied prospectively. The Company adopted this ASU beginning with the reporting period ended March 31, 2012, as required. Adoption of this guidance resulted in expanded disclosures on fair value measurements, included in Note 14, but did not have an impact on the Company's measurements of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4—Real estate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real estate assets were comprised of the following ($ in thousands):</w:t>
      </w:r>
    </w:p>
    <w:p>
      <w:pPr>
        <w:spacing w:after="0" w:line="309"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Net Lease</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b w:val="1"/>
                <w:bCs w:val="1"/>
                <w:color w:val="auto"/>
              </w:rPr>
              <w:t>Operating</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6"/>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78"/>
              </w:rPr>
              <w:t>Assets</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7"/>
                <w:szCs w:val="17"/>
                <w:b w:val="1"/>
                <w:bCs w:val="1"/>
                <w:color w:val="auto"/>
              </w:rPr>
              <w:t>Properties</w:t>
            </w:r>
          </w:p>
        </w:tc>
        <w:tc>
          <w:tcPr>
            <w:tcW w:w="30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7"/>
                <w:szCs w:val="17"/>
                <w:b w:val="1"/>
                <w:bCs w:val="1"/>
                <w:color w:val="auto"/>
              </w:rPr>
              <w:t>Land</w:t>
            </w:r>
          </w:p>
        </w:tc>
        <w:tc>
          <w:tcPr>
            <w:tcW w:w="320" w:type="dxa"/>
            <w:vAlign w:val="bottom"/>
          </w:tcPr>
          <w:p>
            <w:pPr>
              <w:spacing w:after="0"/>
              <w:rPr>
                <w:sz w:val="19"/>
                <w:szCs w:val="19"/>
                <w:color w:val="auto"/>
              </w:rPr>
            </w:pPr>
          </w:p>
        </w:tc>
        <w:tc>
          <w:tcPr>
            <w:tcW w:w="1160" w:type="dxa"/>
            <w:vAlign w:val="bottom"/>
          </w:tcPr>
          <w:p>
            <w:pPr>
              <w:jc w:val="right"/>
              <w:ind w:right="497"/>
              <w:spacing w:after="0"/>
              <w:rPr>
                <w:sz w:val="20"/>
                <w:szCs w:val="20"/>
                <w:color w:val="auto"/>
              </w:rPr>
            </w:pPr>
            <w:r>
              <w:rPr>
                <w:rFonts w:ascii="Arial" w:cs="Arial" w:eastAsia="Arial" w:hAnsi="Arial"/>
                <w:sz w:val="17"/>
                <w:szCs w:val="17"/>
                <w:b w:val="1"/>
                <w:bCs w:val="1"/>
                <w:color w:val="auto"/>
              </w:rPr>
              <w:t>Total</w:t>
            </w:r>
          </w:p>
        </w:tc>
      </w:tr>
      <w:tr>
        <w:trPr>
          <w:trHeight w:val="26"/>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2012</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2"/>
        </w:trPr>
        <w:tc>
          <w:tcPr>
            <w:tcW w:w="4580" w:type="dxa"/>
            <w:vAlign w:val="bottom"/>
          </w:tcPr>
          <w:p>
            <w:pPr>
              <w:ind w:left="20"/>
              <w:spacing w:after="0"/>
              <w:rPr>
                <w:sz w:val="20"/>
                <w:szCs w:val="20"/>
                <w:color w:val="auto"/>
              </w:rPr>
            </w:pPr>
            <w:r>
              <w:rPr>
                <w:rFonts w:ascii="Arial" w:cs="Arial" w:eastAsia="Arial" w:hAnsi="Arial"/>
                <w:sz w:val="17"/>
                <w:szCs w:val="17"/>
                <w:color w:val="auto"/>
              </w:rPr>
              <w:t>Land and land improvements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344,239</w:t>
            </w:r>
          </w:p>
        </w:tc>
        <w:tc>
          <w:tcPr>
            <w:tcW w:w="10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132,028</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786,114</w:t>
            </w:r>
          </w:p>
        </w:tc>
        <w:tc>
          <w:tcPr>
            <w:tcW w:w="10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1,262,381</w:t>
            </w:r>
          </w:p>
        </w:tc>
      </w:tr>
      <w:tr>
        <w:trPr>
          <w:trHeight w:val="26"/>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1,295,081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669,186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1,964,267</w:t>
            </w:r>
          </w:p>
        </w:tc>
      </w:tr>
      <w:tr>
        <w:trPr>
          <w:trHeight w:val="222"/>
        </w:trPr>
        <w:tc>
          <w:tcPr>
            <w:tcW w:w="458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(315,699)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(109,634)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(427,625)</w:t>
            </w:r>
          </w:p>
        </w:tc>
      </w:tr>
      <w:tr>
        <w:trPr>
          <w:trHeight w:val="26"/>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net</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1,323,621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691,580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783,822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2,799,023</w:t>
            </w:r>
          </w:p>
        </w:tc>
      </w:tr>
      <w:tr>
        <w:trPr>
          <w:trHeight w:val="222"/>
        </w:trPr>
        <w:tc>
          <w:tcPr>
            <w:tcW w:w="4580" w:type="dxa"/>
            <w:vAlign w:val="bottom"/>
          </w:tcPr>
          <w:p>
            <w:pPr>
              <w:ind w:left="20"/>
              <w:spacing w:after="0"/>
              <w:rPr>
                <w:sz w:val="20"/>
                <w:szCs w:val="20"/>
                <w:color w:val="auto"/>
              </w:rPr>
            </w:pPr>
            <w:r>
              <w:rPr>
                <w:rFonts w:ascii="Arial" w:cs="Arial" w:eastAsia="Arial" w:hAnsi="Arial"/>
                <w:sz w:val="17"/>
                <w:szCs w:val="17"/>
                <w:color w:val="auto"/>
              </w:rPr>
              <w:t>Real estate available and held for sale</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454,587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181,278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635,865</w:t>
            </w:r>
          </w:p>
        </w:tc>
      </w:tr>
      <w:tr>
        <w:trPr>
          <w:trHeight w:val="26"/>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real estate</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1,323,621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1,146,167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965,100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3,434,888</w:t>
            </w:r>
          </w:p>
        </w:tc>
      </w:tr>
      <w:tr>
        <w:trPr>
          <w:trHeight w:val="222"/>
        </w:trPr>
        <w:tc>
          <w:tcPr>
            <w:tcW w:w="4580" w:type="dxa"/>
            <w:vAlign w:val="bottom"/>
          </w:tcPr>
          <w:p>
            <w:pPr>
              <w:ind w:left="20"/>
              <w:spacing w:after="0"/>
              <w:rPr>
                <w:sz w:val="20"/>
                <w:szCs w:val="20"/>
                <w:color w:val="auto"/>
              </w:rPr>
            </w:pPr>
            <w:r>
              <w:rPr>
                <w:rFonts w:ascii="Arial" w:cs="Arial" w:eastAsia="Arial" w:hAnsi="Arial"/>
                <w:sz w:val="17"/>
                <w:szCs w:val="17"/>
                <w:b w:val="1"/>
                <w:bCs w:val="1"/>
                <w:color w:val="auto"/>
              </w:rPr>
              <w:t>As of December 31, 2011</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and land improvements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378,458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84,010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851,272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1,313,740</w:t>
            </w:r>
          </w:p>
        </w:tc>
      </w:tr>
      <w:tr>
        <w:trPr>
          <w:trHeight w:val="222"/>
        </w:trPr>
        <w:tc>
          <w:tcPr>
            <w:tcW w:w="4580" w:type="dxa"/>
            <w:vAlign w:val="bottom"/>
          </w:tcPr>
          <w:p>
            <w:pPr>
              <w:ind w:left="20"/>
              <w:spacing w:after="0"/>
              <w:rPr>
                <w:sz w:val="20"/>
                <w:szCs w:val="20"/>
                <w:color w:val="auto"/>
              </w:rPr>
            </w:pPr>
            <w:r>
              <w:rPr>
                <w:rFonts w:ascii="Arial" w:cs="Arial" w:eastAsia="Arial" w:hAnsi="Arial"/>
                <w:sz w:val="17"/>
                <w:szCs w:val="17"/>
                <w:color w:val="auto"/>
              </w:rPr>
              <w:t>Buildings and improvements</w:t>
            </w:r>
          </w:p>
        </w:tc>
        <w:tc>
          <w:tcPr>
            <w:tcW w:w="2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1,394,691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636,241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2,030,932</w:t>
            </w:r>
          </w:p>
        </w:tc>
      </w:tr>
      <w:tr>
        <w:trPr>
          <w:trHeight w:val="26"/>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(396,761)</w:t>
            </w:r>
          </w:p>
        </w:tc>
      </w:tr>
      <w:tr>
        <w:trPr>
          <w:trHeight w:val="214"/>
        </w:trPr>
        <w:tc>
          <w:tcPr>
            <w:tcW w:w="4580" w:type="dxa"/>
            <w:vAlign w:val="bottom"/>
          </w:tcPr>
          <w:p>
            <w:pPr>
              <w:ind w:left="20"/>
              <w:spacing w:after="0"/>
              <w:rPr>
                <w:sz w:val="20"/>
                <w:szCs w:val="20"/>
                <w:color w:val="auto"/>
              </w:rPr>
            </w:pPr>
            <w:r>
              <w:rPr>
                <w:rFonts w:ascii="Arial" w:cs="Arial" w:eastAsia="Arial" w:hAnsi="Arial"/>
                <w:sz w:val="17"/>
                <w:szCs w:val="17"/>
                <w:color w:val="auto"/>
              </w:rPr>
              <w:t>Real estate, net</w:t>
            </w: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1,470,298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629,868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847,745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2,947,911</w:t>
            </w:r>
          </w:p>
        </w:tc>
      </w:tr>
      <w:tr>
        <w:trPr>
          <w:trHeight w:val="26"/>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available and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551,998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125,460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677,458</w:t>
            </w:r>
          </w:p>
        </w:tc>
      </w:tr>
      <w:tr>
        <w:trPr>
          <w:trHeight w:val="234"/>
        </w:trPr>
        <w:tc>
          <w:tcPr>
            <w:tcW w:w="4580" w:type="dxa"/>
            <w:vAlign w:val="bottom"/>
          </w:tcPr>
          <w:p>
            <w:pPr>
              <w:ind w:left="20"/>
              <w:spacing w:after="0"/>
              <w:rPr>
                <w:sz w:val="20"/>
                <w:szCs w:val="20"/>
                <w:color w:val="auto"/>
              </w:rPr>
            </w:pPr>
            <w:r>
              <w:rPr>
                <w:rFonts w:ascii="Arial" w:cs="Arial" w:eastAsia="Arial" w:hAnsi="Arial"/>
                <w:sz w:val="17"/>
                <w:szCs w:val="17"/>
                <w:color w:val="auto"/>
              </w:rPr>
              <w:t>Total real estate</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1,470,298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1,181,866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973,205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3,625,369</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b w:val="1"/>
          <w:bCs w:val="1"/>
          <w:color w:val="auto"/>
        </w:rPr>
        <w:t>Real estate available and held for sale—</w:t>
      </w:r>
      <w:r>
        <w:rPr>
          <w:rFonts w:ascii="Arial" w:cs="Arial" w:eastAsia="Arial" w:hAnsi="Arial"/>
          <w:sz w:val="17"/>
          <w:szCs w:val="17"/>
          <w:color w:val="auto"/>
        </w:rPr>
        <w:t>As of December 31, 2012 and 2011, the Company had $374.1 million and $419.0 million, respectively, of residential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available for sale in its operating properties portfolio. The Company is actively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spacing w:after="0" w:line="368" w:lineRule="auto"/>
        <w:rPr>
          <w:sz w:val="20"/>
          <w:szCs w:val="20"/>
          <w:color w:val="auto"/>
        </w:rPr>
      </w:pPr>
      <w:r>
        <w:rPr>
          <w:rFonts w:ascii="Arial" w:cs="Arial" w:eastAsia="Arial" w:hAnsi="Arial"/>
          <w:sz w:val="14"/>
          <w:szCs w:val="14"/>
          <w:color w:val="auto"/>
        </w:rPr>
        <w:t>marketing and selling condominium units in these projects. During the years ended December 31, 2012 and 2011, the Company sold condominium units for total net proceeds of $319.3 million and $154.0 million, respectively, and recorded income from sales of residential properties totaling $63.5 million and $5.7 million, respectively.</w:t>
      </w:r>
    </w:p>
    <w:p>
      <w:pPr>
        <w:spacing w:after="0" w:line="102" w:lineRule="exact"/>
        <w:rPr>
          <w:sz w:val="20"/>
          <w:szCs w:val="20"/>
          <w:color w:val="auto"/>
        </w:rPr>
      </w:pPr>
    </w:p>
    <w:p>
      <w:pPr>
        <w:jc w:val="both"/>
        <w:ind w:firstLine="397"/>
        <w:spacing w:after="0" w:line="310" w:lineRule="auto"/>
        <w:rPr>
          <w:sz w:val="20"/>
          <w:szCs w:val="20"/>
          <w:color w:val="auto"/>
        </w:rPr>
      </w:pPr>
      <w:r>
        <w:rPr>
          <w:rFonts w:ascii="Arial" w:cs="Arial" w:eastAsia="Arial" w:hAnsi="Arial"/>
          <w:sz w:val="14"/>
          <w:szCs w:val="14"/>
          <w:color w:val="auto"/>
        </w:rPr>
        <w:t>Real estate assets held for sale included $181.3 million of land assets and $80.5 million of commercial operating properties as of December 31, 2012 and $125.5 million of land assets and $133.0 million of commercial operating properties as of December 31, 2011. During the year ended December 31, 2012, the Company had a change in its business plans to sell two commercial operating properties previously considered held for sale. As of December 31, 2012, the carrying amount of these assets was $49.8 million and was recorded in Real Estate, net. The assets were reclassified at their carrying value prior to classification as held for sale and adjusted for depreciation expense during the held for sale period, which was lower than the assets fair value at the time of the change in plans to sell. In connection with the reclassification of these assets to held and used, the Company reclassified their results of operations for each of the periods presented, as follows:</w:t>
      </w:r>
    </w:p>
    <w:p>
      <w:pPr>
        <w:spacing w:after="0" w:line="345"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660" w:type="dxa"/>
            <w:vAlign w:val="bottom"/>
            <w:tcBorders>
              <w:bottom w:val="single" w:sz="8" w:color="auto"/>
            </w:tcBorders>
          </w:tcPr>
          <w:p>
            <w:pPr>
              <w:spacing w:after="0"/>
              <w:rPr>
                <w:sz w:val="15"/>
                <w:szCs w:val="15"/>
                <w:color w:val="auto"/>
              </w:rPr>
            </w:pPr>
          </w:p>
        </w:tc>
      </w:tr>
      <w:tr>
        <w:trPr>
          <w:trHeight w:val="241"/>
        </w:trPr>
        <w:tc>
          <w:tcPr>
            <w:tcW w:w="4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w w:val="89"/>
              </w:rPr>
              <w:t>2010</w:t>
            </w:r>
          </w:p>
        </w:tc>
      </w:tr>
      <w:tr>
        <w:trPr>
          <w:trHeight w:val="22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7"/>
                <w:szCs w:val="17"/>
                <w:color w:val="auto"/>
              </w:rPr>
              <w:t>21,148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21,663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22,751</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Real estate expenses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(22,603)</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(24,297)</w:t>
            </w:r>
          </w:p>
        </w:tc>
        <w:tc>
          <w:tcPr>
            <w:tcW w:w="10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(25,612)</w:t>
            </w:r>
          </w:p>
        </w:tc>
      </w:tr>
    </w:tbl>
    <w:p>
      <w:pPr>
        <w:spacing w:after="0" w:line="209"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Acquisitions—</w:t>
      </w:r>
      <w:r>
        <w:rPr>
          <w:rFonts w:ascii="Arial" w:cs="Arial" w:eastAsia="Arial" w:hAnsi="Arial"/>
          <w:sz w:val="17"/>
          <w:szCs w:val="17"/>
          <w:color w:val="auto"/>
        </w:rPr>
        <w:t>During the year ended December 31, 2012, the Company acquired title to properties previously serving as collateral on its loan receivables with a total</w:t>
      </w:r>
      <w:r>
        <w:rPr>
          <w:rFonts w:ascii="Arial" w:cs="Arial" w:eastAsia="Arial" w:hAnsi="Arial"/>
          <w:sz w:val="17"/>
          <w:szCs w:val="17"/>
          <w:b w:val="1"/>
          <w:bCs w:val="1"/>
          <w:color w:val="auto"/>
        </w:rPr>
        <w:t xml:space="preserve"> </w:t>
      </w:r>
      <w:r>
        <w:rPr>
          <w:rFonts w:ascii="Arial" w:cs="Arial" w:eastAsia="Arial" w:hAnsi="Arial"/>
          <w:sz w:val="17"/>
          <w:szCs w:val="17"/>
          <w:color w:val="auto"/>
        </w:rPr>
        <w:t>fair value of $269.1 million at the time of foreclosure (see Note 5). These properties included $172.4 million of residential operating properties, $63.4 million of commercial operating properties and $33.3 million of land assets.</w:t>
      </w:r>
    </w:p>
    <w:p>
      <w:pPr>
        <w:spacing w:after="0" w:line="178"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During the year ended December 31, 2012, the Company also acquired land and other assets with a fair value of $27.3 million from a third party to form a new venture related to one of the Company's commercial operating properties. The third party contributed land into the venture in a non-cash exchange for a non-controlling interest and the Company continues to consolidate the subsidiary. In conjunction with the formation of this new venture, the venture contributed land with a recorded value of $11.6 million in a non-cash exchange for a 40% noncontrolling equity interest in a separate new venture. The Company did not recognize any gains or losses associated with these transactions.</w:t>
      </w:r>
    </w:p>
    <w:p>
      <w:pPr>
        <w:spacing w:after="0" w:line="181" w:lineRule="exact"/>
        <w:rPr>
          <w:sz w:val="20"/>
          <w:szCs w:val="20"/>
          <w:color w:val="auto"/>
        </w:rPr>
      </w:pPr>
    </w:p>
    <w:p>
      <w:pPr>
        <w:jc w:val="both"/>
        <w:ind w:firstLine="397"/>
        <w:spacing w:after="0" w:line="308" w:lineRule="auto"/>
        <w:rPr>
          <w:sz w:val="20"/>
          <w:szCs w:val="20"/>
          <w:color w:val="auto"/>
        </w:rPr>
      </w:pPr>
      <w:r>
        <w:rPr>
          <w:rFonts w:ascii="Arial" w:cs="Arial" w:eastAsia="Arial" w:hAnsi="Arial"/>
          <w:sz w:val="14"/>
          <w:szCs w:val="14"/>
          <w:color w:val="auto"/>
        </w:rPr>
        <w:t>In addition, during 2012, the Company acquired land and other assets with a fair value of $11.5 million from a third party to form a new strategic venture related to one of the Company's active land development projects. The third party contributed land into the venture in a non-cash exchange for a non-controlling interest and the Company continues to consolidate the subsidiary. The Company did not recognize any gains or losses associated with the transaction. Based upon certain rights held by the minority partner in this land venture that provide it with an option to redeem its interest at fair value after seven years, the Company has reflected the partner's non-controlling interest in this venture as a redeemable non-controlling interest within its Consolidated Balance Sheet at December 31, 2012. As it is probable that the interest will become redeemable, subsequent changes in fair value are being accreted over the seven year period from the date of issuance to the earliest redemption date using the interest method. As of December 31, 2012, the estimated redemption value of the redeemable non-controlling interest is $17.9 million.</w:t>
      </w:r>
    </w:p>
    <w:p>
      <w:pPr>
        <w:spacing w:after="0" w:line="14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During the year ended December 31, 2011, the Company acquired title to properties previously serving as collateral on its loan receivables with a total fair value of $502.5 million at the time of foreclosure (see Note 5). These properties included $61.8 million of residential operating properties, $258.8 million of commercial operating properties and $181.9 million of land assets.</w:t>
      </w:r>
    </w:p>
    <w:p>
      <w:pPr>
        <w:spacing w:after="0" w:line="17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6"/>
          <w:szCs w:val="16"/>
          <w:b w:val="1"/>
          <w:bCs w:val="1"/>
          <w:color w:val="auto"/>
        </w:rPr>
        <w:t>Dispositions—</w:t>
      </w:r>
      <w:r>
        <w:rPr>
          <w:rFonts w:ascii="Arial" w:cs="Arial" w:eastAsia="Arial" w:hAnsi="Arial"/>
          <w:sz w:val="16"/>
          <w:szCs w:val="16"/>
          <w:color w:val="auto"/>
        </w:rPr>
        <w:t>During the year ended December 31, 2012, the Company sold a portfolio of 12 net lease assets with an aggregate carrying value of $105.7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a gain of $24.9 million resulting from the transaction. Certain of the properties were subject to secured term loans with a remaining principal balance of $50.8 million that were repaid in full at closing (see Note 8). In addition to this portfolio sale, during 2012, the Company sold net lease assets with a carrying value of $9.8 million, resulting in a net gain of $2.4 million. During the year ended December 31, 2012, the Company sold commercial operating properties with an aggregate carrying value of $29.3 million and land assets with a carrying value of $72.1 million for proceeds that approximated carrying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During the year ended December 31, 2011, the Company sold net lease assets with carrying values of $34.1 million, resulting in a net gain of $3.2 million. During 2011, the Company also sold commercial operating properties with an aggregate carrying value of $17.9 million and land assets with a carrying value of $9.5 million for proceeds that approximated carrying value.</w:t>
      </w:r>
    </w:p>
    <w:p>
      <w:pPr>
        <w:spacing w:after="0" w:line="178"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6"/>
          <w:szCs w:val="16"/>
          <w:color w:val="auto"/>
        </w:rPr>
        <w:t>During the year ended December 31, 2010, the Company completed the sale of a portfolio of 32 net lease assets to a single purchaser for a gross purchase price of $1.35 billion that resulted in a net gain of $250.3 million. The aggregate carrying value of the portfolio of assets was $1.05 billion. At the time of sale, the Company had reduced its gain on sale and recorded a liability based upon certain contingent obligations that have now been fully resolved. Upon resolution of this liability in 2011, the Company realized $22.2 million of the gain previously deferred and recorded the gain in “Gain from discontinued operations” on the Company's Consolidated Statements of Operations for the year ended December 31, 2011. As part of the purchaser's financing for the transaction, the Company provided the purchaser with $105.6 million of mezzanine loans, which have been fully repaid as of December 31, 2012.</w:t>
      </w:r>
    </w:p>
    <w:p>
      <w:pPr>
        <w:spacing w:after="0" w:line="370"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7"/>
          <w:szCs w:val="17"/>
          <w:color w:val="auto"/>
        </w:rPr>
        <w:t>In addition to the sale of the portfolio of assets noted above, during the year ended December 31, 2010, the Company sold net lease assets with carrying values of $119.7 million, which resulted in gains of $20.1 million. During 2010, the Company also sold commercial operating properties with a carrying value of $180.6 million and land assets with a carrying value of $3.1 million for proceeds that approximated carrying value.</w:t>
      </w:r>
    </w:p>
    <w:p>
      <w:pPr>
        <w:spacing w:after="0" w:line="174"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b w:val="1"/>
          <w:bCs w:val="1"/>
          <w:color w:val="auto"/>
        </w:rPr>
        <w:t>Discontinued Operations—</w:t>
      </w:r>
      <w:r>
        <w:rPr>
          <w:rFonts w:ascii="Arial" w:cs="Arial" w:eastAsia="Arial" w:hAnsi="Arial"/>
          <w:sz w:val="17"/>
          <w:szCs w:val="17"/>
          <w:color w:val="auto"/>
        </w:rPr>
        <w:t>The following table summarizes income from discontinued operations for the years ended December 31, 2012, 2011 and 2010,</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 in thousands):</w:t>
      </w:r>
    </w:p>
    <w:p>
      <w:pPr>
        <w:spacing w:after="0" w:line="371" w:lineRule="exact"/>
        <w:rPr>
          <w:sz w:val="20"/>
          <w:szCs w:val="20"/>
          <w:color w:val="auto"/>
        </w:rPr>
      </w:pPr>
    </w:p>
    <w:tbl>
      <w:tblPr>
        <w:tblLayout w:type="fixed"/>
        <w:tblInd w:w="168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13"/>
                <w:szCs w:val="13"/>
                <w:b w:val="1"/>
                <w:bCs w:val="1"/>
                <w:color w:val="auto"/>
              </w:rPr>
              <w:t>For the Years Ended December 31,</w:t>
            </w:r>
          </w:p>
        </w:tc>
      </w:tr>
      <w:tr>
        <w:trPr>
          <w:trHeight w:val="241"/>
        </w:trPr>
        <w:tc>
          <w:tcPr>
            <w:tcW w:w="4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2010</w:t>
            </w:r>
          </w:p>
        </w:tc>
      </w:tr>
      <w:tr>
        <w:trPr>
          <w:trHeight w:val="22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5,561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16,512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88,536</w:t>
            </w:r>
          </w:p>
        </w:tc>
      </w:tr>
      <w:tr>
        <w:trPr>
          <w:trHeight w:val="222"/>
        </w:trPr>
        <w:tc>
          <w:tcPr>
            <w:tcW w:w="4960" w:type="dxa"/>
            <w:vAlign w:val="bottom"/>
          </w:tcPr>
          <w:p>
            <w:pPr>
              <w:ind w:left="40"/>
              <w:spacing w:after="0"/>
              <w:rPr>
                <w:sz w:val="20"/>
                <w:szCs w:val="20"/>
                <w:color w:val="auto"/>
              </w:rPr>
            </w:pPr>
            <w:r>
              <w:rPr>
                <w:rFonts w:ascii="Arial" w:cs="Arial" w:eastAsia="Arial" w:hAnsi="Arial"/>
                <w:sz w:val="17"/>
                <w:szCs w:val="17"/>
                <w:color w:val="auto"/>
              </w:rPr>
              <w:t>Total expenses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(14,683)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(62,143)</w:t>
            </w:r>
          </w:p>
        </w:tc>
      </w:tr>
      <w:tr>
        <w:trPr>
          <w:trHeight w:val="26"/>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8"/>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Impairment of assets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(9,572)</w:t>
            </w:r>
          </w:p>
        </w:tc>
      </w:tr>
      <w:tr>
        <w:trPr>
          <w:trHeight w:val="234"/>
        </w:trPr>
        <w:tc>
          <w:tcPr>
            <w:tcW w:w="4960" w:type="dxa"/>
            <w:vAlign w:val="bottom"/>
          </w:tcPr>
          <w:p>
            <w:pPr>
              <w:ind w:left="40"/>
              <w:spacing w:after="0"/>
              <w:rPr>
                <w:sz w:val="20"/>
                <w:szCs w:val="20"/>
                <w:color w:val="auto"/>
              </w:rPr>
            </w:pPr>
            <w:r>
              <w:rPr>
                <w:rFonts w:ascii="Arial" w:cs="Arial" w:eastAsia="Arial" w:hAnsi="Arial"/>
                <w:sz w:val="17"/>
                <w:szCs w:val="17"/>
                <w:color w:val="auto"/>
              </w:rPr>
              <w:t>Income (loss) from discontinued operations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(19,465)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(7,318)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16,821</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596"/>
        <w:spacing w:after="0" w:line="278" w:lineRule="auto"/>
        <w:rPr>
          <w:sz w:val="20"/>
          <w:szCs w:val="20"/>
          <w:color w:val="auto"/>
        </w:rPr>
      </w:pPr>
      <w:r>
        <w:rPr>
          <w:rFonts w:ascii="Arial" w:cs="Arial" w:eastAsia="Arial" w:hAnsi="Arial"/>
          <w:sz w:val="16"/>
          <w:szCs w:val="16"/>
          <w:b w:val="1"/>
          <w:bCs w:val="1"/>
          <w:color w:val="auto"/>
        </w:rPr>
        <w:t>Impairments—</w:t>
      </w:r>
      <w:r>
        <w:rPr>
          <w:rFonts w:ascii="Arial" w:cs="Arial" w:eastAsia="Arial" w:hAnsi="Arial"/>
          <w:sz w:val="16"/>
          <w:szCs w:val="16"/>
          <w:color w:val="auto"/>
        </w:rPr>
        <w:t>During the years ended December 31, 2012, 2011 and 2010 the Company recorded impairments on real estate assets totaling $35.4 million, $22.4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and $25.2 million. Of these amounts, $22.6 million, $9.1 million and $9.6 million for the years ended December 31, 2012, 2011 and 2010, respectively, have been reclassified to discontinued operations due to the assets being sold or classified as held for sale as of December 31, 2012 (see above).</w:t>
      </w:r>
    </w:p>
    <w:p>
      <w:pPr>
        <w:spacing w:after="0" w:line="155" w:lineRule="exact"/>
        <w:rPr>
          <w:sz w:val="20"/>
          <w:szCs w:val="20"/>
          <w:color w:val="auto"/>
        </w:rPr>
      </w:pPr>
    </w:p>
    <w:p>
      <w:pPr>
        <w:jc w:val="both"/>
        <w:ind w:firstLine="596"/>
        <w:spacing w:after="0" w:line="251" w:lineRule="auto"/>
        <w:rPr>
          <w:sz w:val="20"/>
          <w:szCs w:val="20"/>
          <w:color w:val="auto"/>
        </w:rPr>
      </w:pPr>
      <w:r>
        <w:rPr>
          <w:rFonts w:ascii="Arial" w:cs="Arial" w:eastAsia="Arial" w:hAnsi="Arial"/>
          <w:sz w:val="17"/>
          <w:szCs w:val="17"/>
          <w:b w:val="1"/>
          <w:bCs w:val="1"/>
          <w:color w:val="auto"/>
        </w:rPr>
        <w:t>Intangible assets—</w:t>
      </w:r>
      <w:r>
        <w:rPr>
          <w:rFonts w:ascii="Arial" w:cs="Arial" w:eastAsia="Arial" w:hAnsi="Arial"/>
          <w:sz w:val="17"/>
          <w:szCs w:val="17"/>
          <w:color w:val="auto"/>
        </w:rPr>
        <w:t>As of December 31, 2012, 2011 and 2010, the Company had $59.9 million and $53.6 million, respectively, of unamortized finite lived</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primarily related to the acquisition of real estate assets. The total amortization expense for these intangible assets was $10.6 million, $11.0 million and $9.0 million for the years ended December 31, 2012, 2011 and 2010, respectively. The estimated aggregate amortization costs for each of the five succeeding fiscal years are as follows ($ in thousands):</w:t>
      </w:r>
    </w:p>
    <w:p>
      <w:pPr>
        <w:spacing w:after="0" w:line="316" w:lineRule="exact"/>
        <w:rPr>
          <w:sz w:val="20"/>
          <w:szCs w:val="20"/>
          <w:color w:val="auto"/>
        </w:rPr>
      </w:pPr>
    </w:p>
    <w:tbl>
      <w:tblPr>
        <w:tblLayout w:type="fixed"/>
        <w:tblInd w:w="2420" w:type="dxa"/>
        <w:tblCellMar>
          <w:top w:w="0" w:type="dxa"/>
          <w:left w:w="0" w:type="dxa"/>
          <w:bottom w:w="0" w:type="dxa"/>
          <w:right w:w="0" w:type="dxa"/>
        </w:tblCellMar>
      </w:tblPr>
      <w:tr>
        <w:trPr>
          <w:trHeight w:val="248"/>
        </w:trPr>
        <w:tc>
          <w:tcPr>
            <w:tcW w:w="1780" w:type="dxa"/>
            <w:vAlign w:val="bottom"/>
            <w:shd w:val="clear" w:color="auto" w:fill="CCEEFF"/>
          </w:tcPr>
          <w:p>
            <w:pPr>
              <w:jc w:val="right"/>
              <w:ind w:right="1337"/>
              <w:spacing w:after="0"/>
              <w:rPr>
                <w:sz w:val="20"/>
                <w:szCs w:val="20"/>
                <w:color w:val="auto"/>
              </w:rPr>
            </w:pPr>
            <w:r>
              <w:rPr>
                <w:rFonts w:ascii="Arial" w:cs="Arial" w:eastAsia="Arial" w:hAnsi="Arial"/>
                <w:sz w:val="17"/>
                <w:szCs w:val="17"/>
                <w:color w:val="auto"/>
                <w:w w:val="89"/>
              </w:rPr>
              <w:t>2013</w:t>
            </w:r>
          </w:p>
        </w:tc>
        <w:tc>
          <w:tcPr>
            <w:tcW w:w="3700" w:type="dxa"/>
            <w:vAlign w:val="bottom"/>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11,534</w:t>
            </w:r>
          </w:p>
        </w:tc>
      </w:tr>
      <w:tr>
        <w:trPr>
          <w:trHeight w:val="222"/>
        </w:trPr>
        <w:tc>
          <w:tcPr>
            <w:tcW w:w="1780" w:type="dxa"/>
            <w:vAlign w:val="bottom"/>
          </w:tcPr>
          <w:p>
            <w:pPr>
              <w:jc w:val="right"/>
              <w:ind w:right="1337"/>
              <w:spacing w:after="0"/>
              <w:rPr>
                <w:sz w:val="20"/>
                <w:szCs w:val="20"/>
                <w:color w:val="auto"/>
              </w:rPr>
            </w:pPr>
            <w:r>
              <w:rPr>
                <w:rFonts w:ascii="Arial" w:cs="Arial" w:eastAsia="Arial" w:hAnsi="Arial"/>
                <w:sz w:val="17"/>
                <w:szCs w:val="17"/>
                <w:color w:val="auto"/>
                <w:w w:val="89"/>
              </w:rPr>
              <w:t>2014</w:t>
            </w:r>
          </w:p>
        </w:tc>
        <w:tc>
          <w:tcPr>
            <w:tcW w:w="3700" w:type="dxa"/>
            <w:vAlign w:val="bottom"/>
          </w:tcPr>
          <w:p>
            <w:pPr>
              <w:jc w:val="right"/>
              <w:ind w:right="51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9,221</w:t>
            </w:r>
          </w:p>
        </w:tc>
      </w:tr>
      <w:tr>
        <w:trPr>
          <w:trHeight w:val="26"/>
        </w:trPr>
        <w:tc>
          <w:tcPr>
            <w:tcW w:w="17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1780" w:type="dxa"/>
            <w:vAlign w:val="bottom"/>
            <w:tcBorders>
              <w:bottom w:val="single" w:sz="8" w:color="CCEEFF"/>
            </w:tcBorders>
            <w:shd w:val="clear" w:color="auto" w:fill="CCEEFF"/>
          </w:tcPr>
          <w:p>
            <w:pPr>
              <w:jc w:val="right"/>
              <w:ind w:right="1337"/>
              <w:spacing w:after="0"/>
              <w:rPr>
                <w:sz w:val="20"/>
                <w:szCs w:val="20"/>
                <w:color w:val="auto"/>
              </w:rPr>
            </w:pPr>
            <w:r>
              <w:rPr>
                <w:rFonts w:ascii="Arial" w:cs="Arial" w:eastAsia="Arial" w:hAnsi="Arial"/>
                <w:sz w:val="17"/>
                <w:szCs w:val="17"/>
                <w:color w:val="auto"/>
                <w:w w:val="89"/>
              </w:rPr>
              <w:t>2015</w:t>
            </w:r>
          </w:p>
        </w:tc>
        <w:tc>
          <w:tcPr>
            <w:tcW w:w="37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7,589</w:t>
            </w:r>
          </w:p>
        </w:tc>
      </w:tr>
      <w:tr>
        <w:trPr>
          <w:trHeight w:val="222"/>
        </w:trPr>
        <w:tc>
          <w:tcPr>
            <w:tcW w:w="1780" w:type="dxa"/>
            <w:vAlign w:val="bottom"/>
          </w:tcPr>
          <w:p>
            <w:pPr>
              <w:jc w:val="right"/>
              <w:ind w:right="1337"/>
              <w:spacing w:after="0"/>
              <w:rPr>
                <w:sz w:val="20"/>
                <w:szCs w:val="20"/>
                <w:color w:val="auto"/>
              </w:rPr>
            </w:pPr>
            <w:r>
              <w:rPr>
                <w:rFonts w:ascii="Arial" w:cs="Arial" w:eastAsia="Arial" w:hAnsi="Arial"/>
                <w:sz w:val="17"/>
                <w:szCs w:val="17"/>
                <w:color w:val="auto"/>
                <w:w w:val="89"/>
              </w:rPr>
              <w:t>2016</w:t>
            </w:r>
          </w:p>
        </w:tc>
        <w:tc>
          <w:tcPr>
            <w:tcW w:w="3700" w:type="dxa"/>
            <w:vAlign w:val="bottom"/>
          </w:tcPr>
          <w:p>
            <w:pPr>
              <w:jc w:val="right"/>
              <w:ind w:right="51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6,770</w:t>
            </w:r>
          </w:p>
        </w:tc>
      </w:tr>
      <w:tr>
        <w:trPr>
          <w:trHeight w:val="26"/>
        </w:trPr>
        <w:tc>
          <w:tcPr>
            <w:tcW w:w="17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1780" w:type="dxa"/>
            <w:vAlign w:val="bottom"/>
            <w:tcBorders>
              <w:bottom w:val="single" w:sz="8" w:color="CCEEFF"/>
            </w:tcBorders>
            <w:shd w:val="clear" w:color="auto" w:fill="CCEEFF"/>
          </w:tcPr>
          <w:p>
            <w:pPr>
              <w:jc w:val="right"/>
              <w:ind w:right="1337"/>
              <w:spacing w:after="0"/>
              <w:rPr>
                <w:sz w:val="20"/>
                <w:szCs w:val="20"/>
                <w:color w:val="auto"/>
              </w:rPr>
            </w:pPr>
            <w:r>
              <w:rPr>
                <w:rFonts w:ascii="Arial" w:cs="Arial" w:eastAsia="Arial" w:hAnsi="Arial"/>
                <w:sz w:val="17"/>
                <w:szCs w:val="17"/>
                <w:color w:val="auto"/>
                <w:w w:val="89"/>
              </w:rPr>
              <w:t>2017</w:t>
            </w:r>
          </w:p>
        </w:tc>
        <w:tc>
          <w:tcPr>
            <w:tcW w:w="37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5,721</w:t>
            </w:r>
          </w:p>
        </w:tc>
      </w:tr>
      <w:tr>
        <w:trPr>
          <w:trHeight w:val="619"/>
        </w:trPr>
        <w:tc>
          <w:tcPr>
            <w:tcW w:w="1780" w:type="dxa"/>
            <w:vAlign w:val="bottom"/>
          </w:tcPr>
          <w:p>
            <w:pPr>
              <w:spacing w:after="0"/>
              <w:rPr>
                <w:sz w:val="24"/>
                <w:szCs w:val="24"/>
                <w:color w:val="auto"/>
              </w:rPr>
            </w:pPr>
          </w:p>
        </w:tc>
        <w:tc>
          <w:tcPr>
            <w:tcW w:w="3700" w:type="dxa"/>
            <w:vAlign w:val="bottom"/>
          </w:tcPr>
          <w:p>
            <w:pPr>
              <w:jc w:val="right"/>
              <w:ind w:right="2017"/>
              <w:spacing w:after="0"/>
              <w:rPr>
                <w:sz w:val="20"/>
                <w:szCs w:val="20"/>
                <w:color w:val="auto"/>
              </w:rPr>
            </w:pPr>
            <w:r>
              <w:rPr>
                <w:rFonts w:ascii="Arial" w:cs="Arial" w:eastAsia="Arial" w:hAnsi="Arial"/>
                <w:sz w:val="17"/>
                <w:szCs w:val="17"/>
                <w:color w:val="auto"/>
              </w:rPr>
              <w:t>65</w:t>
            </w: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jc w:val="both"/>
        <w:ind w:left="1" w:firstLine="596"/>
        <w:spacing w:after="0" w:line="265" w:lineRule="auto"/>
        <w:rPr>
          <w:sz w:val="20"/>
          <w:szCs w:val="20"/>
          <w:color w:val="auto"/>
        </w:rPr>
      </w:pPr>
      <w:r>
        <w:rPr>
          <w:rFonts w:ascii="Arial" w:cs="Arial" w:eastAsia="Arial" w:hAnsi="Arial"/>
          <w:sz w:val="17"/>
          <w:szCs w:val="17"/>
          <w:b w:val="1"/>
          <w:bCs w:val="1"/>
          <w:color w:val="auto"/>
        </w:rPr>
        <w:t>Future Minimum Operating Lease Payments—</w:t>
      </w:r>
      <w:r>
        <w:rPr>
          <w:rFonts w:ascii="Arial" w:cs="Arial" w:eastAsia="Arial" w:hAnsi="Arial"/>
          <w:sz w:val="17"/>
          <w:szCs w:val="17"/>
          <w:color w:val="auto"/>
        </w:rPr>
        <w:t>Future minimum operating lease payments under non-cancelable leases, excluding customer reimbursements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 effect at December 31, 2012, are as follows ($ in thousands):</w:t>
      </w:r>
    </w:p>
    <w:p>
      <w:pPr>
        <w:spacing w:after="0" w:line="371" w:lineRule="exact"/>
        <w:rPr>
          <w:sz w:val="20"/>
          <w:szCs w:val="20"/>
          <w:color w:val="auto"/>
        </w:rPr>
      </w:pPr>
    </w:p>
    <w:tbl>
      <w:tblPr>
        <w:tblLayout w:type="fixed"/>
        <w:tblInd w:w="1621" w:type="dxa"/>
        <w:tblCellMar>
          <w:top w:w="0" w:type="dxa"/>
          <w:left w:w="0" w:type="dxa"/>
          <w:bottom w:w="0" w:type="dxa"/>
          <w:right w:w="0" w:type="dxa"/>
        </w:tblCellMar>
      </w:tblPr>
      <w:tr>
        <w:trPr>
          <w:trHeight w:val="176"/>
        </w:trPr>
        <w:tc>
          <w:tcPr>
            <w:tcW w:w="4540" w:type="dxa"/>
            <w:vAlign w:val="bottom"/>
          </w:tcPr>
          <w:p>
            <w:pPr>
              <w:ind w:left="2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Net Lease Assets</w:t>
            </w:r>
          </w:p>
        </w:tc>
        <w:tc>
          <w:tcPr>
            <w:tcW w:w="200" w:type="dxa"/>
            <w:vAlign w:val="bottom"/>
          </w:tcPr>
          <w:p>
            <w:pPr>
              <w:spacing w:after="0"/>
              <w:rPr>
                <w:sz w:val="15"/>
                <w:szCs w:val="15"/>
                <w:color w:val="auto"/>
              </w:rPr>
            </w:pPr>
          </w:p>
        </w:tc>
        <w:tc>
          <w:tcPr>
            <w:tcW w:w="1620" w:type="dxa"/>
            <w:vAlign w:val="bottom"/>
          </w:tcPr>
          <w:p>
            <w:pPr>
              <w:jc w:val="right"/>
              <w:ind w:right="240"/>
              <w:spacing w:after="0"/>
              <w:rPr>
                <w:sz w:val="20"/>
                <w:szCs w:val="20"/>
                <w:color w:val="auto"/>
              </w:rPr>
            </w:pPr>
            <w:r>
              <w:rPr>
                <w:rFonts w:ascii="Arial" w:cs="Arial" w:eastAsia="Arial" w:hAnsi="Arial"/>
                <w:sz w:val="13"/>
                <w:szCs w:val="13"/>
                <w:b w:val="1"/>
                <w:bCs w:val="1"/>
                <w:color w:val="auto"/>
                <w:w w:val="98"/>
              </w:rPr>
              <w:t>Operating Properties</w:t>
            </w:r>
          </w:p>
        </w:tc>
      </w:tr>
      <w:tr>
        <w:trPr>
          <w:trHeight w:val="226"/>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2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54,590</w:t>
            </w:r>
          </w:p>
        </w:tc>
      </w:tr>
      <w:tr>
        <w:trPr>
          <w:trHeight w:val="222"/>
        </w:trPr>
        <w:tc>
          <w:tcPr>
            <w:tcW w:w="4540" w:type="dxa"/>
            <w:vAlign w:val="bottom"/>
          </w:tcPr>
          <w:p>
            <w:pPr>
              <w:ind w:left="20"/>
              <w:spacing w:after="0"/>
              <w:rPr>
                <w:sz w:val="20"/>
                <w:szCs w:val="20"/>
                <w:color w:val="auto"/>
              </w:rPr>
            </w:pPr>
            <w:r>
              <w:rPr>
                <w:rFonts w:ascii="Arial" w:cs="Arial" w:eastAsia="Arial" w:hAnsi="Arial"/>
                <w:sz w:val="17"/>
                <w:szCs w:val="17"/>
                <w:color w:val="auto"/>
              </w:rPr>
              <w:t>2014</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129,622</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53,516</w:t>
            </w:r>
          </w:p>
        </w:tc>
      </w:tr>
      <w:tr>
        <w:trPr>
          <w:trHeight w:val="26"/>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130,871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48,925</w:t>
            </w:r>
          </w:p>
        </w:tc>
      </w:tr>
      <w:tr>
        <w:trPr>
          <w:trHeight w:val="222"/>
        </w:trPr>
        <w:tc>
          <w:tcPr>
            <w:tcW w:w="4540" w:type="dxa"/>
            <w:vAlign w:val="bottom"/>
          </w:tcPr>
          <w:p>
            <w:pPr>
              <w:ind w:left="20"/>
              <w:spacing w:after="0"/>
              <w:rPr>
                <w:sz w:val="20"/>
                <w:szCs w:val="20"/>
                <w:color w:val="auto"/>
              </w:rPr>
            </w:pPr>
            <w:r>
              <w:rPr>
                <w:rFonts w:ascii="Arial" w:cs="Arial" w:eastAsia="Arial" w:hAnsi="Arial"/>
                <w:sz w:val="17"/>
                <w:szCs w:val="17"/>
                <w:color w:val="auto"/>
              </w:rPr>
              <w:t>2016</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128,347</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46,426</w:t>
            </w:r>
          </w:p>
        </w:tc>
      </w:tr>
      <w:tr>
        <w:trPr>
          <w:trHeight w:val="26"/>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2"/>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43,754</w:t>
            </w:r>
          </w:p>
        </w:tc>
      </w:tr>
      <w:tr>
        <w:trPr>
          <w:trHeight w:val="26"/>
        </w:trPr>
        <w:tc>
          <w:tcPr>
            <w:tcW w:w="4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ind w:left="1" w:firstLine="596"/>
        <w:spacing w:after="0" w:line="278" w:lineRule="auto"/>
        <w:rPr>
          <w:sz w:val="20"/>
          <w:szCs w:val="20"/>
          <w:color w:val="auto"/>
        </w:rPr>
      </w:pPr>
      <w:r>
        <w:rPr>
          <w:rFonts w:ascii="Arial" w:cs="Arial" w:eastAsia="Arial" w:hAnsi="Arial"/>
          <w:sz w:val="16"/>
          <w:szCs w:val="16"/>
          <w:b w:val="1"/>
          <w:bCs w:val="1"/>
          <w:color w:val="auto"/>
        </w:rPr>
        <w:t>Tenant Reimbursements—</w:t>
      </w:r>
      <w:r>
        <w:rPr>
          <w:rFonts w:ascii="Arial" w:cs="Arial" w:eastAsia="Arial" w:hAnsi="Arial"/>
          <w:sz w:val="16"/>
          <w:szCs w:val="16"/>
          <w:color w:val="auto"/>
        </w:rPr>
        <w:t>The Company receives reimbursements from tenants for certain facility operating expenses including common area costs,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and real estate taxes. Tenant expense reimbursements for the years ended December 31, 2012, 2011 and 2010 were $30.9 million, $29.4 million and $33.2 million, respectively, and are included in “Operating lease income” on the Company's Consolidated Statements of Operations.</w:t>
      </w:r>
    </w:p>
    <w:p>
      <w:pPr>
        <w:spacing w:after="0" w:line="35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5—Loans Receivable, net</w:t>
      </w:r>
    </w:p>
    <w:p>
      <w:pPr>
        <w:spacing w:after="0" w:line="206"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following is a summary of the Company's loans receivable by class ($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201"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00" w:type="dxa"/>
            <w:vAlign w:val="bottom"/>
            <w:tcBorders>
              <w:bottom w:val="single" w:sz="8" w:color="auto"/>
            </w:tcBorders>
          </w:tcPr>
          <w:p>
            <w:pPr>
              <w:spacing w:after="0"/>
              <w:rPr>
                <w:sz w:val="15"/>
                <w:szCs w:val="15"/>
                <w:color w:val="auto"/>
              </w:rPr>
            </w:pPr>
          </w:p>
        </w:tc>
      </w:tr>
      <w:tr>
        <w:trPr>
          <w:trHeight w:val="241"/>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Type of Investment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2011</w:t>
            </w:r>
          </w:p>
        </w:tc>
      </w:tr>
      <w:tr>
        <w:trPr>
          <w:trHeight w:val="22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mortgages</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1,751,256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2,801,213</w:t>
            </w:r>
          </w:p>
        </w:tc>
      </w:tr>
      <w:tr>
        <w:trPr>
          <w:trHeight w:val="222"/>
        </w:trPr>
        <w:tc>
          <w:tcPr>
            <w:tcW w:w="8060" w:type="dxa"/>
            <w:vAlign w:val="bottom"/>
          </w:tcPr>
          <w:p>
            <w:pPr>
              <w:ind w:left="20"/>
              <w:spacing w:after="0"/>
              <w:rPr>
                <w:sz w:val="20"/>
                <w:szCs w:val="20"/>
                <w:color w:val="auto"/>
              </w:rPr>
            </w:pPr>
            <w:r>
              <w:rPr>
                <w:rFonts w:ascii="Arial" w:cs="Arial" w:eastAsia="Arial" w:hAnsi="Arial"/>
                <w:sz w:val="17"/>
                <w:szCs w:val="17"/>
                <w:color w:val="auto"/>
              </w:rPr>
              <w:t>Subordinate mortgages</w:t>
            </w:r>
          </w:p>
        </w:tc>
        <w:tc>
          <w:tcPr>
            <w:tcW w:w="3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152,737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211,491</w:t>
            </w:r>
          </w:p>
        </w:tc>
      </w:tr>
      <w:tr>
        <w:trPr>
          <w:trHeight w:val="26"/>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Corporate/Partnership loans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450,491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478,892</w:t>
            </w:r>
          </w:p>
        </w:tc>
      </w:tr>
      <w:tr>
        <w:trPr>
          <w:trHeight w:val="214"/>
        </w:trPr>
        <w:tc>
          <w:tcPr>
            <w:tcW w:w="8060" w:type="dxa"/>
            <w:vAlign w:val="bottom"/>
          </w:tcPr>
          <w:p>
            <w:pPr>
              <w:ind w:left="140"/>
              <w:spacing w:after="0"/>
              <w:rPr>
                <w:sz w:val="20"/>
                <w:szCs w:val="20"/>
                <w:color w:val="auto"/>
              </w:rPr>
            </w:pPr>
            <w:r>
              <w:rPr>
                <w:rFonts w:ascii="Arial" w:cs="Arial" w:eastAsia="Arial" w:hAnsi="Arial"/>
                <w:sz w:val="17"/>
                <w:szCs w:val="17"/>
                <w:color w:val="auto"/>
              </w:rPr>
              <w:t>Total gross carrying value of loans(1)</w:t>
            </w: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2,354,484</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3,491,596</w:t>
            </w:r>
          </w:p>
        </w:tc>
      </w:tr>
      <w:tr>
        <w:trPr>
          <w:trHeight w:val="26"/>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Reserves for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(524,499)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(646,624)</w:t>
            </w:r>
          </w:p>
        </w:tc>
      </w:tr>
      <w:tr>
        <w:trPr>
          <w:trHeight w:val="214"/>
        </w:trPr>
        <w:tc>
          <w:tcPr>
            <w:tcW w:w="8060" w:type="dxa"/>
            <w:vAlign w:val="bottom"/>
          </w:tcPr>
          <w:p>
            <w:pPr>
              <w:ind w:left="140"/>
              <w:spacing w:after="0"/>
              <w:rPr>
                <w:sz w:val="20"/>
                <w:szCs w:val="20"/>
                <w:color w:val="auto"/>
              </w:rPr>
            </w:pPr>
            <w:r>
              <w:rPr>
                <w:rFonts w:ascii="Arial" w:cs="Arial" w:eastAsia="Arial" w:hAnsi="Arial"/>
                <w:sz w:val="17"/>
                <w:szCs w:val="17"/>
                <w:color w:val="auto"/>
              </w:rPr>
              <w:t>Total carrying value of loans</w:t>
            </w: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1,829,985</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2,844,972</w:t>
            </w:r>
          </w:p>
        </w:tc>
      </w:tr>
      <w:tr>
        <w:trPr>
          <w:trHeight w:val="26"/>
        </w:trPr>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lending investments—securities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15,790</w:t>
            </w:r>
          </w:p>
        </w:tc>
      </w:tr>
      <w:tr>
        <w:trPr>
          <w:trHeight w:val="234"/>
        </w:trPr>
        <w:tc>
          <w:tcPr>
            <w:tcW w:w="8060" w:type="dxa"/>
            <w:vAlign w:val="bottom"/>
          </w:tcPr>
          <w:p>
            <w:pPr>
              <w:ind w:left="140"/>
              <w:spacing w:after="0"/>
              <w:rPr>
                <w:sz w:val="20"/>
                <w:szCs w:val="20"/>
                <w:color w:val="auto"/>
              </w:rPr>
            </w:pPr>
            <w:r>
              <w:rPr>
                <w:rFonts w:ascii="Arial" w:cs="Arial" w:eastAsia="Arial" w:hAnsi="Arial"/>
                <w:sz w:val="17"/>
                <w:szCs w:val="17"/>
                <w:color w:val="auto"/>
              </w:rPr>
              <w:t>Total loans receivable, net</w:t>
            </w: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1,829,985</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2,860,762</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65" w:lineRule="auto"/>
        <w:tabs>
          <w:tab w:leader="none" w:pos="60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Company's recorded investment in loans as of December 31, 2012 and 2011, was $2.36 billion and $3.50 billion, respectively, which consists of total gross carrying value of loans plus accrued interest of $9.8 million and $13.3 million, for the same two periods, respectively.</w:t>
      </w:r>
    </w:p>
    <w:p>
      <w:pPr>
        <w:spacing w:after="0" w:line="120"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During the year ended December 31, 2012, the Company originated and funded $39.6 million of loans and received principal repayments of $710.7 million. During the same period, the Company sold loans with a total carrying value of $53.9 million, for which it recognized charge-offs of $3.3 million and also recorded income of $6.4 million in "Other income" on the Company's Consolidated Statements of Operations.</w:t>
      </w:r>
    </w:p>
    <w:p>
      <w:pPr>
        <w:spacing w:after="0" w:line="178" w:lineRule="exact"/>
        <w:rPr>
          <w:sz w:val="20"/>
          <w:szCs w:val="20"/>
          <w:color w:val="auto"/>
        </w:rPr>
      </w:pPr>
    </w:p>
    <w:p>
      <w:pPr>
        <w:jc w:val="both"/>
        <w:ind w:left="1" w:firstLine="397"/>
        <w:spacing w:after="0" w:line="275" w:lineRule="auto"/>
        <w:rPr>
          <w:sz w:val="20"/>
          <w:szCs w:val="20"/>
          <w:color w:val="auto"/>
        </w:rPr>
      </w:pPr>
      <w:r>
        <w:rPr>
          <w:rFonts w:ascii="Arial" w:cs="Arial" w:eastAsia="Arial" w:hAnsi="Arial"/>
          <w:sz w:val="16"/>
          <w:szCs w:val="16"/>
          <w:color w:val="auto"/>
        </w:rPr>
        <w:t>During the year ended December 31, 2012, the Company received title to properties in full or partial satisfaction of non-performing mortgage loans with a gross carrying value of $352.8 million, for which the properties had served as collateral, and recorded charge-offs totaling $85.3 million related to these loans. These properties were recorded as "Real estate, net" or "Real estate available and held for sale" on the Company's Consolidated Balance Sheets (see Note 4).</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1"/>
          </w:cols>
          <w:pgMar w:left="239" w:top="122" w:right="239" w:bottom="1440" w:gutter="0" w:footer="0" w:header="0"/>
        </w:sectPr>
      </w:pPr>
    </w:p>
    <w:bookmarkStart w:id="67" w:name="page68"/>
    <w:bookmarkEnd w:id="67"/>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ind w:left="401"/>
        <w:spacing w:after="0"/>
        <w:rPr>
          <w:sz w:val="20"/>
          <w:szCs w:val="20"/>
          <w:color w:val="auto"/>
        </w:rPr>
      </w:pPr>
      <w:r>
        <w:rPr>
          <w:rFonts w:ascii="Arial" w:cs="Arial" w:eastAsia="Arial" w:hAnsi="Arial"/>
          <w:sz w:val="17"/>
          <w:szCs w:val="17"/>
          <w:b w:val="1"/>
          <w:bCs w:val="1"/>
          <w:color w:val="auto"/>
        </w:rPr>
        <w:t>Reserve for Loan Losses</w:t>
      </w:r>
      <w:r>
        <w:rPr>
          <w:rFonts w:ascii="Arial" w:cs="Arial" w:eastAsia="Arial" w:hAnsi="Arial"/>
          <w:sz w:val="17"/>
          <w:szCs w:val="17"/>
          <w:color w:val="auto"/>
        </w:rPr>
        <w:t>—Changes in the Company's reserve for loan losses were as follows ($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921"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3"/>
                <w:szCs w:val="13"/>
                <w:b w:val="1"/>
                <w:bCs w:val="1"/>
                <w:color w:val="auto"/>
              </w:rPr>
              <w:t>For the Years Ended December 31,</w:t>
            </w:r>
          </w:p>
        </w:tc>
        <w:tc>
          <w:tcPr>
            <w:tcW w:w="960" w:type="dxa"/>
            <w:vAlign w:val="bottom"/>
            <w:tcBorders>
              <w:bottom w:val="single" w:sz="8" w:color="auto"/>
            </w:tcBorders>
          </w:tcPr>
          <w:p>
            <w:pPr>
              <w:spacing w:after="0"/>
              <w:rPr>
                <w:sz w:val="15"/>
                <w:szCs w:val="15"/>
                <w:color w:val="auto"/>
              </w:rPr>
            </w:pPr>
          </w:p>
        </w:tc>
      </w:tr>
      <w:tr>
        <w:trPr>
          <w:trHeight w:val="241"/>
        </w:trPr>
        <w:tc>
          <w:tcPr>
            <w:tcW w:w="53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2010</w:t>
            </w:r>
          </w:p>
        </w:tc>
      </w:tr>
      <w:tr>
        <w:trPr>
          <w:trHeight w:val="22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Reserve for loan losses at beginning of period</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646,624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814,625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1,417,949</w:t>
            </w:r>
          </w:p>
        </w:tc>
      </w:tr>
      <w:tr>
        <w:trPr>
          <w:trHeight w:val="222"/>
        </w:trPr>
        <w:tc>
          <w:tcPr>
            <w:tcW w:w="5380" w:type="dxa"/>
            <w:vAlign w:val="bottom"/>
          </w:tcPr>
          <w:p>
            <w:pPr>
              <w:ind w:left="140"/>
              <w:spacing w:after="0"/>
              <w:rPr>
                <w:sz w:val="20"/>
                <w:szCs w:val="20"/>
                <w:color w:val="auto"/>
              </w:rPr>
            </w:pPr>
            <w:r>
              <w:rPr>
                <w:rFonts w:ascii="Arial" w:cs="Arial" w:eastAsia="Arial" w:hAnsi="Arial"/>
                <w:sz w:val="17"/>
                <w:szCs w:val="17"/>
                <w:color w:val="auto"/>
              </w:rPr>
              <w:t>Provision for loan losses</w:t>
            </w:r>
          </w:p>
        </w:tc>
        <w:tc>
          <w:tcPr>
            <w:tcW w:w="32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7"/>
                <w:szCs w:val="17"/>
                <w:color w:val="auto"/>
              </w:rPr>
              <w:t>81,740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46,412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331,487</w:t>
            </w:r>
          </w:p>
        </w:tc>
      </w:tr>
      <w:tr>
        <w:trPr>
          <w:trHeight w:val="26"/>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Charge-offs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(934,811)</w:t>
            </w:r>
          </w:p>
        </w:tc>
      </w:tr>
      <w:tr>
        <w:trPr>
          <w:trHeight w:val="234"/>
        </w:trPr>
        <w:tc>
          <w:tcPr>
            <w:tcW w:w="5380" w:type="dxa"/>
            <w:vAlign w:val="bottom"/>
          </w:tcPr>
          <w:p>
            <w:pPr>
              <w:ind w:left="20"/>
              <w:spacing w:after="0"/>
              <w:rPr>
                <w:sz w:val="20"/>
                <w:szCs w:val="20"/>
                <w:color w:val="auto"/>
              </w:rPr>
            </w:pPr>
            <w:r>
              <w:rPr>
                <w:rFonts w:ascii="Arial" w:cs="Arial" w:eastAsia="Arial" w:hAnsi="Arial"/>
                <w:sz w:val="17"/>
                <w:szCs w:val="17"/>
                <w:b w:val="1"/>
                <w:bCs w:val="1"/>
                <w:color w:val="auto"/>
              </w:rPr>
              <w:t>Reserve for loan losses at end of period</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524,499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646,624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814,625</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color w:val="auto"/>
        </w:rPr>
        <w:t>The Company's recorded investment in loans (comprised of a loan's carrying value plus accrued interest) and the associated reserve for loan losses were as follows ($ in thousands):</w:t>
      </w:r>
    </w:p>
    <w:p>
      <w:pPr>
        <w:spacing w:after="0" w:line="300" w:lineRule="exact"/>
        <w:rPr>
          <w:sz w:val="20"/>
          <w:szCs w:val="20"/>
          <w:color w:val="auto"/>
        </w:rPr>
      </w:pPr>
    </w:p>
    <w:tbl>
      <w:tblPr>
        <w:tblLayout w:type="fixed"/>
        <w:tblInd w:w="201"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Individually</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Collectively</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Loans Acquired</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37"/>
        </w:trPr>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94"/>
              </w:rPr>
              <w:t>Evaluated for</w:t>
            </w:r>
          </w:p>
        </w:tc>
        <w:tc>
          <w:tcPr>
            <w:tcW w:w="240" w:type="dxa"/>
            <w:vAlign w:val="bottom"/>
          </w:tcPr>
          <w:p>
            <w:pPr>
              <w:spacing w:after="0"/>
              <w:rPr>
                <w:sz w:val="11"/>
                <w:szCs w:val="11"/>
                <w:color w:val="auto"/>
              </w:rPr>
            </w:pPr>
          </w:p>
        </w:tc>
        <w:tc>
          <w:tcPr>
            <w:tcW w:w="144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94"/>
              </w:rPr>
              <w:t>Evaluated for</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4"/>
              </w:rPr>
              <w:t>with Deteriorated</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76"/>
        </w:trPr>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Impairment(1)</w:t>
            </w:r>
          </w:p>
        </w:tc>
        <w:tc>
          <w:tcPr>
            <w:tcW w:w="24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Impairment(2)</w:t>
            </w:r>
          </w:p>
        </w:tc>
        <w:tc>
          <w:tcPr>
            <w:tcW w:w="18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Credit Quality(3)</w:t>
            </w:r>
          </w:p>
        </w:tc>
        <w:tc>
          <w:tcPr>
            <w:tcW w:w="360" w:type="dxa"/>
            <w:vAlign w:val="bottom"/>
          </w:tcPr>
          <w:p>
            <w:pPr>
              <w:spacing w:after="0"/>
              <w:rPr>
                <w:sz w:val="15"/>
                <w:szCs w:val="15"/>
                <w:color w:val="auto"/>
              </w:rPr>
            </w:pPr>
          </w:p>
        </w:tc>
        <w:tc>
          <w:tcPr>
            <w:tcW w:w="1180" w:type="dxa"/>
            <w:vAlign w:val="bottom"/>
          </w:tcPr>
          <w:p>
            <w:pPr>
              <w:jc w:val="right"/>
              <w:ind w:right="540"/>
              <w:spacing w:after="0"/>
              <w:rPr>
                <w:sz w:val="20"/>
                <w:szCs w:val="20"/>
                <w:color w:val="auto"/>
              </w:rPr>
            </w:pPr>
            <w:r>
              <w:rPr>
                <w:rFonts w:ascii="Arial" w:cs="Arial" w:eastAsia="Arial" w:hAnsi="Arial"/>
                <w:sz w:val="13"/>
                <w:szCs w:val="13"/>
                <w:b w:val="1"/>
                <w:bCs w:val="1"/>
                <w:color w:val="auto"/>
              </w:rPr>
              <w:t>Total</w:t>
            </w:r>
          </w:p>
        </w:tc>
      </w:tr>
      <w:tr>
        <w:trPr>
          <w:trHeight w:val="226"/>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2012</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7"/>
                <w:szCs w:val="17"/>
                <w:color w:val="auto"/>
              </w:rPr>
              <w:t>Loans</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3"/>
              <w:spacing w:after="0"/>
              <w:rPr>
                <w:sz w:val="20"/>
                <w:szCs w:val="20"/>
                <w:color w:val="auto"/>
              </w:rPr>
            </w:pPr>
            <w:r>
              <w:rPr>
                <w:rFonts w:ascii="Arial" w:cs="Arial" w:eastAsia="Arial" w:hAnsi="Arial"/>
                <w:sz w:val="17"/>
                <w:szCs w:val="17"/>
                <w:color w:val="auto"/>
              </w:rPr>
              <w:t>1,095,957</w:t>
            </w:r>
          </w:p>
        </w:tc>
        <w:tc>
          <w:tcPr>
            <w:tcW w:w="10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3"/>
              <w:spacing w:after="0"/>
              <w:rPr>
                <w:sz w:val="20"/>
                <w:szCs w:val="20"/>
                <w:color w:val="auto"/>
              </w:rPr>
            </w:pPr>
            <w:r>
              <w:rPr>
                <w:rFonts w:ascii="Arial" w:cs="Arial" w:eastAsia="Arial" w:hAnsi="Arial"/>
                <w:sz w:val="17"/>
                <w:szCs w:val="17"/>
                <w:color w:val="auto"/>
              </w:rPr>
              <w:t>1,210,077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23"/>
              <w:spacing w:after="0"/>
              <w:rPr>
                <w:sz w:val="20"/>
                <w:szCs w:val="20"/>
                <w:color w:val="auto"/>
              </w:rPr>
            </w:pPr>
            <w:r>
              <w:rPr>
                <w:rFonts w:ascii="Arial" w:cs="Arial" w:eastAsia="Arial" w:hAnsi="Arial"/>
                <w:sz w:val="17"/>
                <w:szCs w:val="17"/>
                <w:color w:val="auto"/>
              </w:rPr>
              <w:t>58,281</w:t>
            </w:r>
          </w:p>
        </w:tc>
        <w:tc>
          <w:tcPr>
            <w:tcW w:w="100" w:type="dxa"/>
            <w:vAlign w:val="bottom"/>
          </w:tcPr>
          <w:p>
            <w:pPr>
              <w:spacing w:after="0"/>
              <w:rPr>
                <w:sz w:val="19"/>
                <w:szCs w:val="19"/>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2,364,315</w:t>
            </w:r>
          </w:p>
        </w:tc>
      </w:tr>
      <w:tr>
        <w:trPr>
          <w:trHeight w:val="26"/>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Reserve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(472,058)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(524,499)</w:t>
            </w:r>
          </w:p>
        </w:tc>
      </w:tr>
      <w:tr>
        <w:trPr>
          <w:trHeight w:val="274"/>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623,899</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1,176,977</w:t>
            </w:r>
          </w:p>
        </w:tc>
        <w:tc>
          <w:tcPr>
            <w:tcW w:w="12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38,940</w:t>
            </w:r>
          </w:p>
        </w:tc>
        <w:tc>
          <w:tcPr>
            <w:tcW w:w="100" w:type="dxa"/>
            <w:vAlign w:val="bottom"/>
            <w:tcBorders>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1,839,816</w:t>
            </w:r>
          </w:p>
        </w:tc>
      </w:tr>
      <w:tr>
        <w:trPr>
          <w:trHeight w:val="212"/>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2011</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7"/>
                <w:szCs w:val="17"/>
                <w:color w:val="auto"/>
              </w:rPr>
              <w:t>Loans</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3"/>
              <w:spacing w:after="0"/>
              <w:rPr>
                <w:sz w:val="20"/>
                <w:szCs w:val="20"/>
                <w:color w:val="auto"/>
              </w:rPr>
            </w:pPr>
            <w:r>
              <w:rPr>
                <w:rFonts w:ascii="Arial" w:cs="Arial" w:eastAsia="Arial" w:hAnsi="Arial"/>
                <w:sz w:val="17"/>
                <w:szCs w:val="17"/>
                <w:color w:val="auto"/>
              </w:rPr>
              <w:t>1,525,337</w:t>
            </w:r>
          </w:p>
        </w:tc>
        <w:tc>
          <w:tcPr>
            <w:tcW w:w="10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3"/>
              <w:spacing w:after="0"/>
              <w:rPr>
                <w:sz w:val="20"/>
                <w:szCs w:val="20"/>
                <w:color w:val="auto"/>
              </w:rPr>
            </w:pPr>
            <w:r>
              <w:rPr>
                <w:rFonts w:ascii="Arial" w:cs="Arial" w:eastAsia="Arial" w:hAnsi="Arial"/>
                <w:sz w:val="17"/>
                <w:szCs w:val="17"/>
                <w:color w:val="auto"/>
              </w:rPr>
              <w:t>1,919,876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23"/>
              <w:spacing w:after="0"/>
              <w:rPr>
                <w:sz w:val="20"/>
                <w:szCs w:val="20"/>
                <w:color w:val="auto"/>
              </w:rPr>
            </w:pPr>
            <w:r>
              <w:rPr>
                <w:rFonts w:ascii="Arial" w:cs="Arial" w:eastAsia="Arial" w:hAnsi="Arial"/>
                <w:sz w:val="17"/>
                <w:szCs w:val="17"/>
                <w:color w:val="auto"/>
              </w:rPr>
              <w:t>59,648</w:t>
            </w:r>
          </w:p>
        </w:tc>
        <w:tc>
          <w:tcPr>
            <w:tcW w:w="100" w:type="dxa"/>
            <w:vAlign w:val="bottom"/>
          </w:tcPr>
          <w:p>
            <w:pPr>
              <w:spacing w:after="0"/>
              <w:rPr>
                <w:sz w:val="19"/>
                <w:szCs w:val="19"/>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3,504,861</w:t>
            </w:r>
          </w:p>
        </w:tc>
      </w:tr>
      <w:tr>
        <w:trPr>
          <w:trHeight w:val="26"/>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Reserve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(646,624)</w:t>
            </w:r>
          </w:p>
        </w:tc>
      </w:tr>
      <w:tr>
        <w:trPr>
          <w:trHeight w:val="234"/>
        </w:trPr>
        <w:tc>
          <w:tcPr>
            <w:tcW w:w="4520" w:type="dxa"/>
            <w:vAlign w:val="bottom"/>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971,206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1,846,376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40,655</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2,858,237</w:t>
            </w: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601" w:hanging="601"/>
        <w:spacing w:after="0" w:line="244" w:lineRule="auto"/>
        <w:tabs>
          <w:tab w:leader="none" w:pos="60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carrying value of these loans include unamortized discounts, premiums, deferred fees and costs aggregating to a net discount of $4.0 million and a net premium of $0.1 million as of December 31, 2012 and 2011, respectively. The Company's loans individually evaluated for impairment primarily represent loans on non-accrual status and therefore, the unamortized amounts associated with these loans are not currently being amortized into income.</w:t>
      </w:r>
    </w:p>
    <w:p>
      <w:pPr>
        <w:ind w:left="601" w:hanging="601"/>
        <w:spacing w:after="0" w:line="239" w:lineRule="auto"/>
        <w:tabs>
          <w:tab w:leader="none" w:pos="60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carrying value of these loans include unamortized discounts, premiums, deferred fees and costs aggregating to a net discount of $3.8 million and $0.2 million as of December 31, 2012 and 2011, respectively.</w:t>
      </w:r>
    </w:p>
    <w:p>
      <w:pPr>
        <w:ind w:left="601" w:hanging="601"/>
        <w:spacing w:after="0" w:line="249" w:lineRule="auto"/>
        <w:tabs>
          <w:tab w:leader="none" w:pos="60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carrying value of these loans include unamortized discounts, premiums, deferred fees and costs aggregating to a net premium of $0.1 million and a net discount of $15.0 million as of December 31, 2012 and 2011, respectively. These loans had cumulative principal balances of $58.8 million and $74.5 million, as of December 31, 2012 and 2011, respectively.</w:t>
      </w:r>
    </w:p>
    <w:p>
      <w:pPr>
        <w:spacing w:after="0" w:line="176" w:lineRule="exact"/>
        <w:rPr>
          <w:sz w:val="20"/>
          <w:szCs w:val="20"/>
          <w:color w:val="auto"/>
        </w:rPr>
      </w:pPr>
    </w:p>
    <w:p>
      <w:pPr>
        <w:jc w:val="both"/>
        <w:ind w:left="1" w:firstLine="397"/>
        <w:spacing w:after="0" w:line="254"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 assessment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risk ratings to each of its performing loans. The Company's recorded investment in performing loans, presented by class and by credit quality, as indicated by risk rating, was as follows ($ in thousands):</w:t>
      </w:r>
    </w:p>
    <w:p>
      <w:pPr>
        <w:spacing w:after="0" w:line="381" w:lineRule="exact"/>
        <w:rPr>
          <w:sz w:val="20"/>
          <w:szCs w:val="20"/>
          <w:color w:val="auto"/>
        </w:rPr>
      </w:pPr>
    </w:p>
    <w:tbl>
      <w:tblPr>
        <w:tblLayout w:type="fixed"/>
        <w:tblInd w:w="201"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w w:val="86"/>
              </w:rPr>
              <w:t>As of</w:t>
            </w: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241"/>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3"/>
                <w:szCs w:val="13"/>
                <w:b w:val="1"/>
                <w:bCs w:val="1"/>
                <w:color w:val="auto"/>
              </w:rPr>
              <w:t>December 31, 2012</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3"/>
                <w:szCs w:val="13"/>
                <w:b w:val="1"/>
                <w:bCs w:val="1"/>
                <w:color w:val="auto"/>
              </w:rPr>
              <w:t>December 31, 2011</w:t>
            </w:r>
          </w:p>
        </w:tc>
      </w:tr>
      <w:tr>
        <w:trPr>
          <w:trHeight w:val="139"/>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left="34"/>
              <w:spacing w:after="0" w:line="139"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Weighted</w:t>
            </w:r>
          </w:p>
        </w:tc>
      </w:tr>
      <w:tr>
        <w:trPr>
          <w:trHeight w:val="137"/>
        </w:trPr>
        <w:tc>
          <w:tcPr>
            <w:tcW w:w="4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ind w:right="324"/>
              <w:spacing w:after="0" w:line="137" w:lineRule="exact"/>
              <w:rPr>
                <w:sz w:val="20"/>
                <w:szCs w:val="20"/>
                <w:color w:val="auto"/>
              </w:rPr>
            </w:pPr>
            <w:r>
              <w:rPr>
                <w:rFonts w:ascii="Arial" w:cs="Arial" w:eastAsia="Arial" w:hAnsi="Arial"/>
                <w:sz w:val="13"/>
                <w:szCs w:val="13"/>
                <w:b w:val="1"/>
                <w:bCs w:val="1"/>
                <w:color w:val="auto"/>
              </w:rPr>
              <w:t>Performing</w:t>
            </w:r>
          </w:p>
        </w:tc>
        <w:tc>
          <w:tcPr>
            <w:tcW w:w="120" w:type="dxa"/>
            <w:vAlign w:val="bottom"/>
          </w:tcPr>
          <w:p>
            <w:pPr>
              <w:spacing w:after="0"/>
              <w:rPr>
                <w:sz w:val="11"/>
                <w:szCs w:val="11"/>
                <w:color w:val="auto"/>
              </w:rPr>
            </w:pPr>
          </w:p>
        </w:tc>
        <w:tc>
          <w:tcPr>
            <w:tcW w:w="1320" w:type="dxa"/>
            <w:vAlign w:val="bottom"/>
          </w:tcPr>
          <w:p>
            <w:pPr>
              <w:jc w:val="center"/>
              <w:ind w:left="34"/>
              <w:spacing w:after="0" w:line="137"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24"/>
              <w:spacing w:after="0" w:line="137" w:lineRule="exact"/>
              <w:rPr>
                <w:sz w:val="20"/>
                <w:szCs w:val="20"/>
                <w:color w:val="auto"/>
              </w:rPr>
            </w:pPr>
            <w:r>
              <w:rPr>
                <w:rFonts w:ascii="Arial" w:cs="Arial" w:eastAsia="Arial" w:hAnsi="Arial"/>
                <w:sz w:val="13"/>
                <w:szCs w:val="13"/>
                <w:b w:val="1"/>
                <w:bCs w:val="1"/>
                <w:color w:val="auto"/>
              </w:rPr>
              <w:t>Performing</w:t>
            </w:r>
          </w:p>
        </w:tc>
        <w:tc>
          <w:tcPr>
            <w:tcW w:w="100" w:type="dxa"/>
            <w:vAlign w:val="bottom"/>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Average</w:t>
            </w:r>
          </w:p>
        </w:tc>
      </w:tr>
      <w:tr>
        <w:trPr>
          <w:trHeight w:val="176"/>
        </w:trPr>
        <w:tc>
          <w:tcPr>
            <w:tcW w:w="49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Loans</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91"/>
              </w:rPr>
              <w:t>Risk Ratings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Loans</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Risk Ratings</w:t>
            </w:r>
          </w:p>
        </w:tc>
      </w:tr>
      <w:tr>
        <w:trPr>
          <w:trHeight w:val="22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mortgages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840,593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480" w:type="dxa"/>
            <w:vAlign w:val="bottom"/>
            <w:tcBorders>
              <w:bottom w:val="single" w:sz="8" w:color="CCEEFF"/>
            </w:tcBorders>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1,514,016</w:t>
            </w:r>
          </w:p>
        </w:tc>
        <w:tc>
          <w:tcPr>
            <w:tcW w:w="15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3.19</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Subordinate mortgages</w:t>
            </w:r>
          </w:p>
        </w:tc>
        <w:tc>
          <w:tcPr>
            <w:tcW w:w="240" w:type="dxa"/>
            <w:vAlign w:val="bottom"/>
          </w:tcPr>
          <w:p>
            <w:pPr>
              <w:spacing w:after="0"/>
              <w:rPr>
                <w:sz w:val="19"/>
                <w:szCs w:val="19"/>
                <w:color w:val="auto"/>
              </w:rPr>
            </w:pPr>
          </w:p>
        </w:tc>
        <w:tc>
          <w:tcPr>
            <w:tcW w:w="1200" w:type="dxa"/>
            <w:vAlign w:val="bottom"/>
          </w:tcPr>
          <w:p>
            <w:pPr>
              <w:jc w:val="right"/>
              <w:ind w:right="24"/>
              <w:spacing w:after="0"/>
              <w:rPr>
                <w:sz w:val="20"/>
                <w:szCs w:val="20"/>
                <w:color w:val="auto"/>
              </w:rPr>
            </w:pPr>
            <w:r>
              <w:rPr>
                <w:rFonts w:ascii="Arial" w:cs="Arial" w:eastAsia="Arial" w:hAnsi="Arial"/>
                <w:sz w:val="17"/>
                <w:szCs w:val="17"/>
                <w:color w:val="auto"/>
              </w:rPr>
              <w:t>99,698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7"/>
                <w:szCs w:val="17"/>
                <w:color w:val="auto"/>
              </w:rPr>
              <w:t>190,342</w:t>
            </w:r>
          </w:p>
        </w:tc>
        <w:tc>
          <w:tcPr>
            <w:tcW w:w="1520" w:type="dxa"/>
            <w:vAlign w:val="bottom"/>
            <w:gridSpan w:val="2"/>
          </w:tcPr>
          <w:p>
            <w:pPr>
              <w:jc w:val="right"/>
              <w:ind w:right="34"/>
              <w:spacing w:after="0"/>
              <w:rPr>
                <w:sz w:val="20"/>
                <w:szCs w:val="20"/>
                <w:color w:val="auto"/>
              </w:rPr>
            </w:pPr>
            <w:r>
              <w:rPr>
                <w:rFonts w:ascii="Arial" w:cs="Arial" w:eastAsia="Arial" w:hAnsi="Arial"/>
                <w:sz w:val="17"/>
                <w:szCs w:val="17"/>
                <w:color w:val="auto"/>
              </w:rPr>
              <w:t>3.36</w:t>
            </w:r>
          </w:p>
        </w:tc>
      </w:tr>
      <w:tr>
        <w:trPr>
          <w:trHeight w:val="26"/>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Corporate/Partnership loans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444,772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472,178</w:t>
            </w:r>
          </w:p>
        </w:tc>
        <w:tc>
          <w:tcPr>
            <w:tcW w:w="15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3.61</w:t>
            </w:r>
          </w:p>
        </w:tc>
      </w:tr>
      <w:tr>
        <w:trPr>
          <w:trHeight w:val="234"/>
        </w:trPr>
        <w:tc>
          <w:tcPr>
            <w:tcW w:w="4980" w:type="dxa"/>
            <w:vAlign w:val="bottom"/>
          </w:tcPr>
          <w:p>
            <w:pPr>
              <w:ind w:left="10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7"/>
                <w:szCs w:val="17"/>
                <w:color w:val="auto"/>
              </w:rPr>
              <w:t>1,385,063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3.01</w:t>
            </w:r>
          </w:p>
        </w:tc>
        <w:tc>
          <w:tcPr>
            <w:tcW w:w="220" w:type="dxa"/>
            <w:vAlign w:val="bottom"/>
            <w:gridSpan w:val="2"/>
          </w:tcPr>
          <w:p>
            <w:pPr>
              <w:spacing w:after="0"/>
              <w:rPr>
                <w:sz w:val="20"/>
                <w:szCs w:val="20"/>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7"/>
                <w:szCs w:val="17"/>
                <w:color w:val="auto"/>
              </w:rPr>
              <w:t>2,176,536</w:t>
            </w:r>
          </w:p>
        </w:tc>
        <w:tc>
          <w:tcPr>
            <w:tcW w:w="1520" w:type="dxa"/>
            <w:vAlign w:val="bottom"/>
            <w:gridSpan w:val="2"/>
          </w:tcPr>
          <w:p>
            <w:pPr>
              <w:jc w:val="right"/>
              <w:ind w:right="34"/>
              <w:spacing w:after="0"/>
              <w:rPr>
                <w:sz w:val="20"/>
                <w:szCs w:val="20"/>
                <w:color w:val="auto"/>
              </w:rPr>
            </w:pPr>
            <w:r>
              <w:rPr>
                <w:rFonts w:ascii="Arial" w:cs="Arial" w:eastAsia="Arial" w:hAnsi="Arial"/>
                <w:sz w:val="17"/>
                <w:szCs w:val="17"/>
                <w:color w:val="auto"/>
              </w:rPr>
              <w:t>3.29</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03"/>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44"/>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1"/>
          </w:cols>
          <w:pgMar w:left="239" w:top="121" w:right="239" w:bottom="1440" w:gutter="0" w:footer="0" w:header="0"/>
        </w:sectPr>
      </w:pPr>
    </w:p>
    <w:bookmarkStart w:id="68" w:name="page69"/>
    <w:bookmarkEnd w:id="68"/>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ind w:left="401"/>
        <w:spacing w:after="0"/>
        <w:rPr>
          <w:sz w:val="20"/>
          <w:szCs w:val="20"/>
          <w:color w:val="auto"/>
        </w:rPr>
      </w:pPr>
      <w:r>
        <w:rPr>
          <w:rFonts w:ascii="Arial" w:cs="Arial" w:eastAsia="Arial" w:hAnsi="Arial"/>
          <w:sz w:val="16"/>
          <w:szCs w:val="16"/>
          <w:color w:val="auto"/>
        </w:rPr>
        <w:t>As of December 31, 2012, the Company's recorded investment in loans, aged by payment status and presented by class, were as follows ($ in thousands):</w:t>
      </w:r>
    </w:p>
    <w:p>
      <w:pPr>
        <w:spacing w:after="0" w:line="341" w:lineRule="exact"/>
        <w:rPr>
          <w:sz w:val="20"/>
          <w:szCs w:val="20"/>
          <w:color w:val="auto"/>
        </w:rPr>
      </w:pPr>
    </w:p>
    <w:tbl>
      <w:tblPr>
        <w:tblLayout w:type="fixed"/>
        <w:tblInd w:w="201"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b w:val="1"/>
                <w:bCs w:val="1"/>
                <w:color w:val="auto"/>
              </w:rPr>
              <w:t>Less Than</w:t>
            </w: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Greater</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7"/>
        </w:trPr>
        <w:tc>
          <w:tcPr>
            <w:tcW w:w="3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160"/>
              <w:spacing w:after="0" w:line="137" w:lineRule="exact"/>
              <w:rPr>
                <w:sz w:val="20"/>
                <w:szCs w:val="20"/>
                <w:color w:val="auto"/>
              </w:rPr>
            </w:pPr>
            <w:r>
              <w:rPr>
                <w:rFonts w:ascii="Arial" w:cs="Arial" w:eastAsia="Arial" w:hAnsi="Arial"/>
                <w:sz w:val="13"/>
                <w:szCs w:val="13"/>
                <w:b w:val="1"/>
                <w:bCs w:val="1"/>
                <w:color w:val="auto"/>
              </w:rPr>
              <w:t>and Equal</w:t>
            </w:r>
          </w:p>
        </w:tc>
        <w:tc>
          <w:tcPr>
            <w:tcW w:w="300" w:type="dxa"/>
            <w:vAlign w:val="bottom"/>
          </w:tcPr>
          <w:p>
            <w:pPr>
              <w:spacing w:after="0"/>
              <w:rPr>
                <w:sz w:val="11"/>
                <w:szCs w:val="11"/>
                <w:color w:val="auto"/>
              </w:rPr>
            </w:pPr>
          </w:p>
        </w:tc>
        <w:tc>
          <w:tcPr>
            <w:tcW w:w="1240" w:type="dxa"/>
            <w:vAlign w:val="bottom"/>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96"/>
              </w:rPr>
              <w:t>Than</w:t>
            </w:r>
          </w:p>
        </w:tc>
        <w:tc>
          <w:tcPr>
            <w:tcW w:w="280" w:type="dxa"/>
            <w:vAlign w:val="bottom"/>
          </w:tcPr>
          <w:p>
            <w:pPr>
              <w:spacing w:after="0"/>
              <w:rPr>
                <w:sz w:val="11"/>
                <w:szCs w:val="11"/>
                <w:color w:val="auto"/>
              </w:rPr>
            </w:pPr>
          </w:p>
        </w:tc>
        <w:tc>
          <w:tcPr>
            <w:tcW w:w="1240" w:type="dxa"/>
            <w:vAlign w:val="bottom"/>
            <w:gridSpan w:val="2"/>
          </w:tcPr>
          <w:p>
            <w:pPr>
              <w:jc w:val="center"/>
              <w:ind w:right="380"/>
              <w:spacing w:after="0" w:line="137" w:lineRule="exact"/>
              <w:rPr>
                <w:sz w:val="20"/>
                <w:szCs w:val="20"/>
                <w:color w:val="auto"/>
              </w:rPr>
            </w:pPr>
            <w:r>
              <w:rPr>
                <w:rFonts w:ascii="Arial" w:cs="Arial" w:eastAsia="Arial" w:hAnsi="Arial"/>
                <w:sz w:val="13"/>
                <w:szCs w:val="13"/>
                <w:b w:val="1"/>
                <w:bCs w:val="1"/>
                <w:color w:val="auto"/>
                <w:w w:val="96"/>
              </w:rPr>
              <w:t>Total</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76"/>
        </w:trPr>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3"/>
                <w:szCs w:val="13"/>
                <w:b w:val="1"/>
                <w:bCs w:val="1"/>
                <w:color w:val="auto"/>
              </w:rPr>
              <w:t>Current</w:t>
            </w:r>
          </w:p>
        </w:tc>
        <w:tc>
          <w:tcPr>
            <w:tcW w:w="28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 90 Days</w:t>
            </w:r>
          </w:p>
        </w:tc>
        <w:tc>
          <w:tcPr>
            <w:tcW w:w="3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90 Days</w:t>
            </w: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Past Due</w:t>
            </w:r>
          </w:p>
        </w:tc>
        <w:tc>
          <w:tcPr>
            <w:tcW w:w="340" w:type="dxa"/>
            <w:vAlign w:val="bottom"/>
          </w:tcPr>
          <w:p>
            <w:pPr>
              <w:spacing w:after="0"/>
              <w:rPr>
                <w:sz w:val="15"/>
                <w:szCs w:val="15"/>
                <w:color w:val="auto"/>
              </w:rPr>
            </w:pPr>
          </w:p>
        </w:tc>
        <w:tc>
          <w:tcPr>
            <w:tcW w:w="1080" w:type="dxa"/>
            <w:vAlign w:val="bottom"/>
          </w:tcPr>
          <w:p>
            <w:pPr>
              <w:jc w:val="right"/>
              <w:ind w:right="501"/>
              <w:spacing w:after="0"/>
              <w:rPr>
                <w:sz w:val="20"/>
                <w:szCs w:val="20"/>
                <w:color w:val="auto"/>
              </w:rPr>
            </w:pPr>
            <w:r>
              <w:rPr>
                <w:rFonts w:ascii="Arial" w:cs="Arial" w:eastAsia="Arial" w:hAnsi="Arial"/>
                <w:sz w:val="13"/>
                <w:szCs w:val="13"/>
                <w:b w:val="1"/>
                <w:bCs w:val="1"/>
                <w:color w:val="auto"/>
              </w:rPr>
              <w:t>Total</w:t>
            </w:r>
          </w:p>
        </w:tc>
      </w:tr>
      <w:tr>
        <w:trPr>
          <w:trHeight w:val="226"/>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mortgages</w:t>
            </w:r>
          </w:p>
        </w:tc>
        <w:tc>
          <w:tcPr>
            <w:tcW w:w="3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862,082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62,768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830,906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893,674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1,755,756</w:t>
            </w:r>
          </w:p>
        </w:tc>
      </w:tr>
      <w:tr>
        <w:trPr>
          <w:trHeight w:val="222"/>
        </w:trPr>
        <w:tc>
          <w:tcPr>
            <w:tcW w:w="3420" w:type="dxa"/>
            <w:vAlign w:val="bottom"/>
          </w:tcPr>
          <w:p>
            <w:pPr>
              <w:ind w:left="20"/>
              <w:spacing w:after="0"/>
              <w:rPr>
                <w:sz w:val="20"/>
                <w:szCs w:val="20"/>
                <w:color w:val="auto"/>
              </w:rPr>
            </w:pPr>
            <w:r>
              <w:rPr>
                <w:rFonts w:ascii="Arial" w:cs="Arial" w:eastAsia="Arial" w:hAnsi="Arial"/>
                <w:sz w:val="17"/>
                <w:szCs w:val="17"/>
                <w:color w:val="auto"/>
              </w:rPr>
              <w:t>Subordinate mortgages</w:t>
            </w:r>
          </w:p>
        </w:tc>
        <w:tc>
          <w:tcPr>
            <w:tcW w:w="3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7"/>
                <w:szCs w:val="17"/>
                <w:color w:val="auto"/>
              </w:rPr>
              <w:t>99,698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40" w:type="dxa"/>
            <w:vAlign w:val="bottom"/>
          </w:tcPr>
          <w:p>
            <w:pPr>
              <w:jc w:val="right"/>
              <w:ind w:right="24"/>
              <w:spacing w:after="0"/>
              <w:rPr>
                <w:sz w:val="20"/>
                <w:szCs w:val="20"/>
                <w:color w:val="auto"/>
              </w:rPr>
            </w:pPr>
            <w:r>
              <w:rPr>
                <w:rFonts w:ascii="Arial" w:cs="Arial" w:eastAsia="Arial" w:hAnsi="Arial"/>
                <w:sz w:val="17"/>
                <w:szCs w:val="17"/>
                <w:color w:val="auto"/>
              </w:rPr>
              <w:t>53,979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23"/>
              <w:spacing w:after="0"/>
              <w:rPr>
                <w:sz w:val="20"/>
                <w:szCs w:val="20"/>
                <w:color w:val="auto"/>
              </w:rPr>
            </w:pPr>
            <w:r>
              <w:rPr>
                <w:rFonts w:ascii="Arial" w:cs="Arial" w:eastAsia="Arial" w:hAnsi="Arial"/>
                <w:sz w:val="17"/>
                <w:szCs w:val="17"/>
                <w:color w:val="auto"/>
              </w:rPr>
              <w:t>53,979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7"/>
                <w:szCs w:val="17"/>
                <w:color w:val="auto"/>
              </w:rPr>
              <w:t>153,677</w:t>
            </w:r>
          </w:p>
        </w:tc>
      </w:tr>
      <w:tr>
        <w:trPr>
          <w:trHeight w:val="26"/>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Corporate/Partnership loans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444,772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10,110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10,110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454,882</w:t>
            </w:r>
          </w:p>
        </w:tc>
      </w:tr>
      <w:tr>
        <w:trPr>
          <w:trHeight w:val="234"/>
        </w:trPr>
        <w:tc>
          <w:tcPr>
            <w:tcW w:w="3420" w:type="dxa"/>
            <w:vAlign w:val="bottom"/>
          </w:tcPr>
          <w:p>
            <w:pPr>
              <w:ind w:left="14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1,406,552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7"/>
                <w:szCs w:val="17"/>
                <w:color w:val="auto"/>
              </w:rPr>
              <w:t>62,768</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7"/>
                <w:szCs w:val="17"/>
                <w:color w:val="auto"/>
              </w:rPr>
              <w:t>894,995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957,763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2,364,315</w:t>
            </w: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01"/>
        <w:spacing w:after="0"/>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recorded investment in impaired loans, presented by class, were as follows ($ in thousands)(1):</w:t>
      </w:r>
    </w:p>
    <w:p>
      <w:pPr>
        <w:spacing w:after="0" w:line="200" w:lineRule="exact"/>
        <w:rPr>
          <w:sz w:val="20"/>
          <w:szCs w:val="20"/>
          <w:color w:val="auto"/>
        </w:rPr>
      </w:pPr>
    </w:p>
    <w:p>
      <w:pPr>
        <w:spacing w:after="0" w:line="209" w:lineRule="exact"/>
        <w:rPr>
          <w:sz w:val="20"/>
          <w:szCs w:val="20"/>
          <w:color w:val="auto"/>
        </w:rPr>
      </w:pPr>
    </w:p>
    <w:tbl>
      <w:tblPr>
        <w:tblLayout w:type="fixed"/>
        <w:tblInd w:w="201" w:type="dxa"/>
        <w:tblCellMar>
          <w:top w:w="0" w:type="dxa"/>
          <w:left w:w="0" w:type="dxa"/>
          <w:bottom w:w="0" w:type="dxa"/>
          <w:right w:w="0" w:type="dxa"/>
        </w:tblCellMar>
      </w:tblPr>
      <w:tr>
        <w:trPr>
          <w:trHeight w:val="176"/>
        </w:trPr>
        <w:tc>
          <w:tcPr>
            <w:tcW w:w="2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As of December 31, 2012</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9"/>
              </w:rPr>
              <w:t>As of December 31, 2011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39"/>
        </w:trPr>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5"/>
              </w:rPr>
              <w:t>Unpaid</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5"/>
              </w:rPr>
              <w:t>Unpaid</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37"/>
        </w:trPr>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60"/>
              <w:spacing w:after="0" w:line="137" w:lineRule="exact"/>
              <w:rPr>
                <w:sz w:val="20"/>
                <w:szCs w:val="20"/>
                <w:color w:val="auto"/>
              </w:rPr>
            </w:pPr>
            <w:r>
              <w:rPr>
                <w:rFonts w:ascii="Arial" w:cs="Arial" w:eastAsia="Arial" w:hAnsi="Arial"/>
                <w:sz w:val="13"/>
                <w:szCs w:val="13"/>
                <w:b w:val="1"/>
                <w:bCs w:val="1"/>
                <w:color w:val="auto"/>
              </w:rPr>
              <w:t>Recorded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94"/>
              </w:rPr>
              <w:t>Principal</w:t>
            </w:r>
          </w:p>
        </w:tc>
        <w:tc>
          <w:tcPr>
            <w:tcW w:w="240" w:type="dxa"/>
            <w:vAlign w:val="bottom"/>
          </w:tcPr>
          <w:p>
            <w:pPr>
              <w:spacing w:after="0"/>
              <w:rPr>
                <w:sz w:val="11"/>
                <w:szCs w:val="11"/>
                <w:color w:val="auto"/>
              </w:rPr>
            </w:pPr>
          </w:p>
        </w:tc>
        <w:tc>
          <w:tcPr>
            <w:tcW w:w="1220" w:type="dxa"/>
            <w:vAlign w:val="bottom"/>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89"/>
              </w:rPr>
              <w:t>Related</w:t>
            </w:r>
          </w:p>
        </w:tc>
        <w:tc>
          <w:tcPr>
            <w:tcW w:w="260" w:type="dxa"/>
            <w:vAlign w:val="bottom"/>
          </w:tcPr>
          <w:p>
            <w:pPr>
              <w:spacing w:after="0"/>
              <w:rPr>
                <w:sz w:val="11"/>
                <w:szCs w:val="11"/>
                <w:color w:val="auto"/>
              </w:rPr>
            </w:pPr>
          </w:p>
        </w:tc>
        <w:tc>
          <w:tcPr>
            <w:tcW w:w="1180" w:type="dxa"/>
            <w:vAlign w:val="bottom"/>
          </w:tcPr>
          <w:p>
            <w:pPr>
              <w:jc w:val="right"/>
              <w:ind w:right="380"/>
              <w:spacing w:after="0" w:line="137" w:lineRule="exact"/>
              <w:rPr>
                <w:sz w:val="20"/>
                <w:szCs w:val="20"/>
                <w:color w:val="auto"/>
              </w:rPr>
            </w:pPr>
            <w:r>
              <w:rPr>
                <w:rFonts w:ascii="Arial" w:cs="Arial" w:eastAsia="Arial" w:hAnsi="Arial"/>
                <w:sz w:val="13"/>
                <w:szCs w:val="13"/>
                <w:b w:val="1"/>
                <w:bCs w:val="1"/>
                <w:color w:val="auto"/>
              </w:rPr>
              <w:t>Recorded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380"/>
              <w:spacing w:after="0" w:line="137" w:lineRule="exact"/>
              <w:rPr>
                <w:sz w:val="20"/>
                <w:szCs w:val="20"/>
                <w:color w:val="auto"/>
              </w:rPr>
            </w:pPr>
            <w:r>
              <w:rPr>
                <w:rFonts w:ascii="Arial" w:cs="Arial" w:eastAsia="Arial" w:hAnsi="Arial"/>
                <w:sz w:val="13"/>
                <w:szCs w:val="13"/>
                <w:b w:val="1"/>
                <w:bCs w:val="1"/>
                <w:color w:val="auto"/>
                <w:w w:val="94"/>
              </w:rPr>
              <w:t>Principal</w:t>
            </w:r>
          </w:p>
        </w:tc>
        <w:tc>
          <w:tcPr>
            <w:tcW w:w="240" w:type="dxa"/>
            <w:vAlign w:val="bottom"/>
          </w:tcPr>
          <w:p>
            <w:pPr>
              <w:spacing w:after="0"/>
              <w:rPr>
                <w:sz w:val="11"/>
                <w:szCs w:val="11"/>
                <w:color w:val="auto"/>
              </w:rPr>
            </w:pPr>
          </w:p>
        </w:tc>
        <w:tc>
          <w:tcPr>
            <w:tcW w:w="1080" w:type="dxa"/>
            <w:vAlign w:val="bottom"/>
          </w:tcPr>
          <w:p>
            <w:pPr>
              <w:jc w:val="right"/>
              <w:ind w:right="360"/>
              <w:spacing w:after="0" w:line="137" w:lineRule="exact"/>
              <w:rPr>
                <w:sz w:val="20"/>
                <w:szCs w:val="20"/>
                <w:color w:val="auto"/>
              </w:rPr>
            </w:pPr>
            <w:r>
              <w:rPr>
                <w:rFonts w:ascii="Arial" w:cs="Arial" w:eastAsia="Arial" w:hAnsi="Arial"/>
                <w:sz w:val="13"/>
                <w:szCs w:val="13"/>
                <w:b w:val="1"/>
                <w:bCs w:val="1"/>
                <w:color w:val="auto"/>
              </w:rPr>
              <w:t>Related</w:t>
            </w:r>
          </w:p>
        </w:tc>
      </w:tr>
      <w:tr>
        <w:trPr>
          <w:trHeight w:val="176"/>
        </w:trPr>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20"/>
              <w:spacing w:after="0"/>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Balance</w:t>
            </w: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Allowance</w:t>
            </w:r>
          </w:p>
        </w:tc>
        <w:tc>
          <w:tcPr>
            <w:tcW w:w="260" w:type="dxa"/>
            <w:vAlign w:val="bottom"/>
          </w:tcPr>
          <w:p>
            <w:pPr>
              <w:spacing w:after="0"/>
              <w:rPr>
                <w:sz w:val="15"/>
                <w:szCs w:val="15"/>
                <w:color w:val="auto"/>
              </w:rPr>
            </w:pPr>
          </w:p>
        </w:tc>
        <w:tc>
          <w:tcPr>
            <w:tcW w:w="1180" w:type="dxa"/>
            <w:vAlign w:val="bottom"/>
          </w:tcPr>
          <w:p>
            <w:pPr>
              <w:jc w:val="right"/>
              <w:ind w:right="320"/>
              <w:spacing w:after="0"/>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Balance</w:t>
            </w:r>
          </w:p>
        </w:tc>
        <w:tc>
          <w:tcPr>
            <w:tcW w:w="240" w:type="dxa"/>
            <w:vAlign w:val="bottom"/>
          </w:tcPr>
          <w:p>
            <w:pPr>
              <w:spacing w:after="0"/>
              <w:rPr>
                <w:sz w:val="15"/>
                <w:szCs w:val="15"/>
                <w:color w:val="auto"/>
              </w:rPr>
            </w:pPr>
          </w:p>
        </w:tc>
        <w:tc>
          <w:tcPr>
            <w:tcW w:w="1080" w:type="dxa"/>
            <w:vAlign w:val="bottom"/>
          </w:tcPr>
          <w:p>
            <w:pPr>
              <w:jc w:val="right"/>
              <w:ind w:right="280"/>
              <w:spacing w:after="0"/>
              <w:rPr>
                <w:sz w:val="20"/>
                <w:szCs w:val="20"/>
                <w:color w:val="auto"/>
              </w:rPr>
            </w:pPr>
            <w:r>
              <w:rPr>
                <w:rFonts w:ascii="Arial" w:cs="Arial" w:eastAsia="Arial" w:hAnsi="Arial"/>
                <w:sz w:val="13"/>
                <w:szCs w:val="13"/>
                <w:b w:val="1"/>
                <w:bCs w:val="1"/>
                <w:color w:val="auto"/>
              </w:rPr>
              <w:t>Allowance</w:t>
            </w:r>
          </w:p>
        </w:tc>
      </w:tr>
      <w:tr>
        <w:trPr>
          <w:trHeight w:val="193"/>
        </w:trPr>
        <w:tc>
          <w:tcPr>
            <w:tcW w:w="2100" w:type="dxa"/>
            <w:vAlign w:val="bottom"/>
            <w:tcBorders>
              <w:top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w w:val="98"/>
              </w:rPr>
              <w:t>With no related allowance</w:t>
            </w: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2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recorded:</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2"/>
        </w:trPr>
        <w:tc>
          <w:tcPr>
            <w:tcW w:w="2100" w:type="dxa"/>
            <w:vAlign w:val="bottom"/>
          </w:tcPr>
          <w:p>
            <w:pPr>
              <w:ind w:left="140"/>
              <w:spacing w:after="0"/>
              <w:rPr>
                <w:sz w:val="20"/>
                <w:szCs w:val="20"/>
                <w:color w:val="auto"/>
              </w:rPr>
            </w:pPr>
            <w:r>
              <w:rPr>
                <w:rFonts w:ascii="Arial" w:cs="Arial" w:eastAsia="Arial" w:hAnsi="Arial"/>
                <w:sz w:val="17"/>
                <w:szCs w:val="17"/>
                <w:color w:val="auto"/>
              </w:rPr>
              <w:t>Senior mortgages</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108,077</w:t>
            </w:r>
          </w:p>
        </w:tc>
        <w:tc>
          <w:tcPr>
            <w:tcW w:w="400" w:type="dxa"/>
            <w:vAlign w:val="bottom"/>
            <w:gridSpan w:val="2"/>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107,850</w:t>
            </w:r>
          </w:p>
        </w:tc>
        <w:tc>
          <w:tcPr>
            <w:tcW w:w="10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219,488</w:t>
            </w:r>
          </w:p>
        </w:tc>
        <w:tc>
          <w:tcPr>
            <w:tcW w:w="380" w:type="dxa"/>
            <w:vAlign w:val="bottom"/>
            <w:gridSpan w:val="2"/>
          </w:tcPr>
          <w:p>
            <w:pPr>
              <w:jc w:val="right"/>
              <w:ind w:right="9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
              <w:spacing w:after="0"/>
              <w:rPr>
                <w:sz w:val="20"/>
                <w:szCs w:val="20"/>
                <w:color w:val="auto"/>
              </w:rPr>
            </w:pPr>
            <w:r>
              <w:rPr>
                <w:rFonts w:ascii="Arial" w:cs="Arial" w:eastAsia="Arial" w:hAnsi="Arial"/>
                <w:sz w:val="17"/>
                <w:szCs w:val="17"/>
                <w:color w:val="auto"/>
              </w:rPr>
              <w:t>218,612</w:t>
            </w:r>
          </w:p>
        </w:tc>
        <w:tc>
          <w:tcPr>
            <w:tcW w:w="10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6"/>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1"/>
              </w:rPr>
              <w:t>Corporate/Partnership loans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14"/>
        </w:trPr>
        <w:tc>
          <w:tcPr>
            <w:tcW w:w="2100" w:type="dxa"/>
            <w:vAlign w:val="bottom"/>
          </w:tcPr>
          <w:p>
            <w:pPr>
              <w:ind w:left="340"/>
              <w:spacing w:after="0"/>
              <w:rPr>
                <w:sz w:val="20"/>
                <w:szCs w:val="20"/>
                <w:color w:val="auto"/>
              </w:rPr>
            </w:pPr>
            <w:r>
              <w:rPr>
                <w:rFonts w:ascii="Arial" w:cs="Arial" w:eastAsia="Arial" w:hAnsi="Arial"/>
                <w:sz w:val="17"/>
                <w:szCs w:val="17"/>
                <w:color w:val="auto"/>
              </w:rPr>
              <w:t>Subtotal</w:t>
            </w: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118,187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118,010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229,598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228,772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w:t>
            </w:r>
          </w:p>
        </w:tc>
      </w:tr>
      <w:tr>
        <w:trPr>
          <w:trHeight w:val="26"/>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9"/>
              </w:rPr>
              <w:t>With an allowance recorded:</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2"/>
        </w:trPr>
        <w:tc>
          <w:tcPr>
            <w:tcW w:w="2100" w:type="dxa"/>
            <w:vAlign w:val="bottom"/>
          </w:tcPr>
          <w:p>
            <w:pPr>
              <w:ind w:left="140"/>
              <w:spacing w:after="0"/>
              <w:rPr>
                <w:sz w:val="20"/>
                <w:szCs w:val="20"/>
                <w:color w:val="auto"/>
              </w:rPr>
            </w:pPr>
            <w:r>
              <w:rPr>
                <w:rFonts w:ascii="Arial" w:cs="Arial" w:eastAsia="Arial" w:hAnsi="Arial"/>
                <w:sz w:val="17"/>
                <w:szCs w:val="17"/>
                <w:color w:val="auto"/>
              </w:rPr>
              <w:t>Senior mortgages</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918,975</w:t>
            </w:r>
          </w:p>
        </w:tc>
        <w:tc>
          <w:tcPr>
            <w:tcW w:w="400" w:type="dxa"/>
            <w:vAlign w:val="bottom"/>
            <w:gridSpan w:val="2"/>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918,496</w:t>
            </w:r>
          </w:p>
        </w:tc>
        <w:tc>
          <w:tcPr>
            <w:tcW w:w="10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(442,760)</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1,268,962</w:t>
            </w:r>
          </w:p>
        </w:tc>
        <w:tc>
          <w:tcPr>
            <w:tcW w:w="380" w:type="dxa"/>
            <w:vAlign w:val="bottom"/>
            <w:gridSpan w:val="2"/>
          </w:tcPr>
          <w:p>
            <w:pPr>
              <w:jc w:val="right"/>
              <w:ind w:right="9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
              <w:spacing w:after="0"/>
              <w:rPr>
                <w:sz w:val="20"/>
                <w:szCs w:val="20"/>
                <w:color w:val="auto"/>
              </w:rPr>
            </w:pPr>
            <w:r>
              <w:rPr>
                <w:rFonts w:ascii="Arial" w:cs="Arial" w:eastAsia="Arial" w:hAnsi="Arial"/>
                <w:sz w:val="17"/>
                <w:szCs w:val="17"/>
                <w:color w:val="auto"/>
              </w:rPr>
              <w:t>1,263,195</w:t>
            </w:r>
          </w:p>
        </w:tc>
        <w:tc>
          <w:tcPr>
            <w:tcW w:w="10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(540,670)</w:t>
            </w:r>
          </w:p>
        </w:tc>
      </w:tr>
      <w:tr>
        <w:trPr>
          <w:trHeight w:val="26"/>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8"/>
        </w:trPr>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Subordinate mortgages</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53,979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53,679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(39,579)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22,480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22,558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(22,480)</w:t>
            </w:r>
          </w:p>
        </w:tc>
      </w:tr>
      <w:tr>
        <w:trPr>
          <w:trHeight w:val="222"/>
        </w:trPr>
        <w:tc>
          <w:tcPr>
            <w:tcW w:w="2100" w:type="dxa"/>
            <w:vAlign w:val="bottom"/>
          </w:tcPr>
          <w:p>
            <w:pPr>
              <w:ind w:left="140"/>
              <w:spacing w:after="0"/>
              <w:rPr>
                <w:sz w:val="20"/>
                <w:szCs w:val="20"/>
                <w:color w:val="auto"/>
              </w:rPr>
            </w:pPr>
            <w:r>
              <w:rPr>
                <w:rFonts w:ascii="Arial" w:cs="Arial" w:eastAsia="Arial" w:hAnsi="Arial"/>
                <w:sz w:val="17"/>
                <w:szCs w:val="17"/>
                <w:color w:val="auto"/>
                <w:w w:val="91"/>
              </w:rPr>
              <w:t>Corporate/Partnership loans</w:t>
            </w:r>
          </w:p>
        </w:tc>
        <w:tc>
          <w:tcPr>
            <w:tcW w:w="26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63,096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63,246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62,591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7"/>
                <w:szCs w:val="17"/>
                <w:color w:val="auto"/>
              </w:rPr>
              <w:t>62,845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(9,974)</w:t>
            </w:r>
          </w:p>
        </w:tc>
      </w:tr>
      <w:tr>
        <w:trPr>
          <w:trHeight w:val="26"/>
        </w:trPr>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1"/>
        </w:trPr>
        <w:tc>
          <w:tcPr>
            <w:tcW w:w="2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1,036,050</w:t>
            </w:r>
          </w:p>
        </w:tc>
        <w:tc>
          <w:tcPr>
            <w:tcW w:w="40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1,035,421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(491,399)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1,354,033</w:t>
            </w:r>
          </w:p>
        </w:tc>
        <w:tc>
          <w:tcPr>
            <w:tcW w:w="3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1,348,598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(573,124)</w:t>
            </w:r>
          </w:p>
        </w:tc>
      </w:tr>
      <w:tr>
        <w:trPr>
          <w:trHeight w:val="222"/>
        </w:trPr>
        <w:tc>
          <w:tcPr>
            <w:tcW w:w="21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8"/>
        </w:trPr>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Senior mortgages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1,027,052</w:t>
            </w:r>
          </w:p>
        </w:tc>
        <w:tc>
          <w:tcPr>
            <w:tcW w:w="40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1,026,346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(442,760)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1,488,450</w:t>
            </w:r>
          </w:p>
        </w:tc>
        <w:tc>
          <w:tcPr>
            <w:tcW w:w="3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1,481,807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(540,670)</w:t>
            </w:r>
          </w:p>
        </w:tc>
      </w:tr>
      <w:tr>
        <w:trPr>
          <w:trHeight w:val="222"/>
        </w:trPr>
        <w:tc>
          <w:tcPr>
            <w:tcW w:w="2100" w:type="dxa"/>
            <w:vAlign w:val="bottom"/>
          </w:tcPr>
          <w:p>
            <w:pPr>
              <w:ind w:left="140"/>
              <w:spacing w:after="0"/>
              <w:rPr>
                <w:sz w:val="20"/>
                <w:szCs w:val="20"/>
                <w:color w:val="auto"/>
              </w:rPr>
            </w:pPr>
            <w:r>
              <w:rPr>
                <w:rFonts w:ascii="Arial" w:cs="Arial" w:eastAsia="Arial" w:hAnsi="Arial"/>
                <w:sz w:val="17"/>
                <w:szCs w:val="17"/>
                <w:color w:val="auto"/>
              </w:rPr>
              <w:t>Subordinate mortgages</w:t>
            </w:r>
          </w:p>
        </w:tc>
        <w:tc>
          <w:tcPr>
            <w:tcW w:w="26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53,979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53,679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(39,579)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22,480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7"/>
                <w:szCs w:val="17"/>
                <w:color w:val="auto"/>
              </w:rPr>
              <w:t>22,558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(22,480)</w:t>
            </w:r>
          </w:p>
        </w:tc>
      </w:tr>
      <w:tr>
        <w:trPr>
          <w:trHeight w:val="26"/>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1"/>
              </w:rPr>
              <w:t>Corporate/Partnership loans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73,206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73,406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72,701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73,005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(9,974)</w:t>
            </w:r>
          </w:p>
        </w:tc>
      </w:tr>
      <w:tr>
        <w:trPr>
          <w:trHeight w:val="234"/>
        </w:trPr>
        <w:tc>
          <w:tcPr>
            <w:tcW w:w="2100" w:type="dxa"/>
            <w:vAlign w:val="bottom"/>
          </w:tcPr>
          <w:p>
            <w:pPr>
              <w:ind w:left="34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1,154,237</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1,153,431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(491,399)</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1,583,631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1,577,370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(573,124)</w:t>
            </w:r>
          </w:p>
        </w:tc>
      </w:tr>
      <w:tr>
        <w:trPr>
          <w:trHeight w:val="20"/>
        </w:trPr>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357" w:lineRule="auto"/>
        <w:tabs>
          <w:tab w:leader="none" w:pos="601" w:val="left"/>
        </w:tabs>
        <w:numPr>
          <w:ilvl w:val="0"/>
          <w:numId w:val="35"/>
        </w:numPr>
        <w:rPr>
          <w:rFonts w:ascii="Arial" w:cs="Arial" w:eastAsia="Arial" w:hAnsi="Arial"/>
          <w:sz w:val="11"/>
          <w:szCs w:val="11"/>
          <w:color w:val="auto"/>
        </w:rPr>
      </w:pPr>
      <w:r>
        <w:rPr>
          <w:rFonts w:ascii="Arial" w:cs="Arial" w:eastAsia="Arial" w:hAnsi="Arial"/>
          <w:sz w:val="11"/>
          <w:szCs w:val="11"/>
          <w:color w:val="auto"/>
        </w:rPr>
        <w:t>All of the Company's non-accrual loans are considered impaired and included in the table above. In addition, as of December 31, 2012 and 2011, certain loans modified through troubled debt restructurings with a recorded investment of $175.0 million and $255.3 million, respectively, are also included as impaired loans in accordance with GAAP although they are performing and on accrual status.</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1"/>
          </w:cols>
          <w:pgMar w:left="239" w:top="122" w:right="239" w:bottom="1440" w:gutter="0" w:footer="0" w:header="0"/>
        </w:sectPr>
      </w:pPr>
    </w:p>
    <w:bookmarkStart w:id="69" w:name="page70"/>
    <w:bookmarkEnd w:id="69"/>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41"/>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w w:val="96"/>
              </w:rPr>
              <w:t>2012</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2011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2010</w:t>
            </w:r>
          </w:p>
        </w:tc>
        <w:tc>
          <w:tcPr>
            <w:tcW w:w="1020" w:type="dxa"/>
            <w:vAlign w:val="bottom"/>
            <w:tcBorders>
              <w:bottom w:val="single" w:sz="8" w:color="auto"/>
            </w:tcBorders>
          </w:tcPr>
          <w:p>
            <w:pPr>
              <w:spacing w:after="0"/>
              <w:rPr>
                <w:sz w:val="20"/>
                <w:szCs w:val="20"/>
                <w:color w:val="auto"/>
              </w:rPr>
            </w:pPr>
          </w:p>
        </w:tc>
      </w:tr>
      <w:tr>
        <w:trPr>
          <w:trHeight w:val="13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21"/>
              <w:spacing w:after="0" w:line="139"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3"/>
              </w:rPr>
              <w:t>Interest</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9"/>
              </w:rPr>
              <w:t>Average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12"/>
                <w:szCs w:val="12"/>
                <w:color w:val="auto"/>
              </w:rPr>
            </w:pPr>
          </w:p>
        </w:tc>
        <w:tc>
          <w:tcPr>
            <w:tcW w:w="900" w:type="dxa"/>
            <w:vAlign w:val="bottom"/>
          </w:tcPr>
          <w:p>
            <w:pPr>
              <w:jc w:val="center"/>
              <w:ind w:right="41"/>
              <w:spacing w:after="0" w:line="139" w:lineRule="exact"/>
              <w:rPr>
                <w:sz w:val="20"/>
                <w:szCs w:val="20"/>
                <w:color w:val="auto"/>
              </w:rPr>
            </w:pPr>
            <w:r>
              <w:rPr>
                <w:rFonts w:ascii="Arial" w:cs="Arial" w:eastAsia="Arial" w:hAnsi="Arial"/>
                <w:sz w:val="13"/>
                <w:szCs w:val="13"/>
                <w:b w:val="1"/>
                <w:bCs w:val="1"/>
                <w:color w:val="auto"/>
                <w:w w:val="89"/>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41"/>
              <w:spacing w:after="0" w:line="139" w:lineRule="exact"/>
              <w:rPr>
                <w:sz w:val="20"/>
                <w:szCs w:val="20"/>
                <w:color w:val="auto"/>
              </w:rPr>
            </w:pPr>
            <w:r>
              <w:rPr>
                <w:rFonts w:ascii="Arial" w:cs="Arial" w:eastAsia="Arial" w:hAnsi="Arial"/>
                <w:sz w:val="13"/>
                <w:szCs w:val="13"/>
                <w:b w:val="1"/>
                <w:bCs w:val="1"/>
                <w:color w:val="auto"/>
                <w:w w:val="93"/>
              </w:rPr>
              <w:t>Interest</w:t>
            </w:r>
          </w:p>
        </w:tc>
      </w:tr>
      <w:tr>
        <w:trPr>
          <w:trHeight w:val="137"/>
        </w:trPr>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21"/>
              <w:spacing w:after="0" w:line="137" w:lineRule="exact"/>
              <w:rPr>
                <w:sz w:val="20"/>
                <w:szCs w:val="20"/>
                <w:color w:val="auto"/>
              </w:rPr>
            </w:pPr>
            <w:r>
              <w:rPr>
                <w:rFonts w:ascii="Arial" w:cs="Arial" w:eastAsia="Arial" w:hAnsi="Arial"/>
                <w:sz w:val="13"/>
                <w:szCs w:val="13"/>
                <w:b w:val="1"/>
                <w:bCs w:val="1"/>
                <w:color w:val="auto"/>
                <w:w w:val="89"/>
              </w:rPr>
              <w:t>Recorded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2"/>
              </w:rPr>
              <w:t>Income</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9"/>
              </w:rPr>
              <w:t>Recorded</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2"/>
              </w:rPr>
              <w:t>Income</w:t>
            </w:r>
          </w:p>
        </w:tc>
        <w:tc>
          <w:tcPr>
            <w:tcW w:w="180" w:type="dxa"/>
            <w:vAlign w:val="bottom"/>
          </w:tcPr>
          <w:p>
            <w:pPr>
              <w:spacing w:after="0"/>
              <w:rPr>
                <w:sz w:val="11"/>
                <w:szCs w:val="11"/>
                <w:color w:val="auto"/>
              </w:rPr>
            </w:pPr>
          </w:p>
        </w:tc>
        <w:tc>
          <w:tcPr>
            <w:tcW w:w="900" w:type="dxa"/>
            <w:vAlign w:val="bottom"/>
          </w:tcPr>
          <w:p>
            <w:pPr>
              <w:jc w:val="center"/>
              <w:ind w:right="41"/>
              <w:spacing w:after="0" w:line="137" w:lineRule="exact"/>
              <w:rPr>
                <w:sz w:val="20"/>
                <w:szCs w:val="20"/>
                <w:color w:val="auto"/>
              </w:rPr>
            </w:pPr>
            <w:r>
              <w:rPr>
                <w:rFonts w:ascii="Arial" w:cs="Arial" w:eastAsia="Arial" w:hAnsi="Arial"/>
                <w:sz w:val="13"/>
                <w:szCs w:val="13"/>
                <w:b w:val="1"/>
                <w:bCs w:val="1"/>
                <w:color w:val="auto"/>
                <w:w w:val="89"/>
              </w:rPr>
              <w:t>Recorded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21"/>
              <w:spacing w:after="0" w:line="137" w:lineRule="exact"/>
              <w:rPr>
                <w:sz w:val="20"/>
                <w:szCs w:val="20"/>
                <w:color w:val="auto"/>
              </w:rPr>
            </w:pPr>
            <w:r>
              <w:rPr>
                <w:rFonts w:ascii="Arial" w:cs="Arial" w:eastAsia="Arial" w:hAnsi="Arial"/>
                <w:sz w:val="13"/>
                <w:szCs w:val="13"/>
                <w:b w:val="1"/>
                <w:bCs w:val="1"/>
                <w:color w:val="auto"/>
                <w:w w:val="92"/>
              </w:rPr>
              <w:t>Income</w:t>
            </w:r>
          </w:p>
        </w:tc>
      </w:tr>
      <w:tr>
        <w:trPr>
          <w:trHeight w:val="176"/>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
              <w:spacing w:after="0"/>
              <w:rPr>
                <w:sz w:val="20"/>
                <w:szCs w:val="20"/>
                <w:color w:val="auto"/>
              </w:rPr>
            </w:pPr>
            <w:r>
              <w:rPr>
                <w:rFonts w:ascii="Arial" w:cs="Arial" w:eastAsia="Arial" w:hAnsi="Arial"/>
                <w:sz w:val="13"/>
                <w:szCs w:val="13"/>
                <w:b w:val="1"/>
                <w:bCs w:val="1"/>
                <w:color w:val="auto"/>
                <w:w w:val="93"/>
              </w:rPr>
              <w:t>Investment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Recognized</w:t>
            </w:r>
          </w:p>
        </w:tc>
        <w:tc>
          <w:tcPr>
            <w:tcW w:w="18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Investment</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Recognized</w:t>
            </w:r>
          </w:p>
        </w:tc>
        <w:tc>
          <w:tcPr>
            <w:tcW w:w="18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Arial" w:cs="Arial" w:eastAsia="Arial" w:hAnsi="Arial"/>
                <w:sz w:val="13"/>
                <w:szCs w:val="13"/>
                <w:b w:val="1"/>
                <w:bCs w:val="1"/>
                <w:color w:val="auto"/>
                <w:w w:val="90"/>
              </w:rPr>
              <w:t>Investment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21"/>
              <w:spacing w:after="0"/>
              <w:rPr>
                <w:sz w:val="20"/>
                <w:szCs w:val="20"/>
                <w:color w:val="auto"/>
              </w:rPr>
            </w:pPr>
            <w:r>
              <w:rPr>
                <w:rFonts w:ascii="Arial" w:cs="Arial" w:eastAsia="Arial" w:hAnsi="Arial"/>
                <w:sz w:val="13"/>
                <w:szCs w:val="13"/>
                <w:b w:val="1"/>
                <w:bCs w:val="1"/>
                <w:color w:val="auto"/>
                <w:w w:val="90"/>
              </w:rPr>
              <w:t>Recognized</w:t>
            </w:r>
          </w:p>
        </w:tc>
      </w:tr>
      <w:tr>
        <w:trPr>
          <w:trHeight w:val="226"/>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With no related allowance recorded:</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2"/>
        </w:trPr>
        <w:tc>
          <w:tcPr>
            <w:tcW w:w="3780" w:type="dxa"/>
            <w:vAlign w:val="bottom"/>
          </w:tcPr>
          <w:p>
            <w:pPr>
              <w:ind w:left="140"/>
              <w:spacing w:after="0"/>
              <w:rPr>
                <w:sz w:val="20"/>
                <w:szCs w:val="20"/>
                <w:color w:val="auto"/>
              </w:rPr>
            </w:pPr>
            <w:r>
              <w:rPr>
                <w:rFonts w:ascii="Arial" w:cs="Arial" w:eastAsia="Arial" w:hAnsi="Arial"/>
                <w:sz w:val="17"/>
                <w:szCs w:val="17"/>
                <w:color w:val="auto"/>
              </w:rPr>
              <w:t>Senior mortgages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162,093</w:t>
            </w: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41"/>
              <w:spacing w:after="0"/>
              <w:rPr>
                <w:sz w:val="20"/>
                <w:szCs w:val="20"/>
                <w:color w:val="auto"/>
              </w:rPr>
            </w:pPr>
            <w:r>
              <w:rPr>
                <w:rFonts w:ascii="Arial" w:cs="Arial" w:eastAsia="Arial" w:hAnsi="Arial"/>
                <w:sz w:val="17"/>
                <w:szCs w:val="17"/>
                <w:color w:val="auto"/>
              </w:rPr>
              <w:t>2,765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309,079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31,799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659,150</w:t>
            </w:r>
          </w:p>
        </w:tc>
        <w:tc>
          <w:tcPr>
            <w:tcW w:w="380" w:type="dxa"/>
            <w:vAlign w:val="bottom"/>
            <w:gridSpan w:val="3"/>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20,472</w:t>
            </w:r>
          </w:p>
        </w:tc>
      </w:tr>
      <w:tr>
        <w:trPr>
          <w:trHeight w:val="26"/>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Subordinate mortgages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87</w:t>
            </w:r>
          </w:p>
        </w:tc>
      </w:tr>
      <w:tr>
        <w:trPr>
          <w:trHeight w:val="222"/>
        </w:trPr>
        <w:tc>
          <w:tcPr>
            <w:tcW w:w="3780" w:type="dxa"/>
            <w:vAlign w:val="bottom"/>
          </w:tcPr>
          <w:p>
            <w:pPr>
              <w:ind w:left="140"/>
              <w:spacing w:after="0"/>
              <w:rPr>
                <w:sz w:val="20"/>
                <w:szCs w:val="20"/>
                <w:color w:val="auto"/>
              </w:rPr>
            </w:pPr>
            <w:r>
              <w:rPr>
                <w:rFonts w:ascii="Arial" w:cs="Arial" w:eastAsia="Arial" w:hAnsi="Arial"/>
                <w:sz w:val="17"/>
                <w:szCs w:val="17"/>
                <w:color w:val="auto"/>
              </w:rPr>
              <w:t>Corporate/Partnership loans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7"/>
                <w:szCs w:val="17"/>
                <w:color w:val="auto"/>
              </w:rPr>
              <w:t>160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10,110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1,868</w:t>
            </w:r>
          </w:p>
        </w:tc>
      </w:tr>
      <w:tr>
        <w:trPr>
          <w:trHeight w:val="26"/>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172,203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2,925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319,189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32,479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688,080</w:t>
            </w:r>
          </w:p>
        </w:tc>
        <w:tc>
          <w:tcPr>
            <w:tcW w:w="3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22,427</w:t>
            </w:r>
          </w:p>
        </w:tc>
      </w:tr>
      <w:tr>
        <w:trPr>
          <w:trHeight w:val="222"/>
        </w:trPr>
        <w:tc>
          <w:tcPr>
            <w:tcW w:w="3780" w:type="dxa"/>
            <w:vAlign w:val="bottom"/>
          </w:tcPr>
          <w:p>
            <w:pPr>
              <w:ind w:left="20"/>
              <w:spacing w:after="0"/>
              <w:rPr>
                <w:sz w:val="20"/>
                <w:szCs w:val="20"/>
                <w:color w:val="auto"/>
              </w:rPr>
            </w:pPr>
            <w:r>
              <w:rPr>
                <w:rFonts w:ascii="Arial" w:cs="Arial" w:eastAsia="Arial" w:hAnsi="Arial"/>
                <w:sz w:val="17"/>
                <w:szCs w:val="17"/>
                <w:b w:val="1"/>
                <w:bCs w:val="1"/>
                <w:color w:val="auto"/>
              </w:rPr>
              <w:t>With an allowance recorded: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Senior mortgages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1,064,045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3,865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1,608,486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7,187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2,411,735</w:t>
            </w:r>
          </w:p>
        </w:tc>
        <w:tc>
          <w:tcPr>
            <w:tcW w:w="3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5,183</w:t>
            </w:r>
          </w:p>
        </w:tc>
      </w:tr>
      <w:tr>
        <w:trPr>
          <w:trHeight w:val="222"/>
        </w:trPr>
        <w:tc>
          <w:tcPr>
            <w:tcW w:w="3780" w:type="dxa"/>
            <w:vAlign w:val="bottom"/>
          </w:tcPr>
          <w:p>
            <w:pPr>
              <w:ind w:left="140"/>
              <w:spacing w:after="0"/>
              <w:rPr>
                <w:sz w:val="20"/>
                <w:szCs w:val="20"/>
                <w:color w:val="auto"/>
              </w:rPr>
            </w:pPr>
            <w:r>
              <w:rPr>
                <w:rFonts w:ascii="Arial" w:cs="Arial" w:eastAsia="Arial" w:hAnsi="Arial"/>
                <w:sz w:val="17"/>
                <w:szCs w:val="17"/>
                <w:color w:val="auto"/>
              </w:rPr>
              <w:t>Subordinate mortgages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19,477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77,125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107</w:t>
            </w:r>
          </w:p>
        </w:tc>
      </w:tr>
      <w:tr>
        <w:trPr>
          <w:trHeight w:val="26"/>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Corporate/Partnership loans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312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66,087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214"/>
        </w:trPr>
        <w:tc>
          <w:tcPr>
            <w:tcW w:w="3780" w:type="dxa"/>
            <w:vAlign w:val="bottom"/>
          </w:tcPr>
          <w:p>
            <w:pPr>
              <w:ind w:left="340"/>
              <w:spacing w:after="0"/>
              <w:rPr>
                <w:sz w:val="20"/>
                <w:szCs w:val="20"/>
                <w:color w:val="auto"/>
              </w:rPr>
            </w:pPr>
            <w:r>
              <w:rPr>
                <w:rFonts w:ascii="Arial" w:cs="Arial" w:eastAsia="Arial" w:hAnsi="Arial"/>
                <w:sz w:val="17"/>
                <w:szCs w:val="17"/>
                <w:color w:val="auto"/>
              </w:rPr>
              <w:t>Subtotal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1,178,501</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4,177</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1,694,050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7,519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2,553,978</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5,290</w:t>
            </w:r>
          </w:p>
        </w:tc>
      </w:tr>
      <w:tr>
        <w:trPr>
          <w:trHeight w:val="26"/>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2"/>
        </w:trPr>
        <w:tc>
          <w:tcPr>
            <w:tcW w:w="3780" w:type="dxa"/>
            <w:vAlign w:val="bottom"/>
          </w:tcPr>
          <w:p>
            <w:pPr>
              <w:ind w:left="140"/>
              <w:spacing w:after="0"/>
              <w:rPr>
                <w:sz w:val="20"/>
                <w:szCs w:val="20"/>
                <w:color w:val="auto"/>
              </w:rPr>
            </w:pPr>
            <w:r>
              <w:rPr>
                <w:rFonts w:ascii="Arial" w:cs="Arial" w:eastAsia="Arial" w:hAnsi="Arial"/>
                <w:sz w:val="17"/>
                <w:szCs w:val="17"/>
                <w:color w:val="auto"/>
              </w:rPr>
              <w:t>Senior mortgages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1,226,138</w:t>
            </w: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41"/>
              <w:spacing w:after="0"/>
              <w:rPr>
                <w:sz w:val="20"/>
                <w:szCs w:val="20"/>
                <w:color w:val="auto"/>
              </w:rPr>
            </w:pPr>
            <w:r>
              <w:rPr>
                <w:rFonts w:ascii="Arial" w:cs="Arial" w:eastAsia="Arial" w:hAnsi="Arial"/>
                <w:sz w:val="17"/>
                <w:szCs w:val="17"/>
                <w:color w:val="auto"/>
              </w:rPr>
              <w:t>6,630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1,917,565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38,986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3,070,885</w:t>
            </w:r>
          </w:p>
        </w:tc>
        <w:tc>
          <w:tcPr>
            <w:tcW w:w="380" w:type="dxa"/>
            <w:vAlign w:val="bottom"/>
            <w:gridSpan w:val="3"/>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25,655</w:t>
            </w:r>
          </w:p>
        </w:tc>
      </w:tr>
      <w:tr>
        <w:trPr>
          <w:trHeight w:val="26"/>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Subordinate mortgages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52,208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19,477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78,529</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194</w:t>
            </w:r>
          </w:p>
        </w:tc>
      </w:tr>
      <w:tr>
        <w:trPr>
          <w:trHeight w:val="222"/>
        </w:trPr>
        <w:tc>
          <w:tcPr>
            <w:tcW w:w="3780" w:type="dxa"/>
            <w:vAlign w:val="bottom"/>
          </w:tcPr>
          <w:p>
            <w:pPr>
              <w:ind w:left="140"/>
              <w:spacing w:after="0"/>
              <w:rPr>
                <w:sz w:val="20"/>
                <w:szCs w:val="20"/>
                <w:color w:val="auto"/>
              </w:rPr>
            </w:pPr>
            <w:r>
              <w:rPr>
                <w:rFonts w:ascii="Arial" w:cs="Arial" w:eastAsia="Arial" w:hAnsi="Arial"/>
                <w:sz w:val="17"/>
                <w:szCs w:val="17"/>
                <w:color w:val="auto"/>
              </w:rPr>
              <w:t>Corporate/Partnership loans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7"/>
                <w:szCs w:val="17"/>
                <w:color w:val="auto"/>
              </w:rPr>
              <w:t>472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76,197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92,644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1,868</w:t>
            </w:r>
          </w:p>
        </w:tc>
      </w:tr>
      <w:tr>
        <w:trPr>
          <w:trHeight w:val="26"/>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1,350,704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7,102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2,013,239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39,998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3,242,058</w:t>
            </w:r>
          </w:p>
        </w:tc>
        <w:tc>
          <w:tcPr>
            <w:tcW w:w="380" w:type="dxa"/>
            <w:vAlign w:val="bottom"/>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27,717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During the year ended December 31, 2011, the Company recorded interest income of $26.3 million related to the resolution of certain non-performing loans.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was not previously recorded while the loans were on non-accrual status.</w:t>
      </w:r>
    </w:p>
    <w:p>
      <w:pPr>
        <w:spacing w:after="0" w:line="187" w:lineRule="exact"/>
        <w:rPr>
          <w:sz w:val="20"/>
          <w:szCs w:val="20"/>
          <w:color w:val="auto"/>
        </w:rPr>
      </w:pPr>
    </w:p>
    <w:p>
      <w:pPr>
        <w:jc w:val="both"/>
        <w:ind w:firstLine="596"/>
        <w:spacing w:after="0" w:line="297" w:lineRule="auto"/>
        <w:rPr>
          <w:sz w:val="20"/>
          <w:szCs w:val="20"/>
          <w:color w:val="auto"/>
        </w:rPr>
      </w:pPr>
      <w:r>
        <w:rPr>
          <w:rFonts w:ascii="Arial" w:cs="Arial" w:eastAsia="Arial" w:hAnsi="Arial"/>
          <w:sz w:val="16"/>
          <w:szCs w:val="16"/>
          <w:b w:val="1"/>
          <w:bCs w:val="1"/>
          <w:color w:val="auto"/>
        </w:rPr>
        <w:t>Troubled Debt Restructurings</w:t>
      </w:r>
      <w:r>
        <w:rPr>
          <w:rFonts w:ascii="Arial" w:cs="Arial" w:eastAsia="Arial" w:hAnsi="Arial"/>
          <w:sz w:val="16"/>
          <w:szCs w:val="16"/>
          <w:color w:val="auto"/>
        </w:rPr>
        <w:t>—During the years ended December 31, 2012 and 2011, the Company modified loans that were determined to be troubled debt</w:t>
      </w:r>
      <w:r>
        <w:rPr>
          <w:rFonts w:ascii="Arial" w:cs="Arial" w:eastAsia="Arial" w:hAnsi="Arial"/>
          <w:sz w:val="16"/>
          <w:szCs w:val="16"/>
          <w:b w:val="1"/>
          <w:bCs w:val="1"/>
          <w:color w:val="auto"/>
        </w:rPr>
        <w:t xml:space="preserve"> </w:t>
      </w:r>
      <w:r>
        <w:rPr>
          <w:rFonts w:ascii="Arial" w:cs="Arial" w:eastAsia="Arial" w:hAnsi="Arial"/>
          <w:sz w:val="16"/>
          <w:szCs w:val="16"/>
          <w:color w:val="auto"/>
        </w:rPr>
        <w:t>restructurings. The recorded investment in these loans was impacted by the modifications as follows, presented by class ($ in thousands):</w:t>
      </w: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15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r>
      <w:tr>
        <w:trPr>
          <w:trHeight w:val="241"/>
        </w:trPr>
        <w:tc>
          <w:tcPr>
            <w:tcW w:w="15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139"/>
        </w:trPr>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4"/>
              </w:rPr>
              <w:t>Pre-Modification</w:t>
            </w:r>
          </w:p>
        </w:tc>
        <w:tc>
          <w:tcPr>
            <w:tcW w:w="260" w:type="dxa"/>
            <w:vAlign w:val="bottom"/>
          </w:tcPr>
          <w:p>
            <w:pPr>
              <w:spacing w:after="0"/>
              <w:rPr>
                <w:sz w:val="12"/>
                <w:szCs w:val="12"/>
                <w:color w:val="auto"/>
              </w:rPr>
            </w:pPr>
          </w:p>
        </w:tc>
        <w:tc>
          <w:tcPr>
            <w:tcW w:w="164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1"/>
              </w:rPr>
              <w:t>Post-Modification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4"/>
              </w:rPr>
              <w:t>Pre-Modification</w:t>
            </w:r>
          </w:p>
        </w:tc>
        <w:tc>
          <w:tcPr>
            <w:tcW w:w="240" w:type="dxa"/>
            <w:vAlign w:val="bottom"/>
          </w:tcPr>
          <w:p>
            <w:pPr>
              <w:spacing w:after="0"/>
              <w:rPr>
                <w:sz w:val="12"/>
                <w:szCs w:val="12"/>
                <w:color w:val="auto"/>
              </w:rPr>
            </w:pPr>
          </w:p>
        </w:tc>
        <w:tc>
          <w:tcPr>
            <w:tcW w:w="1520" w:type="dxa"/>
            <w:vAlign w:val="bottom"/>
          </w:tcPr>
          <w:p>
            <w:pPr>
              <w:jc w:val="center"/>
              <w:ind w:right="191"/>
              <w:spacing w:after="0" w:line="139" w:lineRule="exact"/>
              <w:rPr>
                <w:sz w:val="20"/>
                <w:szCs w:val="20"/>
                <w:color w:val="auto"/>
              </w:rPr>
            </w:pPr>
            <w:r>
              <w:rPr>
                <w:rFonts w:ascii="Arial" w:cs="Arial" w:eastAsia="Arial" w:hAnsi="Arial"/>
                <w:sz w:val="13"/>
                <w:szCs w:val="13"/>
                <w:b w:val="1"/>
                <w:bCs w:val="1"/>
                <w:color w:val="auto"/>
                <w:w w:val="93"/>
              </w:rPr>
              <w:t>Post-Modification</w:t>
            </w:r>
          </w:p>
        </w:tc>
      </w:tr>
      <w:tr>
        <w:trPr>
          <w:trHeight w:val="137"/>
        </w:trPr>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91"/>
              </w:rPr>
              <w:t>Outstanding</w:t>
            </w:r>
          </w:p>
        </w:tc>
        <w:tc>
          <w:tcPr>
            <w:tcW w:w="260" w:type="dxa"/>
            <w:vAlign w:val="bottom"/>
          </w:tcPr>
          <w:p>
            <w:pPr>
              <w:spacing w:after="0"/>
              <w:rPr>
                <w:sz w:val="11"/>
                <w:szCs w:val="11"/>
                <w:color w:val="auto"/>
              </w:rPr>
            </w:pPr>
          </w:p>
        </w:tc>
        <w:tc>
          <w:tcPr>
            <w:tcW w:w="1640" w:type="dxa"/>
            <w:vAlign w:val="bottom"/>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93"/>
              </w:rPr>
              <w:t>Outstanding</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3"/>
              </w:rPr>
              <w:t>Outstanding</w:t>
            </w:r>
          </w:p>
        </w:tc>
        <w:tc>
          <w:tcPr>
            <w:tcW w:w="240" w:type="dxa"/>
            <w:vAlign w:val="bottom"/>
          </w:tcPr>
          <w:p>
            <w:pPr>
              <w:spacing w:after="0"/>
              <w:rPr>
                <w:sz w:val="11"/>
                <w:szCs w:val="11"/>
                <w:color w:val="auto"/>
              </w:rPr>
            </w:pPr>
          </w:p>
        </w:tc>
        <w:tc>
          <w:tcPr>
            <w:tcW w:w="1520" w:type="dxa"/>
            <w:vAlign w:val="bottom"/>
          </w:tcPr>
          <w:p>
            <w:pPr>
              <w:jc w:val="center"/>
              <w:ind w:right="191"/>
              <w:spacing w:after="0" w:line="137" w:lineRule="exact"/>
              <w:rPr>
                <w:sz w:val="20"/>
                <w:szCs w:val="20"/>
                <w:color w:val="auto"/>
              </w:rPr>
            </w:pPr>
            <w:r>
              <w:rPr>
                <w:rFonts w:ascii="Arial" w:cs="Arial" w:eastAsia="Arial" w:hAnsi="Arial"/>
                <w:sz w:val="13"/>
                <w:szCs w:val="13"/>
                <w:b w:val="1"/>
                <w:bCs w:val="1"/>
                <w:color w:val="auto"/>
                <w:w w:val="91"/>
              </w:rPr>
              <w:t>Outstanding</w:t>
            </w:r>
          </w:p>
        </w:tc>
      </w:tr>
      <w:tr>
        <w:trPr>
          <w:trHeight w:val="137"/>
        </w:trPr>
        <w:tc>
          <w:tcPr>
            <w:tcW w:w="1540" w:type="dxa"/>
            <w:vAlign w:val="bottom"/>
          </w:tcPr>
          <w:p>
            <w:pPr>
              <w:spacing w:after="0"/>
              <w:rPr>
                <w:sz w:val="11"/>
                <w:szCs w:val="11"/>
                <w:color w:val="auto"/>
              </w:rPr>
            </w:pPr>
          </w:p>
        </w:tc>
        <w:tc>
          <w:tcPr>
            <w:tcW w:w="1240" w:type="dxa"/>
            <w:vAlign w:val="bottom"/>
            <w:gridSpan w:val="2"/>
          </w:tcPr>
          <w:p>
            <w:pPr>
              <w:ind w:left="340"/>
              <w:spacing w:after="0" w:line="137" w:lineRule="exact"/>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1"/>
                <w:szCs w:val="11"/>
                <w:color w:val="auto"/>
              </w:rPr>
            </w:pPr>
          </w:p>
        </w:tc>
        <w:tc>
          <w:tcPr>
            <w:tcW w:w="156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89"/>
              </w:rPr>
              <w:t>Recorded</w:t>
            </w:r>
          </w:p>
        </w:tc>
        <w:tc>
          <w:tcPr>
            <w:tcW w:w="260" w:type="dxa"/>
            <w:vAlign w:val="bottom"/>
          </w:tcPr>
          <w:p>
            <w:pPr>
              <w:spacing w:after="0"/>
              <w:rPr>
                <w:sz w:val="11"/>
                <w:szCs w:val="11"/>
                <w:color w:val="auto"/>
              </w:rPr>
            </w:pPr>
          </w:p>
        </w:tc>
        <w:tc>
          <w:tcPr>
            <w:tcW w:w="1640" w:type="dxa"/>
            <w:vAlign w:val="bottom"/>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93"/>
              </w:rPr>
              <w:t>Recorded</w:t>
            </w:r>
          </w:p>
        </w:tc>
        <w:tc>
          <w:tcPr>
            <w:tcW w:w="1080" w:type="dxa"/>
            <w:vAlign w:val="bottom"/>
            <w:gridSpan w:val="2"/>
          </w:tcPr>
          <w:p>
            <w:pPr>
              <w:ind w:left="260"/>
              <w:spacing w:after="0" w:line="137" w:lineRule="exact"/>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1"/>
                <w:szCs w:val="11"/>
                <w:color w:val="auto"/>
              </w:rPr>
            </w:pPr>
          </w:p>
        </w:tc>
        <w:tc>
          <w:tcPr>
            <w:tcW w:w="15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9"/>
              </w:rPr>
              <w:t>Recorded</w:t>
            </w:r>
          </w:p>
        </w:tc>
        <w:tc>
          <w:tcPr>
            <w:tcW w:w="240" w:type="dxa"/>
            <w:vAlign w:val="bottom"/>
          </w:tcPr>
          <w:p>
            <w:pPr>
              <w:spacing w:after="0"/>
              <w:rPr>
                <w:sz w:val="11"/>
                <w:szCs w:val="11"/>
                <w:color w:val="auto"/>
              </w:rPr>
            </w:pPr>
          </w:p>
        </w:tc>
        <w:tc>
          <w:tcPr>
            <w:tcW w:w="1520" w:type="dxa"/>
            <w:vAlign w:val="bottom"/>
          </w:tcPr>
          <w:p>
            <w:pPr>
              <w:jc w:val="center"/>
              <w:ind w:right="191"/>
              <w:spacing w:after="0" w:line="137" w:lineRule="exact"/>
              <w:rPr>
                <w:sz w:val="20"/>
                <w:szCs w:val="20"/>
                <w:color w:val="auto"/>
              </w:rPr>
            </w:pPr>
            <w:r>
              <w:rPr>
                <w:rFonts w:ascii="Arial" w:cs="Arial" w:eastAsia="Arial" w:hAnsi="Arial"/>
                <w:sz w:val="13"/>
                <w:szCs w:val="13"/>
                <w:b w:val="1"/>
                <w:bCs w:val="1"/>
                <w:color w:val="auto"/>
                <w:w w:val="89"/>
              </w:rPr>
              <w:t>Recorded</w:t>
            </w:r>
          </w:p>
        </w:tc>
      </w:tr>
      <w:tr>
        <w:trPr>
          <w:trHeight w:val="176"/>
        </w:trPr>
        <w:tc>
          <w:tcPr>
            <w:tcW w:w="1540" w:type="dxa"/>
            <w:vAlign w:val="bottom"/>
          </w:tcPr>
          <w:p>
            <w:pPr>
              <w:spacing w:after="0"/>
              <w:rPr>
                <w:sz w:val="15"/>
                <w:szCs w:val="15"/>
                <w:color w:val="auto"/>
              </w:rPr>
            </w:pPr>
          </w:p>
        </w:tc>
        <w:tc>
          <w:tcPr>
            <w:tcW w:w="1240" w:type="dxa"/>
            <w:vAlign w:val="bottom"/>
            <w:gridSpan w:val="2"/>
          </w:tcPr>
          <w:p>
            <w:pPr>
              <w:ind w:left="320"/>
              <w:spacing w:after="0"/>
              <w:rPr>
                <w:sz w:val="20"/>
                <w:szCs w:val="20"/>
                <w:color w:val="auto"/>
              </w:rPr>
            </w:pPr>
            <w:r>
              <w:rPr>
                <w:rFonts w:ascii="Arial" w:cs="Arial" w:eastAsia="Arial" w:hAnsi="Arial"/>
                <w:sz w:val="13"/>
                <w:szCs w:val="13"/>
                <w:b w:val="1"/>
                <w:bCs w:val="1"/>
                <w:color w:val="auto"/>
              </w:rPr>
              <w:t>of Loans</w:t>
            </w:r>
          </w:p>
        </w:tc>
        <w:tc>
          <w:tcPr>
            <w:tcW w:w="220" w:type="dxa"/>
            <w:vAlign w:val="bottom"/>
          </w:tcPr>
          <w:p>
            <w:pPr>
              <w:spacing w:after="0"/>
              <w:rPr>
                <w:sz w:val="15"/>
                <w:szCs w:val="15"/>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Investment</w:t>
            </w:r>
          </w:p>
        </w:tc>
        <w:tc>
          <w:tcPr>
            <w:tcW w:w="260" w:type="dxa"/>
            <w:vAlign w:val="bottom"/>
          </w:tcPr>
          <w:p>
            <w:pPr>
              <w:spacing w:after="0"/>
              <w:rPr>
                <w:sz w:val="15"/>
                <w:szCs w:val="15"/>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Investment</w:t>
            </w: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of Loans</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Investment</w:t>
            </w:r>
          </w:p>
        </w:tc>
        <w:tc>
          <w:tcPr>
            <w:tcW w:w="240" w:type="dxa"/>
            <w:vAlign w:val="bottom"/>
          </w:tcPr>
          <w:p>
            <w:pPr>
              <w:spacing w:after="0"/>
              <w:rPr>
                <w:sz w:val="15"/>
                <w:szCs w:val="15"/>
                <w:color w:val="auto"/>
              </w:rPr>
            </w:pPr>
          </w:p>
        </w:tc>
        <w:tc>
          <w:tcPr>
            <w:tcW w:w="1520" w:type="dxa"/>
            <w:vAlign w:val="bottom"/>
          </w:tcPr>
          <w:p>
            <w:pPr>
              <w:jc w:val="center"/>
              <w:ind w:right="171"/>
              <w:spacing w:after="0"/>
              <w:rPr>
                <w:sz w:val="20"/>
                <w:szCs w:val="20"/>
                <w:color w:val="auto"/>
              </w:rPr>
            </w:pPr>
            <w:r>
              <w:rPr>
                <w:rFonts w:ascii="Arial" w:cs="Arial" w:eastAsia="Arial" w:hAnsi="Arial"/>
                <w:sz w:val="13"/>
                <w:szCs w:val="13"/>
                <w:b w:val="1"/>
                <w:bCs w:val="1"/>
                <w:color w:val="auto"/>
                <w:w w:val="93"/>
              </w:rPr>
              <w:t>Investment</w:t>
            </w:r>
          </w:p>
        </w:tc>
      </w:tr>
      <w:tr>
        <w:trPr>
          <w:trHeight w:val="239"/>
        </w:trPr>
        <w:tc>
          <w:tcPr>
            <w:tcW w:w="1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mortgages</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7"/>
                <w:szCs w:val="17"/>
                <w:color w:val="auto"/>
              </w:rPr>
              <w:t>319,667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7"/>
                <w:szCs w:val="17"/>
                <w:color w:val="auto"/>
              </w:rPr>
              <w:t>272,753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7"/>
                <w:szCs w:val="17"/>
                <w:color w:val="auto"/>
              </w:rPr>
              <w:t>191,158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7"/>
                <w:szCs w:val="17"/>
                <w:color w:val="auto"/>
              </w:rPr>
              <w:t>190,893</w:t>
            </w:r>
          </w:p>
        </w:tc>
      </w:tr>
      <w:tr>
        <w:trPr>
          <w:trHeight w:val="20"/>
        </w:trPr>
        <w:tc>
          <w:tcPr>
            <w:tcW w:w="1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Troubled debt restructurings that subsequently defaulted during the period were as follows ($ in thousands):</w:t>
      </w:r>
    </w:p>
    <w:p>
      <w:pPr>
        <w:spacing w:after="0" w:line="206" w:lineRule="exact"/>
        <w:rPr>
          <w:sz w:val="20"/>
          <w:szCs w:val="20"/>
          <w:color w:val="auto"/>
        </w:rPr>
      </w:pPr>
    </w:p>
    <w:tbl>
      <w:tblPr>
        <w:tblLayout w:type="fixed"/>
        <w:tblInd w:w="154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640"/>
              <w:spacing w:after="0"/>
              <w:rPr>
                <w:sz w:val="20"/>
                <w:szCs w:val="20"/>
                <w:color w:val="auto"/>
              </w:rPr>
            </w:pPr>
            <w:r>
              <w:rPr>
                <w:rFonts w:ascii="Arial" w:cs="Arial" w:eastAsia="Arial" w:hAnsi="Arial"/>
                <w:sz w:val="13"/>
                <w:szCs w:val="13"/>
                <w:b w:val="1"/>
                <w:bCs w:val="1"/>
                <w:color w:val="auto"/>
                <w:w w:val="93"/>
              </w:rPr>
              <w:t>For the Years Ended December 31,</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41"/>
        </w:trPr>
        <w:tc>
          <w:tcPr>
            <w:tcW w:w="2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2012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211"/>
              <w:spacing w:after="0"/>
              <w:rPr>
                <w:sz w:val="20"/>
                <w:szCs w:val="20"/>
                <w:color w:val="auto"/>
              </w:rPr>
            </w:pPr>
            <w:r>
              <w:rPr>
                <w:rFonts w:ascii="Arial" w:cs="Arial" w:eastAsia="Arial" w:hAnsi="Arial"/>
                <w:sz w:val="13"/>
                <w:szCs w:val="13"/>
                <w:b w:val="1"/>
                <w:bCs w:val="1"/>
                <w:color w:val="auto"/>
                <w:w w:val="89"/>
              </w:rPr>
              <w:t>2011</w:t>
            </w:r>
          </w:p>
        </w:tc>
      </w:tr>
      <w:tr>
        <w:trPr>
          <w:trHeight w:val="139"/>
        </w:trPr>
        <w:tc>
          <w:tcPr>
            <w:tcW w:w="2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4"/>
          </w:tcPr>
          <w:p>
            <w:pPr>
              <w:jc w:val="center"/>
              <w:ind w:right="914"/>
              <w:spacing w:after="0" w:line="139" w:lineRule="exact"/>
              <w:rPr>
                <w:sz w:val="20"/>
                <w:szCs w:val="20"/>
                <w:color w:val="auto"/>
              </w:rPr>
            </w:pPr>
            <w:r>
              <w:rPr>
                <w:rFonts w:ascii="Arial" w:cs="Arial" w:eastAsia="Arial" w:hAnsi="Arial"/>
                <w:sz w:val="13"/>
                <w:szCs w:val="13"/>
                <w:b w:val="1"/>
                <w:bCs w:val="1"/>
                <w:color w:val="auto"/>
                <w:w w:val="93"/>
              </w:rPr>
              <w:t>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71"/>
              <w:spacing w:after="0" w:line="139" w:lineRule="exact"/>
              <w:rPr>
                <w:sz w:val="20"/>
                <w:szCs w:val="20"/>
                <w:color w:val="auto"/>
              </w:rPr>
            </w:pPr>
            <w:r>
              <w:rPr>
                <w:rFonts w:ascii="Arial" w:cs="Arial" w:eastAsia="Arial" w:hAnsi="Arial"/>
                <w:sz w:val="13"/>
                <w:szCs w:val="13"/>
                <w:b w:val="1"/>
                <w:bCs w:val="1"/>
                <w:color w:val="auto"/>
                <w:w w:val="91"/>
              </w:rPr>
              <w:t>Outstanding</w:t>
            </w:r>
          </w:p>
        </w:tc>
      </w:tr>
      <w:tr>
        <w:trPr>
          <w:trHeight w:val="137"/>
        </w:trPr>
        <w:tc>
          <w:tcPr>
            <w:tcW w:w="2320" w:type="dxa"/>
            <w:vAlign w:val="bottom"/>
          </w:tcPr>
          <w:p>
            <w:pPr>
              <w:spacing w:after="0"/>
              <w:rPr>
                <w:sz w:val="11"/>
                <w:szCs w:val="11"/>
                <w:color w:val="auto"/>
              </w:rPr>
            </w:pPr>
          </w:p>
        </w:tc>
        <w:tc>
          <w:tcPr>
            <w:tcW w:w="960" w:type="dxa"/>
            <w:vAlign w:val="bottom"/>
          </w:tcPr>
          <w:p>
            <w:pPr>
              <w:ind w:left="380"/>
              <w:spacing w:after="0" w:line="137" w:lineRule="exact"/>
              <w:rPr>
                <w:sz w:val="20"/>
                <w:szCs w:val="20"/>
                <w:color w:val="auto"/>
              </w:rPr>
            </w:pPr>
            <w:r>
              <w:rPr>
                <w:rFonts w:ascii="Arial" w:cs="Arial" w:eastAsia="Arial" w:hAnsi="Arial"/>
                <w:sz w:val="13"/>
                <w:szCs w:val="13"/>
                <w:b w:val="1"/>
                <w:bCs w:val="1"/>
                <w:color w:val="auto"/>
              </w:rPr>
              <w:t>Number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left="449"/>
              <w:spacing w:after="0" w:line="137" w:lineRule="exact"/>
              <w:rPr>
                <w:sz w:val="20"/>
                <w:szCs w:val="20"/>
                <w:color w:val="auto"/>
              </w:rPr>
            </w:pPr>
            <w:r>
              <w:rPr>
                <w:rFonts w:ascii="Arial" w:cs="Arial" w:eastAsia="Arial" w:hAnsi="Arial"/>
                <w:sz w:val="13"/>
                <w:szCs w:val="13"/>
                <w:b w:val="1"/>
                <w:bCs w:val="1"/>
                <w:color w:val="auto"/>
                <w:w w:val="93"/>
              </w:rPr>
              <w:t>Recorded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300"/>
              <w:spacing w:after="0" w:line="137"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ind w:right="71"/>
              <w:spacing w:after="0" w:line="137" w:lineRule="exact"/>
              <w:rPr>
                <w:sz w:val="20"/>
                <w:szCs w:val="20"/>
                <w:color w:val="auto"/>
              </w:rPr>
            </w:pPr>
            <w:r>
              <w:rPr>
                <w:rFonts w:ascii="Arial" w:cs="Arial" w:eastAsia="Arial" w:hAnsi="Arial"/>
                <w:sz w:val="13"/>
                <w:szCs w:val="13"/>
                <w:b w:val="1"/>
                <w:bCs w:val="1"/>
                <w:color w:val="auto"/>
                <w:w w:val="89"/>
              </w:rPr>
              <w:t>Recorded</w:t>
            </w:r>
          </w:p>
        </w:tc>
      </w:tr>
      <w:tr>
        <w:trPr>
          <w:trHeight w:val="176"/>
        </w:trPr>
        <w:tc>
          <w:tcPr>
            <w:tcW w:w="2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of Loans</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449"/>
              <w:spacing w:after="0"/>
              <w:rPr>
                <w:sz w:val="20"/>
                <w:szCs w:val="20"/>
                <w:color w:val="auto"/>
              </w:rPr>
            </w:pPr>
            <w:r>
              <w:rPr>
                <w:rFonts w:ascii="Arial" w:cs="Arial" w:eastAsia="Arial" w:hAnsi="Arial"/>
                <w:sz w:val="13"/>
                <w:szCs w:val="13"/>
                <w:b w:val="1"/>
                <w:bCs w:val="1"/>
                <w:color w:val="auto"/>
                <w:w w:val="93"/>
              </w:rPr>
              <w:t>Investment</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of Loans</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Investment</w:t>
            </w:r>
          </w:p>
        </w:tc>
      </w:tr>
      <w:tr>
        <w:trPr>
          <w:trHeight w:val="23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Senior mortgages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0"/>
              </w:rPr>
              <w:t>18,511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7"/>
                <w:szCs w:val="17"/>
                <w:color w:val="auto"/>
              </w:rPr>
              <w:t>28,005</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03"/>
        </w:trPr>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549"/>
              <w:spacing w:after="0"/>
              <w:rPr>
                <w:sz w:val="20"/>
                <w:szCs w:val="20"/>
                <w:color w:val="auto"/>
              </w:rPr>
            </w:pPr>
            <w:r>
              <w:rPr>
                <w:rFonts w:ascii="Arial" w:cs="Arial" w:eastAsia="Arial" w:hAnsi="Arial"/>
                <w:sz w:val="17"/>
                <w:szCs w:val="17"/>
                <w:color w:val="auto"/>
              </w:rPr>
              <w:t>69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Troubled debt restructurings that occurred during the year ended December 31, 2012 included the modifications of performing loans with a combined recorded investment of $64.1 million. The modified terms of these loans granted maturity extensions ranging from one year to three years and included conditional extension options in certain cases dependent on borrower-specific performance hurdles. In each case, the Company believes the borrowers can perform under the modified terms of the loans and continues to classify these loans as performing.</w:t>
      </w:r>
    </w:p>
    <w:p>
      <w:pPr>
        <w:spacing w:after="0" w:line="182" w:lineRule="exact"/>
        <w:rPr>
          <w:sz w:val="20"/>
          <w:szCs w:val="20"/>
          <w:color w:val="auto"/>
        </w:rPr>
      </w:pPr>
    </w:p>
    <w:p>
      <w:pPr>
        <w:jc w:val="both"/>
        <w:ind w:left="1" w:firstLine="596"/>
        <w:spacing w:after="0" w:line="320" w:lineRule="auto"/>
        <w:rPr>
          <w:sz w:val="20"/>
          <w:szCs w:val="20"/>
          <w:color w:val="auto"/>
        </w:rPr>
      </w:pPr>
      <w:r>
        <w:rPr>
          <w:rFonts w:ascii="Arial" w:cs="Arial" w:eastAsia="Arial" w:hAnsi="Arial"/>
          <w:sz w:val="14"/>
          <w:szCs w:val="14"/>
          <w:color w:val="auto"/>
        </w:rPr>
        <w:t>Non-performing loans with a combined recorded investment of $255.6 million were also modified during the year ended December 31, 2012 and continued to be classified as non-performing subsequent to modification. Included in this balance was a loan with a recorded investment of $181.5 million prior to modification, for which the Company agreed to reduce the outstanding principal balance and recorded charge-offs totaling $45.5 million, and also reduce the loan's interest rate. The remaining non-performing loans were granted maturity extensions ranging from one month to seven months and the interest rate was reduced on one loan.</w:t>
      </w:r>
    </w:p>
    <w:p>
      <w:pPr>
        <w:spacing w:after="0" w:line="134" w:lineRule="exact"/>
        <w:rPr>
          <w:sz w:val="20"/>
          <w:szCs w:val="20"/>
          <w:color w:val="auto"/>
        </w:rPr>
      </w:pPr>
    </w:p>
    <w:p>
      <w:pPr>
        <w:jc w:val="both"/>
        <w:ind w:left="1" w:firstLine="596"/>
        <w:spacing w:after="0" w:line="267" w:lineRule="auto"/>
        <w:rPr>
          <w:sz w:val="20"/>
          <w:szCs w:val="20"/>
          <w:color w:val="auto"/>
        </w:rPr>
      </w:pPr>
      <w:r>
        <w:rPr>
          <w:rFonts w:ascii="Arial" w:cs="Arial" w:eastAsia="Arial" w:hAnsi="Arial"/>
          <w:sz w:val="16"/>
          <w:szCs w:val="16"/>
          <w:color w:val="auto"/>
        </w:rPr>
        <w:t>Troubled debt restructurings that occurred during the year ended December 31, 2011 included the modifications of performing loans with a combined recorded investment of $129.2 million. The modified terms of these loans granted maturity extensions ranging from three months to five years and included conditional extension options in certain cases dependent on borrower-specific performance hurdles. The Company reduced the rate on loans with a combined recorded investment of $59.5 million from a combined weighted average rate of 6.2% to 4.1%. In each case, the Company believed the borrowers could perform under the modified terms of the loans and classified these loans as performing after the modification. One of these loans subsequently defaulted.</w:t>
      </w:r>
    </w:p>
    <w:p>
      <w:pPr>
        <w:spacing w:after="0" w:line="168"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Non-performing loans with a combined recorded investment of $62.0 million were also modified during the year ended December 31, 2011 and continued to be classified as non-performing subsequent to modification. Included in this balance was a loan with a recorded investment of $46.1 million, for which the Company granted a maturity extension of six months while also reducing the loan's interest rate. The Company also extended a discounted payoff option on another loan that was classified as non-performing.</w:t>
      </w:r>
    </w:p>
    <w:p>
      <w:pPr>
        <w:spacing w:after="0" w:line="182" w:lineRule="exact"/>
        <w:rPr>
          <w:sz w:val="20"/>
          <w:szCs w:val="20"/>
          <w:color w:val="auto"/>
        </w:rPr>
      </w:pPr>
    </w:p>
    <w:p>
      <w:pPr>
        <w:jc w:val="both"/>
        <w:ind w:left="1" w:firstLine="596"/>
        <w:spacing w:after="0" w:line="310" w:lineRule="auto"/>
        <w:rPr>
          <w:sz w:val="20"/>
          <w:szCs w:val="20"/>
          <w:color w:val="auto"/>
        </w:rPr>
      </w:pPr>
      <w:r>
        <w:rPr>
          <w:rFonts w:ascii="Arial" w:cs="Arial" w:eastAsia="Arial" w:hAnsi="Arial"/>
          <w:sz w:val="14"/>
          <w:szCs w:val="14"/>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December 31, 2012, the Company had $21.6 million of unfunded commitments associated with modified loans considered troubled debt restructurings.</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6—Other Investments</w:t>
      </w:r>
    </w:p>
    <w:p>
      <w:pPr>
        <w:spacing w:after="0" w:line="206"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Company's other investments and its proportionate share of results from equity method investments were as follows ($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3"/>
                <w:szCs w:val="13"/>
                <w:b w:val="1"/>
                <w:bCs w:val="1"/>
                <w:color w:val="auto"/>
              </w:rPr>
              <w:t>Carrying Value as of December 31,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3"/>
                <w:szCs w:val="13"/>
                <w:b w:val="1"/>
                <w:bCs w:val="1"/>
                <w:color w:val="auto"/>
              </w:rPr>
              <w:t>Equity in earnings for the years ended December 31,</w:t>
            </w:r>
          </w:p>
        </w:tc>
      </w:tr>
      <w:tr>
        <w:trPr>
          <w:trHeight w:val="241"/>
        </w:trPr>
        <w:tc>
          <w:tcPr>
            <w:tcW w:w="4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2010</w:t>
            </w: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LNR</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205,773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159,764</w:t>
            </w:r>
          </w:p>
        </w:tc>
        <w:tc>
          <w:tcPr>
            <w:tcW w:w="4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60,669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53,861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1,797</w:t>
            </w:r>
          </w:p>
        </w:tc>
      </w:tr>
      <w:tr>
        <w:trPr>
          <w:trHeight w:val="222"/>
        </w:trPr>
        <w:tc>
          <w:tcPr>
            <w:tcW w:w="4120" w:type="dxa"/>
            <w:vAlign w:val="bottom"/>
          </w:tcPr>
          <w:p>
            <w:pPr>
              <w:ind w:left="20"/>
              <w:spacing w:after="0"/>
              <w:rPr>
                <w:sz w:val="20"/>
                <w:szCs w:val="20"/>
                <w:color w:val="auto"/>
              </w:rPr>
            </w:pPr>
            <w:r>
              <w:rPr>
                <w:rFonts w:ascii="Arial" w:cs="Arial" w:eastAsia="Arial" w:hAnsi="Arial"/>
                <w:sz w:val="17"/>
                <w:szCs w:val="17"/>
                <w:color w:val="auto"/>
              </w:rPr>
              <w:t>Madison Funds</w:t>
            </w:r>
          </w:p>
        </w:tc>
        <w:tc>
          <w:tcPr>
            <w:tcW w:w="28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56,547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7"/>
                <w:szCs w:val="17"/>
                <w:color w:val="auto"/>
              </w:rPr>
              <w:t>103,305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10,246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7"/>
                <w:szCs w:val="17"/>
                <w:color w:val="auto"/>
              </w:rPr>
              <w:t>3,641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7"/>
                <w:szCs w:val="17"/>
                <w:color w:val="auto"/>
              </w:rPr>
              <w:t>9,717</w:t>
            </w: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Oak Hill Funds</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29,840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56,817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5,844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1,918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11,613</w:t>
            </w:r>
          </w:p>
        </w:tc>
      </w:tr>
      <w:tr>
        <w:trPr>
          <w:trHeight w:val="222"/>
        </w:trPr>
        <w:tc>
          <w:tcPr>
            <w:tcW w:w="4120" w:type="dxa"/>
            <w:vAlign w:val="bottom"/>
          </w:tcPr>
          <w:p>
            <w:pPr>
              <w:ind w:left="20"/>
              <w:spacing w:after="0"/>
              <w:rPr>
                <w:sz w:val="20"/>
                <w:szCs w:val="20"/>
                <w:color w:val="auto"/>
              </w:rPr>
            </w:pPr>
            <w:r>
              <w:rPr>
                <w:rFonts w:ascii="Arial" w:cs="Arial" w:eastAsia="Arial" w:hAnsi="Arial"/>
                <w:sz w:val="17"/>
                <w:szCs w:val="17"/>
                <w:color w:val="auto"/>
              </w:rPr>
              <w:t>Real estate equity investments</w:t>
            </w:r>
          </w:p>
        </w:tc>
        <w:tc>
          <w:tcPr>
            <w:tcW w:w="28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47,619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7"/>
                <w:szCs w:val="17"/>
                <w:color w:val="auto"/>
              </w:rPr>
              <w:t>69,100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21,636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7"/>
                <w:szCs w:val="17"/>
                <w:color w:val="auto"/>
              </w:rPr>
              <w:t>2,522</w:t>
            </w: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equity method investments(1)</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47,939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56,849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40,944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26,259</w:t>
            </w:r>
          </w:p>
        </w:tc>
      </w:tr>
      <w:tr>
        <w:trPr>
          <w:trHeight w:val="274"/>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equity method investments</w:t>
            </w:r>
          </w:p>
        </w:tc>
        <w:tc>
          <w:tcPr>
            <w:tcW w:w="280" w:type="dxa"/>
            <w:vAlign w:val="bottom"/>
            <w:tcBorders>
              <w:top w:val="single" w:sz="8" w:color="auto"/>
              <w:bottom w:val="single" w:sz="8" w:color="CCEEFF"/>
            </w:tcBorders>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CCEEFF"/>
            </w:tcBorders>
          </w:tcPr>
          <w:p>
            <w:pPr>
              <w:jc w:val="right"/>
              <w:ind w:right="41"/>
              <w:spacing w:after="0"/>
              <w:rPr>
                <w:sz w:val="20"/>
                <w:szCs w:val="20"/>
                <w:color w:val="auto"/>
              </w:rPr>
            </w:pPr>
            <w:r>
              <w:rPr>
                <w:rFonts w:ascii="Arial" w:cs="Arial" w:eastAsia="Arial" w:hAnsi="Arial"/>
                <w:sz w:val="17"/>
                <w:szCs w:val="17"/>
                <w:color w:val="auto"/>
              </w:rPr>
              <w:t>387,718</w:t>
            </w:r>
          </w:p>
        </w:tc>
        <w:tc>
          <w:tcPr>
            <w:tcW w:w="12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CCEEFF"/>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CCEEFF"/>
            </w:tcBorders>
          </w:tcPr>
          <w:p>
            <w:pPr>
              <w:jc w:val="right"/>
              <w:ind w:right="39"/>
              <w:spacing w:after="0"/>
              <w:rPr>
                <w:sz w:val="20"/>
                <w:szCs w:val="20"/>
                <w:color w:val="auto"/>
              </w:rPr>
            </w:pPr>
            <w:r>
              <w:rPr>
                <w:rFonts w:ascii="Arial" w:cs="Arial" w:eastAsia="Arial" w:hAnsi="Arial"/>
                <w:sz w:val="17"/>
                <w:szCs w:val="17"/>
                <w:color w:val="auto"/>
              </w:rPr>
              <w:t>445,835</w:t>
            </w:r>
          </w:p>
        </w:tc>
        <w:tc>
          <w:tcPr>
            <w:tcW w:w="12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103,009</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95,091</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51,908</w:t>
            </w:r>
          </w:p>
        </w:tc>
      </w:tr>
      <w:tr>
        <w:trPr>
          <w:trHeight w:val="23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11,125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4"/>
        </w:trPr>
        <w:tc>
          <w:tcPr>
            <w:tcW w:w="4120" w:type="dxa"/>
            <w:vAlign w:val="bottom"/>
          </w:tcPr>
          <w:p>
            <w:pPr>
              <w:ind w:left="140"/>
              <w:spacing w:after="0"/>
              <w:rPr>
                <w:sz w:val="20"/>
                <w:szCs w:val="20"/>
                <w:color w:val="auto"/>
              </w:rPr>
            </w:pPr>
            <w:r>
              <w:rPr>
                <w:rFonts w:ascii="Arial" w:cs="Arial" w:eastAsia="Arial" w:hAnsi="Arial"/>
                <w:sz w:val="17"/>
                <w:szCs w:val="17"/>
                <w:color w:val="auto"/>
              </w:rPr>
              <w:t>Total other investments</w:t>
            </w: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398,843</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457,835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line="265" w:lineRule="auto"/>
        <w:tabs>
          <w:tab w:leader="none" w:pos="601"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For the years ended December 31, 2011 and 2010, amounts include $38.4 million and $22.4 million, respectively, of earnings related to Oak Hill Advisors, L.P. and related entities that were sold in October 2011.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1"/>
          </w:cols>
          <w:pgMar w:left="239" w:top="122" w:right="239" w:bottom="1440" w:gutter="0" w:footer="0" w:header="0"/>
        </w:sectPr>
      </w:pPr>
    </w:p>
    <w:bookmarkStart w:id="71" w:name="page72"/>
    <w:bookmarkEnd w:id="71"/>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40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Equity Method Investments</w:t>
      </w:r>
    </w:p>
    <w:p>
      <w:pPr>
        <w:spacing w:after="0" w:line="127" w:lineRule="exact"/>
        <w:rPr>
          <w:sz w:val="20"/>
          <w:szCs w:val="20"/>
          <w:color w:val="auto"/>
        </w:rPr>
      </w:pPr>
    </w:p>
    <w:p>
      <w:pPr>
        <w:jc w:val="both"/>
        <w:ind w:left="1" w:firstLine="596"/>
        <w:spacing w:after="0" w:line="266" w:lineRule="auto"/>
        <w:rPr>
          <w:sz w:val="20"/>
          <w:szCs w:val="20"/>
          <w:color w:val="auto"/>
        </w:rPr>
      </w:pPr>
      <w:r>
        <w:rPr>
          <w:rFonts w:ascii="Arial" w:cs="Arial" w:eastAsia="Arial" w:hAnsi="Arial"/>
          <w:sz w:val="16"/>
          <w:szCs w:val="16"/>
          <w:b w:val="1"/>
          <w:bCs w:val="1"/>
          <w:color w:val="auto"/>
        </w:rPr>
        <w:t>LNR</w:t>
      </w:r>
      <w:r>
        <w:rPr>
          <w:rFonts w:ascii="Arial" w:cs="Arial" w:eastAsia="Arial" w:hAnsi="Arial"/>
          <w:sz w:val="16"/>
          <w:szCs w:val="16"/>
          <w:color w:val="auto"/>
        </w:rPr>
        <w:t>—On July 29, 2010, the Company acquired an ownership interest of approximately 24% in LNR Property Corporation ("LNR"). LNR is a servicer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 During the year ended December 31, 2010, the Company executed the discounted payoff of a separate $25.0 million principal value loan with LNR for which it received proceeds of $24.5 million in full repayment.</w:t>
      </w:r>
    </w:p>
    <w:p>
      <w:pPr>
        <w:spacing w:after="0" w:line="170" w:lineRule="exact"/>
        <w:rPr>
          <w:sz w:val="20"/>
          <w:szCs w:val="20"/>
          <w:color w:val="auto"/>
        </w:rPr>
      </w:pPr>
    </w:p>
    <w:p>
      <w:pPr>
        <w:ind w:left="601"/>
        <w:spacing w:after="0"/>
        <w:rPr>
          <w:sz w:val="20"/>
          <w:szCs w:val="20"/>
          <w:color w:val="auto"/>
        </w:rPr>
      </w:pPr>
      <w:r>
        <w:rPr>
          <w:rFonts w:ascii="Arial" w:cs="Arial" w:eastAsia="Arial" w:hAnsi="Arial"/>
          <w:sz w:val="16"/>
          <w:szCs w:val="16"/>
          <w:color w:val="auto"/>
        </w:rPr>
        <w:t>Subsequent to year end, the Company signed a definitive agreement to sell its interest in LNR (see Note 17—Subsequent Events for further details).</w:t>
      </w:r>
    </w:p>
    <w:p>
      <w:pPr>
        <w:spacing w:after="0" w:line="213"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following table represents the latest available investee level summarized financial information for LNR ($ in thousands)(1):</w:t>
      </w:r>
    </w:p>
    <w:p>
      <w:pPr>
        <w:spacing w:after="0" w:line="13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rPr>
              <w:t>For the Years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41"/>
              <w:spacing w:after="0"/>
              <w:rPr>
                <w:sz w:val="20"/>
                <w:szCs w:val="20"/>
                <w:color w:val="auto"/>
              </w:rPr>
            </w:pPr>
            <w:r>
              <w:rPr>
                <w:rFonts w:ascii="Arial" w:cs="Arial" w:eastAsia="Arial" w:hAnsi="Arial"/>
                <w:sz w:val="13"/>
                <w:szCs w:val="13"/>
                <w:b w:val="1"/>
                <w:bCs w:val="1"/>
                <w:color w:val="auto"/>
                <w:w w:val="92"/>
              </w:rPr>
              <w:t>For the period July 29 to</w:t>
            </w:r>
          </w:p>
        </w:tc>
      </w:tr>
      <w:tr>
        <w:trPr>
          <w:trHeight w:val="176"/>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Ended September 30,</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2"/>
              </w:rPr>
              <w:t>September 30,</w:t>
            </w:r>
          </w:p>
        </w:tc>
      </w:tr>
      <w:tr>
        <w:trPr>
          <w:trHeight w:val="241"/>
        </w:trPr>
        <w:tc>
          <w:tcPr>
            <w:tcW w:w="20" w:type="dxa"/>
            <w:vAlign w:val="bottom"/>
            <w:tcBorders>
              <w:bottom w:val="single" w:sz="8" w:color="CCEEFF"/>
            </w:tcBorders>
          </w:tcPr>
          <w:p>
            <w:pPr>
              <w:spacing w:after="0"/>
              <w:rPr>
                <w:sz w:val="20"/>
                <w:szCs w:val="20"/>
                <w:color w:val="auto"/>
              </w:rPr>
            </w:pPr>
          </w:p>
        </w:tc>
        <w:tc>
          <w:tcPr>
            <w:tcW w:w="60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9"/>
              </w:rPr>
              <w:t>2010</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Income Statements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Total revenue(2)</w:t>
            </w:r>
          </w:p>
        </w:tc>
        <w:tc>
          <w:tcPr>
            <w:tcW w:w="1040" w:type="dxa"/>
            <w:vAlign w:val="bottom"/>
          </w:tcPr>
          <w:p>
            <w:pPr>
              <w:jc w:val="right"/>
              <w:ind w:right="841"/>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62"/>
              <w:spacing w:after="0"/>
              <w:rPr>
                <w:sz w:val="20"/>
                <w:szCs w:val="20"/>
                <w:color w:val="auto"/>
              </w:rPr>
            </w:pPr>
            <w:r>
              <w:rPr>
                <w:rFonts w:ascii="Arial" w:cs="Arial" w:eastAsia="Arial" w:hAnsi="Arial"/>
                <w:sz w:val="17"/>
                <w:szCs w:val="17"/>
                <w:color w:val="auto"/>
                <w:w w:val="84"/>
              </w:rPr>
              <w:t>332,902</w:t>
            </w:r>
          </w:p>
        </w:tc>
        <w:tc>
          <w:tcPr>
            <w:tcW w:w="20" w:type="dxa"/>
            <w:vAlign w:val="bottom"/>
          </w:tcPr>
          <w:p>
            <w:pPr>
              <w:spacing w:after="0"/>
              <w:rPr>
                <w:sz w:val="19"/>
                <w:szCs w:val="19"/>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327,032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81"/>
              <w:spacing w:after="0"/>
              <w:rPr>
                <w:sz w:val="20"/>
                <w:szCs w:val="20"/>
                <w:color w:val="auto"/>
              </w:rPr>
            </w:pPr>
            <w:r>
              <w:rPr>
                <w:rFonts w:ascii="Arial" w:cs="Arial" w:eastAsia="Arial" w:hAnsi="Arial"/>
                <w:sz w:val="17"/>
                <w:szCs w:val="17"/>
                <w:color w:val="auto"/>
              </w:rPr>
              <w:t>40,022</w:t>
            </w: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 (benefit)(3)</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7"/>
                <w:szCs w:val="17"/>
                <w:color w:val="auto"/>
              </w:rPr>
              <w:t>6,731</w:t>
            </w: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(76,558)</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685</w:t>
            </w: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Net income attributable to LNR</w:t>
            </w:r>
          </w:p>
        </w:tc>
        <w:tc>
          <w:tcPr>
            <w:tcW w:w="1040" w:type="dxa"/>
            <w:vAlign w:val="bottom"/>
          </w:tcPr>
          <w:p>
            <w:pPr>
              <w:jc w:val="right"/>
              <w:ind w:right="841"/>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62"/>
              <w:spacing w:after="0"/>
              <w:rPr>
                <w:sz w:val="20"/>
                <w:szCs w:val="20"/>
                <w:color w:val="auto"/>
              </w:rPr>
            </w:pPr>
            <w:r>
              <w:rPr>
                <w:rFonts w:ascii="Arial" w:cs="Arial" w:eastAsia="Arial" w:hAnsi="Arial"/>
                <w:sz w:val="17"/>
                <w:szCs w:val="17"/>
                <w:color w:val="auto"/>
                <w:w w:val="84"/>
              </w:rPr>
              <w:t>253,039</w:t>
            </w:r>
          </w:p>
        </w:tc>
        <w:tc>
          <w:tcPr>
            <w:tcW w:w="20" w:type="dxa"/>
            <w:vAlign w:val="bottom"/>
          </w:tcPr>
          <w:p>
            <w:pPr>
              <w:spacing w:after="0"/>
              <w:rPr>
                <w:sz w:val="19"/>
                <w:szCs w:val="19"/>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225,190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81"/>
              <w:spacing w:after="0"/>
              <w:rPr>
                <w:sz w:val="20"/>
                <w:szCs w:val="20"/>
                <w:color w:val="auto"/>
              </w:rPr>
            </w:pPr>
            <w:r>
              <w:rPr>
                <w:rFonts w:ascii="Arial" w:cs="Arial" w:eastAsia="Arial" w:hAnsi="Arial"/>
                <w:sz w:val="17"/>
                <w:szCs w:val="17"/>
                <w:color w:val="auto"/>
              </w:rPr>
              <w:t>7,495</w:t>
            </w: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iStar's ownership percentage</w:t>
            </w:r>
          </w:p>
        </w:tc>
        <w:tc>
          <w:tcPr>
            <w:tcW w:w="10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iStar's equity in earnings from LNR</w:t>
            </w:r>
          </w:p>
        </w:tc>
        <w:tc>
          <w:tcPr>
            <w:tcW w:w="1040" w:type="dxa"/>
            <w:vAlign w:val="bottom"/>
          </w:tcPr>
          <w:p>
            <w:pPr>
              <w:jc w:val="right"/>
              <w:ind w:right="841"/>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62"/>
              <w:spacing w:after="0"/>
              <w:rPr>
                <w:sz w:val="20"/>
                <w:szCs w:val="20"/>
                <w:color w:val="auto"/>
              </w:rPr>
            </w:pPr>
            <w:r>
              <w:rPr>
                <w:rFonts w:ascii="Arial" w:cs="Arial" w:eastAsia="Arial" w:hAnsi="Arial"/>
                <w:sz w:val="17"/>
                <w:szCs w:val="17"/>
                <w:color w:val="auto"/>
                <w:w w:val="99"/>
              </w:rPr>
              <w:t>60,669</w:t>
            </w:r>
          </w:p>
        </w:tc>
        <w:tc>
          <w:tcPr>
            <w:tcW w:w="20" w:type="dxa"/>
            <w:vAlign w:val="bottom"/>
          </w:tcPr>
          <w:p>
            <w:pPr>
              <w:spacing w:after="0"/>
              <w:rPr>
                <w:sz w:val="19"/>
                <w:szCs w:val="19"/>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53,861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81"/>
              <w:spacing w:after="0"/>
              <w:rPr>
                <w:sz w:val="20"/>
                <w:szCs w:val="20"/>
                <w:color w:val="auto"/>
              </w:rPr>
            </w:pPr>
            <w:r>
              <w:rPr>
                <w:rFonts w:ascii="Arial" w:cs="Arial" w:eastAsia="Arial" w:hAnsi="Arial"/>
                <w:sz w:val="17"/>
                <w:szCs w:val="17"/>
                <w:color w:val="auto"/>
              </w:rPr>
              <w:t>1,797</w:t>
            </w:r>
          </w:p>
        </w:tc>
      </w:tr>
      <w:tr>
        <w:trPr>
          <w:trHeight w:val="54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1161"/>
              <w:spacing w:after="0"/>
              <w:rPr>
                <w:sz w:val="20"/>
                <w:szCs w:val="20"/>
                <w:color w:val="auto"/>
              </w:rPr>
            </w:pPr>
            <w:r>
              <w:rPr>
                <w:rFonts w:ascii="Arial" w:cs="Arial" w:eastAsia="Arial" w:hAnsi="Arial"/>
                <w:sz w:val="13"/>
                <w:szCs w:val="13"/>
                <w:b w:val="1"/>
                <w:bCs w:val="1"/>
                <w:color w:val="auto"/>
              </w:rPr>
              <w:t>As of September 30,</w:t>
            </w:r>
          </w:p>
        </w:tc>
      </w:tr>
      <w:tr>
        <w:trPr>
          <w:trHeight w:val="241"/>
        </w:trPr>
        <w:tc>
          <w:tcPr>
            <w:tcW w:w="20" w:type="dxa"/>
            <w:vAlign w:val="bottom"/>
          </w:tcPr>
          <w:p>
            <w:pPr>
              <w:spacing w:after="0"/>
              <w:rPr>
                <w:sz w:val="20"/>
                <w:szCs w:val="20"/>
                <w:color w:val="auto"/>
              </w:rPr>
            </w:pPr>
          </w:p>
        </w:tc>
        <w:tc>
          <w:tcPr>
            <w:tcW w:w="60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b w:val="1"/>
                <w:bCs w:val="1"/>
                <w:color w:val="auto"/>
                <w:w w:val="96"/>
              </w:rPr>
              <w:t>2012</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2011</w:t>
            </w:r>
          </w:p>
        </w:tc>
      </w:tr>
      <w:tr>
        <w:trPr>
          <w:trHeight w:val="226"/>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7"/>
                <w:szCs w:val="17"/>
                <w:color w:val="auto"/>
              </w:rPr>
              <w:t>Total assets(2)</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580" w:type="dxa"/>
            <w:vAlign w:val="bottom"/>
          </w:tcPr>
          <w:p>
            <w:pPr>
              <w:spacing w:after="0"/>
              <w:rPr>
                <w:sz w:val="19"/>
                <w:szCs w:val="19"/>
                <w:color w:val="auto"/>
              </w:rPr>
            </w:pPr>
          </w:p>
        </w:tc>
        <w:tc>
          <w:tcPr>
            <w:tcW w:w="1040" w:type="dxa"/>
            <w:vAlign w:val="bottom"/>
          </w:tcPr>
          <w:p>
            <w:pPr>
              <w:jc w:val="right"/>
              <w:ind w:right="101"/>
              <w:spacing w:after="0"/>
              <w:rPr>
                <w:sz w:val="20"/>
                <w:szCs w:val="20"/>
                <w:color w:val="auto"/>
              </w:rPr>
            </w:pPr>
            <w:r>
              <w:rPr>
                <w:rFonts w:ascii="Arial" w:cs="Arial" w:eastAsia="Arial" w:hAnsi="Arial"/>
                <w:sz w:val="17"/>
                <w:szCs w:val="17"/>
                <w:color w:val="auto"/>
              </w:rPr>
              <w:t>1,384,337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9"/>
                <w:szCs w:val="19"/>
                <w:color w:val="auto"/>
              </w:rPr>
            </w:pPr>
          </w:p>
        </w:tc>
        <w:tc>
          <w:tcPr>
            <w:tcW w:w="1520" w:type="dxa"/>
            <w:vAlign w:val="bottom"/>
          </w:tcPr>
          <w:p>
            <w:pPr>
              <w:jc w:val="right"/>
              <w:ind w:right="101"/>
              <w:spacing w:after="0"/>
              <w:rPr>
                <w:sz w:val="20"/>
                <w:szCs w:val="20"/>
                <w:color w:val="auto"/>
              </w:rPr>
            </w:pPr>
            <w:r>
              <w:rPr>
                <w:rFonts w:ascii="Arial" w:cs="Arial" w:eastAsia="Arial" w:hAnsi="Arial"/>
                <w:sz w:val="17"/>
                <w:szCs w:val="17"/>
                <w:color w:val="auto"/>
              </w:rPr>
              <w:t>1,288,923</w:t>
            </w: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debt(2)</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398,912</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469,631</w:t>
            </w:r>
          </w:p>
        </w:tc>
      </w:tr>
      <w:tr>
        <w:trPr>
          <w:trHeight w:val="222"/>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7"/>
                <w:szCs w:val="17"/>
                <w:color w:val="auto"/>
              </w:rPr>
              <w:t>Total liabilities(2)</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580" w:type="dxa"/>
            <w:vAlign w:val="bottom"/>
          </w:tcPr>
          <w:p>
            <w:pPr>
              <w:spacing w:after="0"/>
              <w:rPr>
                <w:sz w:val="19"/>
                <w:szCs w:val="19"/>
                <w:color w:val="auto"/>
              </w:rPr>
            </w:pPr>
          </w:p>
        </w:tc>
        <w:tc>
          <w:tcPr>
            <w:tcW w:w="1040" w:type="dxa"/>
            <w:vAlign w:val="bottom"/>
          </w:tcPr>
          <w:p>
            <w:pPr>
              <w:jc w:val="right"/>
              <w:ind w:right="101"/>
              <w:spacing w:after="0"/>
              <w:rPr>
                <w:sz w:val="20"/>
                <w:szCs w:val="20"/>
                <w:color w:val="auto"/>
              </w:rPr>
            </w:pPr>
            <w:r>
              <w:rPr>
                <w:rFonts w:ascii="Arial" w:cs="Arial" w:eastAsia="Arial" w:hAnsi="Arial"/>
                <w:sz w:val="17"/>
                <w:szCs w:val="17"/>
                <w:color w:val="auto"/>
              </w:rPr>
              <w:t>517,088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9"/>
                <w:szCs w:val="19"/>
                <w:color w:val="auto"/>
              </w:rPr>
            </w:pPr>
          </w:p>
        </w:tc>
        <w:tc>
          <w:tcPr>
            <w:tcW w:w="1520" w:type="dxa"/>
            <w:vAlign w:val="bottom"/>
          </w:tcPr>
          <w:p>
            <w:pPr>
              <w:jc w:val="right"/>
              <w:ind w:right="101"/>
              <w:spacing w:after="0"/>
              <w:rPr>
                <w:sz w:val="20"/>
                <w:szCs w:val="20"/>
                <w:color w:val="auto"/>
              </w:rPr>
            </w:pPr>
            <w:r>
              <w:rPr>
                <w:rFonts w:ascii="Arial" w:cs="Arial" w:eastAsia="Arial" w:hAnsi="Arial"/>
                <w:sz w:val="17"/>
                <w:szCs w:val="17"/>
                <w:color w:val="auto"/>
              </w:rPr>
              <w:t>576,835</w:t>
            </w: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1,560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39,940</w:t>
            </w:r>
          </w:p>
        </w:tc>
      </w:tr>
      <w:tr>
        <w:trPr>
          <w:trHeight w:val="222"/>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7"/>
                <w:szCs w:val="17"/>
                <w:color w:val="auto"/>
              </w:rPr>
              <w:t>LNR Property LLC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580" w:type="dxa"/>
            <w:vAlign w:val="bottom"/>
          </w:tcPr>
          <w:p>
            <w:pPr>
              <w:spacing w:after="0"/>
              <w:rPr>
                <w:sz w:val="19"/>
                <w:szCs w:val="19"/>
                <w:color w:val="auto"/>
              </w:rPr>
            </w:pPr>
          </w:p>
        </w:tc>
        <w:tc>
          <w:tcPr>
            <w:tcW w:w="1040" w:type="dxa"/>
            <w:vAlign w:val="bottom"/>
          </w:tcPr>
          <w:p>
            <w:pPr>
              <w:jc w:val="right"/>
              <w:ind w:right="101"/>
              <w:spacing w:after="0"/>
              <w:rPr>
                <w:sz w:val="20"/>
                <w:szCs w:val="20"/>
                <w:color w:val="auto"/>
              </w:rPr>
            </w:pPr>
            <w:r>
              <w:rPr>
                <w:rFonts w:ascii="Arial" w:cs="Arial" w:eastAsia="Arial" w:hAnsi="Arial"/>
                <w:sz w:val="17"/>
                <w:szCs w:val="17"/>
                <w:color w:val="auto"/>
              </w:rPr>
              <w:t>865,689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9"/>
                <w:szCs w:val="19"/>
                <w:color w:val="auto"/>
              </w:rPr>
            </w:pPr>
          </w:p>
        </w:tc>
        <w:tc>
          <w:tcPr>
            <w:tcW w:w="1520" w:type="dxa"/>
            <w:vAlign w:val="bottom"/>
          </w:tcPr>
          <w:p>
            <w:pPr>
              <w:jc w:val="right"/>
              <w:ind w:right="101"/>
              <w:spacing w:after="0"/>
              <w:rPr>
                <w:sz w:val="20"/>
                <w:szCs w:val="20"/>
                <w:color w:val="auto"/>
              </w:rPr>
            </w:pPr>
            <w:r>
              <w:rPr>
                <w:rFonts w:ascii="Arial" w:cs="Arial" w:eastAsia="Arial" w:hAnsi="Arial"/>
                <w:sz w:val="17"/>
                <w:szCs w:val="17"/>
                <w:color w:val="auto"/>
              </w:rPr>
              <w:t>672,147</w:t>
            </w: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iStar's ownership percentage</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7"/>
                <w:szCs w:val="17"/>
                <w:color w:val="auto"/>
              </w:rPr>
              <w:t>iStar's equity in LNR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580" w:type="dxa"/>
            <w:vAlign w:val="bottom"/>
          </w:tcPr>
          <w:p>
            <w:pPr>
              <w:spacing w:after="0"/>
              <w:rPr>
                <w:sz w:val="19"/>
                <w:szCs w:val="19"/>
                <w:color w:val="auto"/>
              </w:rPr>
            </w:pPr>
          </w:p>
        </w:tc>
        <w:tc>
          <w:tcPr>
            <w:tcW w:w="1040" w:type="dxa"/>
            <w:vAlign w:val="bottom"/>
          </w:tcPr>
          <w:p>
            <w:pPr>
              <w:jc w:val="right"/>
              <w:ind w:right="101"/>
              <w:spacing w:after="0"/>
              <w:rPr>
                <w:sz w:val="20"/>
                <w:szCs w:val="20"/>
                <w:color w:val="auto"/>
              </w:rPr>
            </w:pPr>
            <w:r>
              <w:rPr>
                <w:rFonts w:ascii="Arial" w:cs="Arial" w:eastAsia="Arial" w:hAnsi="Arial"/>
                <w:sz w:val="17"/>
                <w:szCs w:val="17"/>
                <w:color w:val="auto"/>
              </w:rPr>
              <w:t>205,773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9"/>
                <w:szCs w:val="19"/>
                <w:color w:val="auto"/>
              </w:rPr>
            </w:pPr>
          </w:p>
        </w:tc>
        <w:tc>
          <w:tcPr>
            <w:tcW w:w="1520" w:type="dxa"/>
            <w:vAlign w:val="bottom"/>
          </w:tcPr>
          <w:p>
            <w:pPr>
              <w:jc w:val="right"/>
              <w:ind w:right="101"/>
              <w:spacing w:after="0"/>
              <w:rPr>
                <w:sz w:val="20"/>
                <w:szCs w:val="20"/>
                <w:color w:val="auto"/>
              </w:rPr>
            </w:pPr>
            <w:r>
              <w:rPr>
                <w:rFonts w:ascii="Arial" w:cs="Arial" w:eastAsia="Arial" w:hAnsi="Arial"/>
                <w:sz w:val="17"/>
                <w:szCs w:val="17"/>
                <w:color w:val="auto"/>
              </w:rPr>
              <w:t>159,764</w:t>
            </w:r>
          </w:p>
        </w:tc>
      </w:tr>
    </w:tbl>
    <w:p>
      <w:pPr>
        <w:spacing w:after="0" w:line="15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601" w:hanging="601"/>
        <w:spacing w:after="0" w:line="244" w:lineRule="auto"/>
        <w:tabs>
          <w:tab w:leader="none" w:pos="60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Company records its investment in LNR on a one quarter lag, therefore, amounts in the Company's financial statements for the year ended December 31, 2012 and 2011 are based on balances and results from LNR for the years ended September 30, 2012 and 2011. LNR was acquired in July of 2010, therefore results for the year ended December 31, 2010 are based on balances from LNR for the period July 29, 2010 to September 30, 2010.</w:t>
      </w:r>
    </w:p>
    <w:p>
      <w:pPr>
        <w:jc w:val="both"/>
        <w:ind w:left="601" w:hanging="601"/>
        <w:spacing w:after="0" w:line="239" w:lineRule="auto"/>
        <w:tabs>
          <w:tab w:leader="none" w:pos="601" w:val="left"/>
        </w:tabs>
        <w:numPr>
          <w:ilvl w:val="0"/>
          <w:numId w:val="37"/>
        </w:numPr>
        <w:rPr>
          <w:rFonts w:ascii="Arial" w:cs="Arial" w:eastAsia="Arial" w:hAnsi="Arial"/>
          <w:sz w:val="13"/>
          <w:szCs w:val="13"/>
          <w:color w:val="auto"/>
        </w:rPr>
      </w:pPr>
      <w:r>
        <w:rPr>
          <w:rFonts w:ascii="Arial" w:cs="Arial" w:eastAsia="Arial" w:hAnsi="Arial"/>
          <w:sz w:val="13"/>
          <w:szCs w:val="13"/>
          <w:color w:val="auto"/>
        </w:rPr>
        <w:t>LNR consolidates certain commercial mortgage-backed securities and collateralized debt obligation trusts that are considered VIEs (and for which it is the primary beneficiary), that have been excluded from the amounts presented above. As of September 30, 2012 and 2011, the assets of these trusts, which aggregated approximately $97.52 billion and $126.66 billion, respectively, were the sole source of repayment of the related liabilities, which aggregated approximately $97.21 billion and $126.64 billion, respectively, and are non-recourse to LNR and its equity holders, including the Company. In addition, total revenue presented above includes $95.4 million, $119.0 million and $16.8 million for the years ended September 30, 2012, 2011 and for the period July 29, 2010 to September 30, 2010,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ind w:left="601" w:hanging="601"/>
        <w:spacing w:after="0"/>
        <w:tabs>
          <w:tab w:leader="none" w:pos="601" w:val="left"/>
        </w:tabs>
        <w:numPr>
          <w:ilvl w:val="0"/>
          <w:numId w:val="37"/>
        </w:numPr>
        <w:rPr>
          <w:rFonts w:ascii="Arial" w:cs="Arial" w:eastAsia="Arial" w:hAnsi="Arial"/>
          <w:sz w:val="13"/>
          <w:szCs w:val="13"/>
          <w:color w:val="auto"/>
        </w:rPr>
      </w:pPr>
      <w:r>
        <w:rPr>
          <w:rFonts w:ascii="Arial" w:cs="Arial" w:eastAsia="Arial" w:hAnsi="Arial"/>
          <w:sz w:val="13"/>
          <w:szCs w:val="13"/>
          <w:color w:val="auto"/>
        </w:rPr>
        <w:t>During the year ended December 31, 2011, LNR recorded an income tax benefit from the settlement of certain tax liabilities.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1"/>
          </w:cols>
          <w:pgMar w:left="239" w:top="122" w:right="239" w:bottom="1440" w:gutter="0" w:footer="0" w:header="0"/>
        </w:sectPr>
      </w:pPr>
    </w:p>
    <w:bookmarkStart w:id="72" w:name="page73"/>
    <w:bookmarkEnd w:id="72"/>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jc w:val="both"/>
        <w:ind w:firstLine="397"/>
        <w:spacing w:after="0" w:line="251" w:lineRule="auto"/>
        <w:rPr>
          <w:sz w:val="20"/>
          <w:szCs w:val="20"/>
          <w:color w:val="auto"/>
        </w:rPr>
      </w:pPr>
      <w:r>
        <w:rPr>
          <w:rFonts w:ascii="Arial" w:cs="Arial" w:eastAsia="Arial" w:hAnsi="Arial"/>
          <w:sz w:val="17"/>
          <w:szCs w:val="17"/>
          <w:b w:val="1"/>
          <w:bCs w:val="1"/>
          <w:color w:val="auto"/>
        </w:rPr>
        <w:t>Madison Funds</w:t>
      </w:r>
      <w:r>
        <w:rPr>
          <w:rFonts w:ascii="Arial" w:cs="Arial" w:eastAsia="Arial" w:hAnsi="Arial"/>
          <w:sz w:val="17"/>
          <w:szCs w:val="17"/>
          <w:color w:val="auto"/>
        </w:rPr>
        <w:t>—As of December 31, 2012, the Company owned a 29.52% interest in Madison International Real Estate Fund II, LP, a 32.92% interest in Madison</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Real Estate Fund III, LP and a 29.52% interest in Madison GP1 Investors, LP (collectively, the "Madison Funds"). The Madison Funds invest in ownership positions of entities that own real estate assets. The Company determined that all of these entities are variable interest entities and that an external member is the primary beneficiary.</w:t>
      </w:r>
    </w:p>
    <w:p>
      <w:pPr>
        <w:spacing w:after="0" w:line="101" w:lineRule="exact"/>
        <w:rPr>
          <w:sz w:val="20"/>
          <w:szCs w:val="20"/>
          <w:color w:val="auto"/>
        </w:rPr>
      </w:pPr>
    </w:p>
    <w:p>
      <w:pPr>
        <w:jc w:val="both"/>
        <w:ind w:firstLine="397"/>
        <w:spacing w:after="0" w:line="297" w:lineRule="auto"/>
        <w:rPr>
          <w:sz w:val="20"/>
          <w:szCs w:val="20"/>
          <w:color w:val="auto"/>
        </w:rPr>
      </w:pPr>
      <w:r>
        <w:rPr>
          <w:rFonts w:ascii="Arial" w:cs="Arial" w:eastAsia="Arial" w:hAnsi="Arial"/>
          <w:sz w:val="16"/>
          <w:szCs w:val="16"/>
          <w:b w:val="1"/>
          <w:bCs w:val="1"/>
          <w:color w:val="auto"/>
        </w:rPr>
        <w:t>Oak Hill Funds</w:t>
      </w:r>
      <w:r>
        <w:rPr>
          <w:rFonts w:ascii="Arial" w:cs="Arial" w:eastAsia="Arial" w:hAnsi="Arial"/>
          <w:sz w:val="16"/>
          <w:szCs w:val="16"/>
          <w:color w:val="auto"/>
        </w:rPr>
        <w:t>—As of December 31, 2012, the Company owned a 5.92% interest in OHA Strategic Credit Master Fund, L.P. ("OHASCF"). OHASCF was formed</w:t>
      </w:r>
      <w:r>
        <w:rPr>
          <w:rFonts w:ascii="Arial" w:cs="Arial" w:eastAsia="Arial" w:hAnsi="Arial"/>
          <w:sz w:val="16"/>
          <w:szCs w:val="16"/>
          <w:b w:val="1"/>
          <w:bCs w:val="1"/>
          <w:color w:val="auto"/>
        </w:rPr>
        <w:t xml:space="preserve"> </w:t>
      </w:r>
      <w:r>
        <w:rPr>
          <w:rFonts w:ascii="Arial" w:cs="Arial" w:eastAsia="Arial" w:hAnsi="Arial"/>
          <w:sz w:val="16"/>
          <w:szCs w:val="16"/>
          <w:color w:val="auto"/>
        </w:rPr>
        <w:t>to acquire and manage a diverse portfolio of assets, investing in distressed, stressed and undervalued loans, bonds, equities and other investments.</w:t>
      </w:r>
    </w:p>
    <w:p>
      <w:pPr>
        <w:spacing w:after="0" w:line="66"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6"/>
          <w:szCs w:val="16"/>
          <w:b w:val="1"/>
          <w:bCs w:val="1"/>
          <w:color w:val="auto"/>
        </w:rPr>
        <w:t>Real estate equity investments</w:t>
      </w:r>
      <w:r>
        <w:rPr>
          <w:rFonts w:ascii="Arial" w:cs="Arial" w:eastAsia="Arial" w:hAnsi="Arial"/>
          <w:sz w:val="16"/>
          <w:szCs w:val="16"/>
          <w:color w:val="auto"/>
        </w:rPr>
        <w:t>—As of December 31, 2012, the Company's real estate equity investments included equity interests in real estate ventures ranging</w:t>
      </w:r>
      <w:r>
        <w:rPr>
          <w:rFonts w:ascii="Arial" w:cs="Arial" w:eastAsia="Arial" w:hAnsi="Arial"/>
          <w:sz w:val="16"/>
          <w:szCs w:val="16"/>
          <w:b w:val="1"/>
          <w:bCs w:val="1"/>
          <w:color w:val="auto"/>
        </w:rPr>
        <w:t xml:space="preserve"> </w:t>
      </w:r>
      <w:r>
        <w:rPr>
          <w:rFonts w:ascii="Arial" w:cs="Arial" w:eastAsia="Arial" w:hAnsi="Arial"/>
          <w:sz w:val="16"/>
          <w:szCs w:val="16"/>
          <w:color w:val="auto"/>
        </w:rPr>
        <w:t>from 31% to 70%, comprised of investments of $16.4 million in net lease assets, $25.7 million in operating properties and $5.5 million in land assets. As of December 31, 2011, the Company's real estate equity investments included $16.3 million in net lease assets, $38.0 million in operating properties and $14.8 million in land assets. One of the Company's equity investments in operating properties represents a 33% interest in residential property units. During the year ended December 31, 2012, the Company's earnings from its interest in this property includes income from sales of residential units of $26.0 million.</w:t>
      </w:r>
    </w:p>
    <w:p>
      <w:pPr>
        <w:spacing w:after="0" w:line="90" w:lineRule="exact"/>
        <w:rPr>
          <w:sz w:val="20"/>
          <w:szCs w:val="20"/>
          <w:color w:val="auto"/>
        </w:rPr>
      </w:pPr>
    </w:p>
    <w:p>
      <w:pPr>
        <w:jc w:val="both"/>
        <w:ind w:firstLine="397"/>
        <w:spacing w:after="0" w:line="315" w:lineRule="auto"/>
        <w:rPr>
          <w:sz w:val="20"/>
          <w:szCs w:val="20"/>
          <w:color w:val="auto"/>
        </w:rPr>
      </w:pPr>
      <w:r>
        <w:rPr>
          <w:rFonts w:ascii="Arial" w:cs="Arial" w:eastAsia="Arial" w:hAnsi="Arial"/>
          <w:sz w:val="14"/>
          <w:szCs w:val="14"/>
          <w:b w:val="1"/>
          <w:bCs w:val="1"/>
          <w:color w:val="auto"/>
        </w:rPr>
        <w:t>Oak Hill Advisors</w:t>
      </w:r>
      <w:r>
        <w:rPr>
          <w:rFonts w:ascii="Arial" w:cs="Arial" w:eastAsia="Arial" w:hAnsi="Arial"/>
          <w:sz w:val="14"/>
          <w:szCs w:val="14"/>
          <w:color w:val="auto"/>
        </w:rPr>
        <w:t>—In October 2011, the Company sold a substantial portion of its interests in Oak Hill Advisors, L.P. and related entities for $183.7 million of net</w:t>
      </w:r>
      <w:r>
        <w:rPr>
          <w:rFonts w:ascii="Arial" w:cs="Arial" w:eastAsia="Arial" w:hAnsi="Arial"/>
          <w:sz w:val="14"/>
          <w:szCs w:val="14"/>
          <w:b w:val="1"/>
          <w:bCs w:val="1"/>
          <w:color w:val="auto"/>
        </w:rPr>
        <w:t xml:space="preserve"> </w:t>
      </w:r>
      <w:r>
        <w:rPr>
          <w:rFonts w:ascii="Arial" w:cs="Arial" w:eastAsia="Arial" w:hAnsi="Arial"/>
          <w:sz w:val="14"/>
          <w:szCs w:val="14"/>
          <w:color w:val="auto"/>
        </w:rPr>
        <w:t>cash proceeds, which resulted in a net gain of $30.3 million that was recorded in "Earnings from equity method investments" on the Company's Consolidated Statements of Operations. Glenn R. August, a former director of the Company and the president and senior partner of Oak Hill Advisors, L.P., participated in the transaction as a purchaser. In conjunction with the sale of its interests in Oak Hill Advisors, L.P., the Company retained interests in its share of certain unearned incentive fees of various funds. These fees are contingent on the future performance of the funds and the Company will recognize income related to these fees if and when the amounts are realized.</w:t>
      </w:r>
    </w:p>
    <w:p>
      <w:pPr>
        <w:spacing w:after="0" w:line="18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Other Equity Method Investments</w:t>
      </w:r>
      <w:r>
        <w:rPr>
          <w:rFonts w:ascii="Arial" w:cs="Arial" w:eastAsia="Arial" w:hAnsi="Arial"/>
          <w:sz w:val="17"/>
          <w:szCs w:val="17"/>
          <w:color w:val="auto"/>
        </w:rPr>
        <w:t>—The Company also had smaller investments in several other entities that were accounted for under the equity method. Several</w:t>
      </w:r>
      <w:r>
        <w:rPr>
          <w:rFonts w:ascii="Arial" w:cs="Arial" w:eastAsia="Arial" w:hAnsi="Arial"/>
          <w:sz w:val="17"/>
          <w:szCs w:val="17"/>
          <w:b w:val="1"/>
          <w:bCs w:val="1"/>
          <w:color w:val="auto"/>
        </w:rPr>
        <w:t xml:space="preserve"> </w:t>
      </w:r>
      <w:r>
        <w:rPr>
          <w:rFonts w:ascii="Arial" w:cs="Arial" w:eastAsia="Arial" w:hAnsi="Arial"/>
          <w:sz w:val="17"/>
          <w:szCs w:val="17"/>
          <w:color w:val="auto"/>
        </w:rPr>
        <w:t>of these investments are in real estate related funds or other strategic investment opportunities within niche markets.</w:t>
      </w:r>
    </w:p>
    <w:p>
      <w:pPr>
        <w:spacing w:after="0" w:line="21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Summarized Financial Information</w:t>
      </w:r>
      <w:r>
        <w:rPr>
          <w:rFonts w:ascii="Arial" w:cs="Arial" w:eastAsia="Arial" w:hAnsi="Arial"/>
          <w:sz w:val="17"/>
          <w:szCs w:val="17"/>
          <w:color w:val="auto"/>
        </w:rPr>
        <w:t>—The following table presents the investee level summarized financial information of the Company's equity method</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excluding LNR ($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14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10"/>
          </w:tcPr>
          <w:p>
            <w:pPr>
              <w:jc w:val="right"/>
              <w:ind w:right="501"/>
              <w:spacing w:after="0"/>
              <w:rPr>
                <w:sz w:val="20"/>
                <w:szCs w:val="20"/>
                <w:color w:val="auto"/>
              </w:rPr>
            </w:pPr>
            <w:r>
              <w:rPr>
                <w:rFonts w:ascii="Arial" w:cs="Arial" w:eastAsia="Arial" w:hAnsi="Arial"/>
                <w:sz w:val="13"/>
                <w:szCs w:val="13"/>
                <w:b w:val="1"/>
                <w:bCs w:val="1"/>
                <w:color w:val="auto"/>
              </w:rPr>
              <w:t>For the Years Ended December 31,</w:t>
            </w:r>
          </w:p>
        </w:tc>
        <w:tc>
          <w:tcPr>
            <w:tcW w:w="4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2010</w:t>
            </w:r>
          </w:p>
        </w:tc>
        <w:tc>
          <w:tcPr>
            <w:tcW w:w="4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Statements</w:t>
            </w: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7"/>
                <w:szCs w:val="17"/>
                <w:color w:val="auto"/>
              </w:rPr>
              <w:t>Revenues</w:t>
            </w:r>
          </w:p>
        </w:tc>
        <w:tc>
          <w:tcPr>
            <w:tcW w:w="2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401,870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198,340</w:t>
            </w:r>
          </w:p>
        </w:tc>
        <w:tc>
          <w:tcPr>
            <w:tcW w:w="3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590,265</w:t>
            </w:r>
          </w:p>
        </w:tc>
        <w:tc>
          <w:tcPr>
            <w:tcW w:w="4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parent entities</w:t>
            </w:r>
          </w:p>
        </w:tc>
        <w:tc>
          <w:tcPr>
            <w:tcW w:w="2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304,960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97,066</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342,661</w:t>
            </w:r>
          </w:p>
        </w:tc>
        <w:tc>
          <w:tcPr>
            <w:tcW w:w="40" w:type="dxa"/>
            <w:vAlign w:val="bottom"/>
          </w:tcPr>
          <w:p>
            <w:pPr>
              <w:spacing w:after="0"/>
              <w:rPr>
                <w:sz w:val="19"/>
                <w:szCs w:val="19"/>
                <w:color w:val="auto"/>
              </w:rPr>
            </w:pPr>
          </w:p>
        </w:tc>
      </w:tr>
      <w:tr>
        <w:trPr>
          <w:trHeight w:val="56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40"/>
              <w:spacing w:after="0"/>
              <w:rPr>
                <w:sz w:val="20"/>
                <w:szCs w:val="20"/>
                <w:color w:val="auto"/>
              </w:rPr>
            </w:pPr>
            <w:r>
              <w:rPr>
                <w:rFonts w:ascii="Arial" w:cs="Arial" w:eastAsia="Arial" w:hAnsi="Arial"/>
                <w:sz w:val="13"/>
                <w:szCs w:val="13"/>
                <w:b w:val="1"/>
                <w:bCs w:val="1"/>
                <w:color w:val="auto"/>
              </w:rPr>
              <w:t>As of December 31,</w:t>
            </w:r>
          </w:p>
        </w:tc>
        <w:tc>
          <w:tcPr>
            <w:tcW w:w="40" w:type="dxa"/>
            <w:vAlign w:val="bottom"/>
            <w:tcBorders>
              <w:bottom w:val="single" w:sz="8" w:color="auto"/>
            </w:tcBorders>
          </w:tcPr>
          <w:p>
            <w:pPr>
              <w:spacing w:after="0"/>
              <w:rPr>
                <w:sz w:val="24"/>
                <w:szCs w:val="24"/>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w w:val="89"/>
              </w:rPr>
              <w:t>2012</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2011</w:t>
            </w:r>
          </w:p>
        </w:tc>
        <w:tc>
          <w:tcPr>
            <w:tcW w:w="40" w:type="dxa"/>
            <w:vAlign w:val="bottom"/>
            <w:tcBorders>
              <w:bottom w:val="single" w:sz="8" w:color="auto"/>
            </w:tcBorders>
          </w:tcPr>
          <w:p>
            <w:pPr>
              <w:spacing w:after="0"/>
              <w:rPr>
                <w:sz w:val="20"/>
                <w:szCs w:val="20"/>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Sheets</w:t>
            </w: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Total assets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7"/>
              </w:rPr>
              <w:t>2,830,087</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3,079,736</w:t>
            </w:r>
          </w:p>
        </w:tc>
        <w:tc>
          <w:tcPr>
            <w:tcW w:w="4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163,164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197,246</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29,553</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4,139</w:t>
            </w:r>
          </w:p>
        </w:tc>
        <w:tc>
          <w:tcPr>
            <w:tcW w:w="4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w:t>
            </w: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2,637,370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2,878,351</w:t>
            </w:r>
          </w:p>
        </w:tc>
        <w:tc>
          <w:tcPr>
            <w:tcW w:w="40" w:type="dxa"/>
            <w:vAlign w:val="bottom"/>
            <w:tcBorders>
              <w:bottom w:val="single" w:sz="8" w:color="CCEEFF"/>
            </w:tcBorders>
            <w:shd w:val="clear" w:color="auto" w:fill="CCEEFF"/>
          </w:tcPr>
          <w:p>
            <w:pPr>
              <w:spacing w:after="0"/>
              <w:rPr>
                <w:sz w:val="19"/>
                <w:szCs w:val="19"/>
                <w:color w:val="auto"/>
              </w:rPr>
            </w:pPr>
          </w:p>
        </w:tc>
      </w:tr>
      <w:tr>
        <w:trPr>
          <w:trHeight w:val="81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20" w:type="dxa"/>
            <w:vAlign w:val="bottom"/>
          </w:tcPr>
          <w:p>
            <w:pPr>
              <w:jc w:val="right"/>
              <w:ind w:right="877"/>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3" w:name="page74"/>
    <w:bookmarkEnd w:id="73"/>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7—Other Assets and Other Liabilities</w:t>
      </w:r>
    </w:p>
    <w:p>
      <w:pPr>
        <w:spacing w:after="0" w:line="206" w:lineRule="exact"/>
        <w:rPr>
          <w:sz w:val="20"/>
          <w:szCs w:val="20"/>
          <w:color w:val="auto"/>
        </w:rPr>
      </w:pPr>
    </w:p>
    <w:p>
      <w:pPr>
        <w:ind w:left="401"/>
        <w:spacing w:after="0"/>
        <w:rPr>
          <w:sz w:val="20"/>
          <w:szCs w:val="20"/>
          <w:color w:val="auto"/>
        </w:rPr>
      </w:pPr>
      <w:r>
        <w:rPr>
          <w:rFonts w:ascii="Arial" w:cs="Arial" w:eastAsia="Arial" w:hAnsi="Arial"/>
          <w:sz w:val="17"/>
          <w:szCs w:val="17"/>
          <w:color w:val="auto"/>
        </w:rPr>
        <w:t>Deferred expenses and other assets, net, consist of the following items ($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21" w:type="dxa"/>
        <w:tblCellMar>
          <w:top w:w="0" w:type="dxa"/>
          <w:left w:w="0" w:type="dxa"/>
          <w:bottom w:w="0" w:type="dxa"/>
          <w:right w:w="0" w:type="dxa"/>
        </w:tblCellMar>
      </w:tblPr>
      <w:tr>
        <w:trPr>
          <w:trHeight w:val="176"/>
        </w:trPr>
        <w:tc>
          <w:tcPr>
            <w:tcW w:w="78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241"/>
        </w:trPr>
        <w:tc>
          <w:tcPr>
            <w:tcW w:w="78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2011</w:t>
            </w:r>
          </w:p>
        </w:tc>
      </w:tr>
      <w:tr>
        <w:trPr>
          <w:trHeight w:val="22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financing fees, net(1)</w:t>
            </w:r>
          </w:p>
        </w:tc>
        <w:tc>
          <w:tcPr>
            <w:tcW w:w="106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w w:val="99"/>
              </w:rPr>
              <w:t>26,629</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21,443</w:t>
            </w: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Leasing costs, net(2)</w:t>
            </w:r>
          </w:p>
        </w:tc>
        <w:tc>
          <w:tcPr>
            <w:tcW w:w="10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7"/>
                <w:szCs w:val="17"/>
                <w:color w:val="auto"/>
                <w:w w:val="99"/>
              </w:rPr>
              <w:t>20,205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12,423</w:t>
            </w:r>
          </w:p>
        </w:tc>
      </w:tr>
      <w:tr>
        <w:trPr>
          <w:trHeight w:val="26"/>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receivables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w w:val="99"/>
              </w:rPr>
              <w:t>11,517</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23,943</w:t>
            </w: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Corporate furniture, fixtures and equipment, net(3)</w:t>
            </w:r>
          </w:p>
        </w:tc>
        <w:tc>
          <w:tcPr>
            <w:tcW w:w="10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7"/>
                <w:szCs w:val="17"/>
                <w:color w:val="auto"/>
              </w:rPr>
              <w:t>7,537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9,034</w:t>
            </w:r>
          </w:p>
        </w:tc>
      </w:tr>
      <w:tr>
        <w:trPr>
          <w:trHeight w:val="26"/>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5,218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5,441</w:t>
            </w: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10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7"/>
                <w:szCs w:val="17"/>
                <w:color w:val="auto"/>
                <w:w w:val="99"/>
              </w:rPr>
              <w:t>22,884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18,555</w:t>
            </w:r>
          </w:p>
        </w:tc>
      </w:tr>
      <w:tr>
        <w:trPr>
          <w:trHeight w:val="26"/>
        </w:trPr>
        <w:tc>
          <w:tcPr>
            <w:tcW w:w="78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expenses and other assets, net</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9"/>
              </w:rPr>
              <w:t>93,990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90,839</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Accumulated amortization on deferred financing fees was $4.1 million and $13.3 million as of December 31, 2012 and 2011, respectively.</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Accumulated amortization on leasing costs was $6.6 million and $5.5 million as of December 31, 2012 and 2011, respectively.</w:t>
      </w:r>
    </w:p>
    <w:p>
      <w:pPr>
        <w:ind w:left="601" w:hanging="601"/>
        <w:spacing w:after="0"/>
        <w:tabs>
          <w:tab w:leader="none" w:pos="6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Accumulated depreciation on corporate furniture, fixtures and equipment was $6.2 million and $8.1 million as of December 31, 2012 and 2011, respectively.</w:t>
      </w:r>
    </w:p>
    <w:p>
      <w:pPr>
        <w:spacing w:after="0" w:line="142"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Accounts payable, accrued expenses and other liabilities consist of the following items ($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21" w:type="dxa"/>
        <w:tblCellMar>
          <w:top w:w="0" w:type="dxa"/>
          <w:left w:w="0" w:type="dxa"/>
          <w:bottom w:w="0" w:type="dxa"/>
          <w:right w:w="0" w:type="dxa"/>
        </w:tblCellMar>
      </w:tblPr>
      <w:tr>
        <w:trPr>
          <w:trHeight w:val="176"/>
        </w:trPr>
        <w:tc>
          <w:tcPr>
            <w:tcW w:w="78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241"/>
        </w:trPr>
        <w:tc>
          <w:tcPr>
            <w:tcW w:w="78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2011</w:t>
            </w:r>
          </w:p>
        </w:tc>
      </w:tr>
      <w:tr>
        <w:trPr>
          <w:trHeight w:val="22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50,467</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36,332</w:t>
            </w: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10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29,521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30,122</w:t>
            </w:r>
          </w:p>
        </w:tc>
      </w:tr>
      <w:tr>
        <w:trPr>
          <w:trHeight w:val="26"/>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Security deposits and other investment deposits</w:t>
            </w:r>
          </w:p>
        </w:tc>
        <w:tc>
          <w:tcPr>
            <w:tcW w:w="10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13,717</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12,192</w:t>
            </w: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Unearned operating lease income</w:t>
            </w:r>
          </w:p>
        </w:tc>
        <w:tc>
          <w:tcPr>
            <w:tcW w:w="10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11,294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10,073</w:t>
            </w:r>
          </w:p>
        </w:tc>
      </w:tr>
      <w:tr>
        <w:trPr>
          <w:trHeight w:val="26"/>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taxes payable</w:t>
            </w:r>
          </w:p>
        </w:tc>
        <w:tc>
          <w:tcPr>
            <w:tcW w:w="10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8,206</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6,495</w:t>
            </w: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Derivative liabilities</w:t>
            </w:r>
          </w:p>
        </w:tc>
        <w:tc>
          <w:tcPr>
            <w:tcW w:w="10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3,435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2,373</w:t>
            </w:r>
          </w:p>
        </w:tc>
      </w:tr>
      <w:tr>
        <w:trPr>
          <w:trHeight w:val="26"/>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15,820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7,770</w:t>
            </w:r>
          </w:p>
        </w:tc>
      </w:tr>
      <w:tr>
        <w:trPr>
          <w:trHeight w:val="234"/>
        </w:trPr>
        <w:tc>
          <w:tcPr>
            <w:tcW w:w="7880" w:type="dxa"/>
            <w:vAlign w:val="bottom"/>
          </w:tcPr>
          <w:p>
            <w:pPr>
              <w:ind w:left="20"/>
              <w:spacing w:after="0"/>
              <w:rPr>
                <w:sz w:val="20"/>
                <w:szCs w:val="20"/>
                <w:color w:val="auto"/>
              </w:rPr>
            </w:pPr>
            <w:r>
              <w:rPr>
                <w:rFonts w:ascii="Arial" w:cs="Arial" w:eastAsia="Arial" w:hAnsi="Arial"/>
                <w:sz w:val="17"/>
                <w:szCs w:val="17"/>
                <w:color w:val="auto"/>
              </w:rPr>
              <w:t>Accounts payable, accrued expenses and other liabilities</w:t>
            </w: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w w:val="91"/>
              </w:rPr>
              <w:t>132,460</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105,357</w:t>
            </w:r>
          </w:p>
        </w:tc>
      </w:tr>
      <w:tr>
        <w:trPr>
          <w:trHeight w:val="20"/>
        </w:trPr>
        <w:tc>
          <w:tcPr>
            <w:tcW w:w="7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1"/>
          </w:cols>
          <w:pgMar w:left="239" w:top="121" w:right="239" w:bottom="1440" w:gutter="0" w:footer="0" w:header="0"/>
        </w:sectPr>
      </w:pPr>
    </w:p>
    <w:bookmarkStart w:id="74" w:name="page75"/>
    <w:bookmarkEnd w:id="74"/>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8—Debt Obligations, net</w:t>
      </w:r>
    </w:p>
    <w:p>
      <w:pPr>
        <w:spacing w:after="0" w:line="206"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As of December 31, 2012 and 2011, the Company's debt obligations were as follows ($ in thousands):</w:t>
      </w:r>
    </w:p>
    <w:p>
      <w:pPr>
        <w:spacing w:after="0" w:line="206" w:lineRule="exact"/>
        <w:rPr>
          <w:sz w:val="20"/>
          <w:szCs w:val="20"/>
          <w:color w:val="auto"/>
        </w:rPr>
      </w:pPr>
    </w:p>
    <w:tbl>
      <w:tblPr>
        <w:tblLayout w:type="fixed"/>
        <w:tblInd w:w="21"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3"/>
                <w:szCs w:val="13"/>
                <w:b w:val="1"/>
                <w:bCs w:val="1"/>
                <w:color w:val="auto"/>
              </w:rPr>
              <w:t>Carrying Value as of December 31,</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29"/>
        </w:trPr>
        <w:tc>
          <w:tcPr>
            <w:tcW w:w="4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right"/>
              <w:ind w:right="621"/>
              <w:spacing w:after="0" w:line="129" w:lineRule="exact"/>
              <w:rPr>
                <w:sz w:val="20"/>
                <w:szCs w:val="20"/>
                <w:color w:val="auto"/>
              </w:rPr>
            </w:pPr>
            <w:r>
              <w:rPr>
                <w:rFonts w:ascii="Arial" w:cs="Arial" w:eastAsia="Arial" w:hAnsi="Arial"/>
                <w:sz w:val="13"/>
                <w:szCs w:val="13"/>
                <w:b w:val="1"/>
                <w:bCs w:val="1"/>
                <w:color w:val="auto"/>
              </w:rPr>
              <w:t>Stated</w:t>
            </w:r>
          </w:p>
        </w:tc>
        <w:tc>
          <w:tcPr>
            <w:tcW w:w="460" w:type="dxa"/>
            <w:vAlign w:val="bottom"/>
          </w:tcPr>
          <w:p>
            <w:pPr>
              <w:spacing w:after="0"/>
              <w:rPr>
                <w:sz w:val="11"/>
                <w:szCs w:val="11"/>
                <w:color w:val="auto"/>
              </w:rPr>
            </w:pPr>
          </w:p>
        </w:tc>
        <w:tc>
          <w:tcPr>
            <w:tcW w:w="1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Scheduled</w:t>
            </w:r>
          </w:p>
        </w:tc>
      </w:tr>
      <w:tr>
        <w:trPr>
          <w:trHeight w:val="176"/>
        </w:trPr>
        <w:tc>
          <w:tcPr>
            <w:tcW w:w="4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Interest Rates</w:t>
            </w:r>
          </w:p>
        </w:tc>
        <w:tc>
          <w:tcPr>
            <w:tcW w:w="4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Maturity Date</w:t>
            </w:r>
          </w:p>
        </w:tc>
      </w:tr>
      <w:tr>
        <w:trPr>
          <w:trHeight w:val="22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Secured credit facilities and term loans:</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2011 Tranche A-1 Facility</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961,580</w:t>
            </w:r>
          </w:p>
        </w:tc>
        <w:tc>
          <w:tcPr>
            <w:tcW w:w="100" w:type="dxa"/>
            <w:vAlign w:val="bottom"/>
          </w:tcPr>
          <w:p>
            <w:pPr>
              <w:spacing w:after="0"/>
              <w:rPr>
                <w:sz w:val="19"/>
                <w:szCs w:val="19"/>
                <w:color w:val="auto"/>
              </w:rPr>
            </w:pPr>
          </w:p>
        </w:tc>
        <w:tc>
          <w:tcPr>
            <w:tcW w:w="1760" w:type="dxa"/>
            <w:vAlign w:val="bottom"/>
          </w:tcPr>
          <w:p>
            <w:pPr>
              <w:jc w:val="right"/>
              <w:ind w:right="81"/>
              <w:spacing w:after="0"/>
              <w:rPr>
                <w:sz w:val="20"/>
                <w:szCs w:val="20"/>
                <w:color w:val="auto"/>
              </w:rPr>
            </w:pPr>
            <w:r>
              <w:rPr>
                <w:rFonts w:ascii="Arial" w:cs="Arial" w:eastAsia="Arial" w:hAnsi="Arial"/>
                <w:sz w:val="17"/>
                <w:szCs w:val="17"/>
                <w:color w:val="auto"/>
              </w:rPr>
              <w:t>LIBOR + 3.75%</w:t>
            </w:r>
          </w:p>
        </w:tc>
        <w:tc>
          <w:tcPr>
            <w:tcW w:w="460" w:type="dxa"/>
            <w:vAlign w:val="bottom"/>
          </w:tcPr>
          <w:p>
            <w:pPr>
              <w:jc w:val="right"/>
              <w:ind w:right="157"/>
              <w:spacing w:after="0"/>
              <w:rPr>
                <w:sz w:val="20"/>
                <w:szCs w:val="20"/>
                <w:color w:val="auto"/>
              </w:rPr>
            </w:pPr>
            <w:r>
              <w:rPr>
                <w:rFonts w:ascii="Arial" w:cs="Arial" w:eastAsia="Arial" w:hAnsi="Arial"/>
                <w:sz w:val="17"/>
                <w:szCs w:val="17"/>
                <w:color w:val="auto"/>
                <w:w w:val="96"/>
              </w:rPr>
              <w:t>(1)</w:t>
            </w: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2011 Tranche A-2 Facility</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1,450,000</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LIBOR + 5.75%</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96"/>
              </w:rPr>
              <w:t>(1)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2012 Tranche A-1 Facility</w:t>
            </w: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169,164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760" w:type="dxa"/>
            <w:vAlign w:val="bottom"/>
          </w:tcPr>
          <w:p>
            <w:pPr>
              <w:jc w:val="right"/>
              <w:ind w:right="81"/>
              <w:spacing w:after="0"/>
              <w:rPr>
                <w:sz w:val="20"/>
                <w:szCs w:val="20"/>
                <w:color w:val="auto"/>
              </w:rPr>
            </w:pPr>
            <w:r>
              <w:rPr>
                <w:rFonts w:ascii="Arial" w:cs="Arial" w:eastAsia="Arial" w:hAnsi="Arial"/>
                <w:sz w:val="17"/>
                <w:szCs w:val="17"/>
                <w:color w:val="auto"/>
              </w:rPr>
              <w:t>LIBOR + 4.00%</w:t>
            </w:r>
          </w:p>
        </w:tc>
        <w:tc>
          <w:tcPr>
            <w:tcW w:w="460" w:type="dxa"/>
            <w:vAlign w:val="bottom"/>
          </w:tcPr>
          <w:p>
            <w:pPr>
              <w:jc w:val="right"/>
              <w:ind w:right="157"/>
              <w:spacing w:after="0"/>
              <w:rPr>
                <w:sz w:val="20"/>
                <w:szCs w:val="20"/>
                <w:color w:val="auto"/>
              </w:rPr>
            </w:pPr>
            <w:r>
              <w:rPr>
                <w:rFonts w:ascii="Arial" w:cs="Arial" w:eastAsia="Arial" w:hAnsi="Arial"/>
                <w:sz w:val="17"/>
                <w:szCs w:val="17"/>
                <w:color w:val="auto"/>
                <w:w w:val="96"/>
              </w:rPr>
              <w:t>(2)</w:t>
            </w: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March 2016</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2012 Tranche A-2 Facility</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470,000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LIBOR + 5.75%</w:t>
            </w:r>
          </w:p>
        </w:tc>
        <w:tc>
          <w:tcPr>
            <w:tcW w:w="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96"/>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March 2017</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October 2012 Secured Credit Facility</w:t>
            </w: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1,754,466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760" w:type="dxa"/>
            <w:vAlign w:val="bottom"/>
          </w:tcPr>
          <w:p>
            <w:pPr>
              <w:jc w:val="right"/>
              <w:ind w:right="81"/>
              <w:spacing w:after="0"/>
              <w:rPr>
                <w:sz w:val="20"/>
                <w:szCs w:val="20"/>
                <w:color w:val="auto"/>
              </w:rPr>
            </w:pPr>
            <w:r>
              <w:rPr>
                <w:rFonts w:ascii="Arial" w:cs="Arial" w:eastAsia="Arial" w:hAnsi="Arial"/>
                <w:sz w:val="17"/>
                <w:szCs w:val="17"/>
                <w:color w:val="auto"/>
              </w:rPr>
              <w:t>LIBOR + 4.50%</w:t>
            </w:r>
          </w:p>
        </w:tc>
        <w:tc>
          <w:tcPr>
            <w:tcW w:w="460" w:type="dxa"/>
            <w:vAlign w:val="bottom"/>
          </w:tcPr>
          <w:p>
            <w:pPr>
              <w:jc w:val="right"/>
              <w:ind w:right="157"/>
              <w:spacing w:after="0"/>
              <w:rPr>
                <w:sz w:val="20"/>
                <w:szCs w:val="20"/>
                <w:color w:val="auto"/>
              </w:rPr>
            </w:pPr>
            <w:r>
              <w:rPr>
                <w:rFonts w:ascii="Arial" w:cs="Arial" w:eastAsia="Arial" w:hAnsi="Arial"/>
                <w:sz w:val="17"/>
                <w:szCs w:val="17"/>
                <w:color w:val="auto"/>
                <w:w w:val="96"/>
              </w:rPr>
              <w:t>(3)</w:t>
            </w:r>
          </w:p>
        </w:tc>
        <w:tc>
          <w:tcPr>
            <w:tcW w:w="1700" w:type="dxa"/>
            <w:vAlign w:val="bottom"/>
          </w:tcPr>
          <w:p>
            <w:pPr>
              <w:jc w:val="center"/>
              <w:spacing w:after="0"/>
              <w:rPr>
                <w:sz w:val="20"/>
                <w:szCs w:val="20"/>
                <w:color w:val="auto"/>
              </w:rPr>
            </w:pPr>
            <w:r>
              <w:rPr>
                <w:rFonts w:ascii="Arial" w:cs="Arial" w:eastAsia="Arial" w:hAnsi="Arial"/>
                <w:sz w:val="17"/>
                <w:szCs w:val="17"/>
                <w:color w:val="auto"/>
                <w:w w:val="87"/>
              </w:rPr>
              <w:t>October 2017</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Term loans collateralized by net lease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264,432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293,192</w:t>
            </w:r>
          </w:p>
        </w:tc>
        <w:tc>
          <w:tcPr>
            <w:tcW w:w="18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4.851% - 7.68%</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Various through 2026</w:t>
            </w:r>
          </w:p>
        </w:tc>
      </w:tr>
      <w:tr>
        <w:trPr>
          <w:trHeight w:val="214"/>
        </w:trPr>
        <w:tc>
          <w:tcPr>
            <w:tcW w:w="4320" w:type="dxa"/>
            <w:vAlign w:val="bottom"/>
          </w:tcPr>
          <w:p>
            <w:pPr>
              <w:ind w:left="20"/>
              <w:spacing w:after="0"/>
              <w:rPr>
                <w:sz w:val="20"/>
                <w:szCs w:val="20"/>
                <w:color w:val="auto"/>
              </w:rPr>
            </w:pPr>
            <w:r>
              <w:rPr>
                <w:rFonts w:ascii="Arial" w:cs="Arial" w:eastAsia="Arial" w:hAnsi="Arial"/>
                <w:sz w:val="17"/>
                <w:szCs w:val="17"/>
                <w:color w:val="auto"/>
              </w:rPr>
              <w:t>Total secured credit facilities and term loans</w:t>
            </w: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2,658,062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2,704,772</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Unsecured credit facility:</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Line of credit</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243,650</w:t>
            </w:r>
          </w:p>
        </w:tc>
        <w:tc>
          <w:tcPr>
            <w:tcW w:w="100" w:type="dxa"/>
            <w:vAlign w:val="bottom"/>
          </w:tcPr>
          <w:p>
            <w:pPr>
              <w:spacing w:after="0"/>
              <w:rPr>
                <w:sz w:val="19"/>
                <w:szCs w:val="19"/>
                <w:color w:val="auto"/>
              </w:rPr>
            </w:pPr>
          </w:p>
        </w:tc>
        <w:tc>
          <w:tcPr>
            <w:tcW w:w="1760" w:type="dxa"/>
            <w:vAlign w:val="bottom"/>
          </w:tcPr>
          <w:p>
            <w:pPr>
              <w:jc w:val="right"/>
              <w:ind w:right="81"/>
              <w:spacing w:after="0"/>
              <w:rPr>
                <w:sz w:val="20"/>
                <w:szCs w:val="20"/>
                <w:color w:val="auto"/>
              </w:rPr>
            </w:pPr>
            <w:r>
              <w:rPr>
                <w:rFonts w:ascii="Arial" w:cs="Arial" w:eastAsia="Arial" w:hAnsi="Arial"/>
                <w:sz w:val="17"/>
                <w:szCs w:val="17"/>
                <w:color w:val="auto"/>
              </w:rPr>
              <w:t>LIBOR + 0.85%</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Unsecured notes:</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5.15% senior notes</w:t>
            </w:r>
          </w:p>
        </w:tc>
        <w:tc>
          <w:tcPr>
            <w:tcW w:w="3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263,466</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5.15%</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5.50% senior notes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92,845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LIBOR + 0.50% senior convertible notes</w:t>
            </w:r>
          </w:p>
        </w:tc>
        <w:tc>
          <w:tcPr>
            <w:tcW w:w="3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784,750</w:t>
            </w:r>
          </w:p>
        </w:tc>
        <w:tc>
          <w:tcPr>
            <w:tcW w:w="100" w:type="dxa"/>
            <w:vAlign w:val="bottom"/>
          </w:tcPr>
          <w:p>
            <w:pPr>
              <w:spacing w:after="0"/>
              <w:rPr>
                <w:sz w:val="19"/>
                <w:szCs w:val="19"/>
                <w:color w:val="auto"/>
              </w:rPr>
            </w:pPr>
          </w:p>
        </w:tc>
        <w:tc>
          <w:tcPr>
            <w:tcW w:w="1760" w:type="dxa"/>
            <w:vAlign w:val="bottom"/>
          </w:tcPr>
          <w:p>
            <w:pPr>
              <w:jc w:val="right"/>
              <w:ind w:right="81"/>
              <w:spacing w:after="0"/>
              <w:rPr>
                <w:sz w:val="20"/>
                <w:szCs w:val="20"/>
                <w:color w:val="auto"/>
              </w:rPr>
            </w:pPr>
            <w:r>
              <w:rPr>
                <w:rFonts w:ascii="Arial" w:cs="Arial" w:eastAsia="Arial" w:hAnsi="Arial"/>
                <w:sz w:val="17"/>
                <w:szCs w:val="17"/>
                <w:color w:val="auto"/>
              </w:rPr>
              <w:t>LIBOR + 0.50%</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8.625% senior notes</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96,801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501,701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8.625%</w:t>
            </w: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5"/>
              </w:rPr>
              <w:t>June 2013</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5.95% senior notes</w:t>
            </w: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448,453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448,453</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5.95%</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87"/>
              </w:rPr>
              <w:t>October 2013</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6.5% senior notes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67,055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December 2013</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5.70% senior notes</w:t>
            </w: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200,601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200,601</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5.70%</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March 2014</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6.05% senior notes</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105,765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105,765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April 2015</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5.875% senior notes</w:t>
            </w: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261,403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261,403</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5.875%</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March 2016</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3.0% senior convertible notes(4)</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w w:val="89"/>
              </w:rPr>
              <w:t>November 2016</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5.85% senior notes</w:t>
            </w: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99,722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99,722</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5.85%</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March 2017</w:t>
            </w: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9.0% senior notes</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275,000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5"/>
              </w:rPr>
              <w:t>June 2017</w:t>
            </w:r>
          </w:p>
        </w:tc>
      </w:tr>
      <w:tr>
        <w:trPr>
          <w:trHeight w:val="222"/>
        </w:trPr>
        <w:tc>
          <w:tcPr>
            <w:tcW w:w="4320" w:type="dxa"/>
            <w:vAlign w:val="bottom"/>
          </w:tcPr>
          <w:p>
            <w:pPr>
              <w:ind w:left="140"/>
              <w:spacing w:after="0"/>
              <w:rPr>
                <w:sz w:val="20"/>
                <w:szCs w:val="20"/>
                <w:color w:val="auto"/>
              </w:rPr>
            </w:pPr>
            <w:r>
              <w:rPr>
                <w:rFonts w:ascii="Arial" w:cs="Arial" w:eastAsia="Arial" w:hAnsi="Arial"/>
                <w:sz w:val="17"/>
                <w:szCs w:val="17"/>
                <w:color w:val="auto"/>
              </w:rPr>
              <w:t>7.125% senior notes</w:t>
            </w: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300,000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7.125%</w:t>
            </w:r>
          </w:p>
        </w:tc>
        <w:tc>
          <w:tcPr>
            <w:tcW w:w="4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88"/>
              </w:rPr>
              <w:t>February 2018</w:t>
            </w:r>
          </w:p>
        </w:tc>
      </w:tr>
      <w:tr>
        <w:trPr>
          <w:trHeight w:val="26"/>
        </w:trPr>
        <w:tc>
          <w:tcPr>
            <w:tcW w:w="4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2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unsecured notes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1,987,745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2,825,761</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7"/>
                <w:szCs w:val="17"/>
                <w:b w:val="1"/>
                <w:bCs w:val="1"/>
                <w:color w:val="auto"/>
              </w:rPr>
              <w:t>Other debt obligations: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debt obligations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LIBOR + 1.5%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October 2035</w:t>
            </w:r>
          </w:p>
        </w:tc>
      </w:tr>
      <w:tr>
        <w:trPr>
          <w:trHeight w:val="214"/>
        </w:trPr>
        <w:tc>
          <w:tcPr>
            <w:tcW w:w="4320" w:type="dxa"/>
            <w:vAlign w:val="bottom"/>
          </w:tcPr>
          <w:p>
            <w:pPr>
              <w:ind w:left="20"/>
              <w:spacing w:after="0"/>
              <w:rPr>
                <w:sz w:val="20"/>
                <w:szCs w:val="20"/>
                <w:color w:val="auto"/>
              </w:rPr>
            </w:pPr>
            <w:r>
              <w:rPr>
                <w:rFonts w:ascii="Arial" w:cs="Arial" w:eastAsia="Arial" w:hAnsi="Arial"/>
                <w:sz w:val="17"/>
                <w:szCs w:val="17"/>
                <w:b w:val="1"/>
                <w:bCs w:val="1"/>
                <w:color w:val="auto"/>
              </w:rPr>
              <w:t>Total debt obligations</w:t>
            </w: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4,745,807</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5,874,183</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6"/>
        </w:trPr>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discounts,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(36,643)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4"/>
        </w:trPr>
        <w:tc>
          <w:tcPr>
            <w:tcW w:w="4320" w:type="dxa"/>
            <w:vAlign w:val="bottom"/>
          </w:tcPr>
          <w:p>
            <w:pPr>
              <w:ind w:left="20"/>
              <w:spacing w:after="0"/>
              <w:rPr>
                <w:sz w:val="20"/>
                <w:szCs w:val="20"/>
                <w:color w:val="auto"/>
              </w:rPr>
            </w:pPr>
            <w:r>
              <w:rPr>
                <w:rFonts w:ascii="Arial" w:cs="Arial" w:eastAsia="Arial" w:hAnsi="Arial"/>
                <w:sz w:val="17"/>
                <w:szCs w:val="17"/>
                <w:b w:val="1"/>
                <w:bCs w:val="1"/>
                <w:color w:val="auto"/>
              </w:rPr>
              <w:t>Total debt obligations, net</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4,691,494</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5,837,540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These loans had a LIBOR floor of 1.25%.</w:t>
      </w:r>
    </w:p>
    <w:p>
      <w:pPr>
        <w:spacing w:after="0" w:line="9" w:lineRule="exact"/>
        <w:rPr>
          <w:rFonts w:ascii="Arial" w:cs="Arial" w:eastAsia="Arial" w:hAnsi="Arial"/>
          <w:sz w:val="13"/>
          <w:szCs w:val="13"/>
          <w:color w:val="auto"/>
        </w:rPr>
      </w:pPr>
    </w:p>
    <w:p>
      <w:pPr>
        <w:ind w:left="601" w:hanging="601"/>
        <w:spacing w:after="0" w:line="239" w:lineRule="auto"/>
        <w:tabs>
          <w:tab w:leader="none" w:pos="6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These loans each have a LIBOR floor of 1.25%. As of December 31, 2012, inclusive of the floors, the 2012 Tranche A-1 Facility and 2012 Tranche A-2 Facility loans incurred interest at a rate of 5.25% and 7.00%, respectively.</w:t>
      </w:r>
    </w:p>
    <w:p>
      <w:pPr>
        <w:ind w:left="601" w:hanging="601"/>
        <w:spacing w:after="0" w:line="259" w:lineRule="auto"/>
        <w:tabs>
          <w:tab w:leader="none" w:pos="601"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loan has a LIBOR floor of 1.25%. As of December 31, 2012, inclusive of the floor, the October 2012 Secured Credit Facility incurred interest at a rate of 5.75%. Subsequent to year end, in connection with the repricing of the October 2012 Secured Credit Facility, the loan will bear interest at a rate of LIBOR + 3.50%, with a LIBOR floor of 1.00%. See Note 17—Subsequent Events.</w:t>
      </w:r>
    </w:p>
    <w:p>
      <w:pPr>
        <w:ind w:left="601" w:hanging="601"/>
        <w:spacing w:after="0" w:line="249" w:lineRule="auto"/>
        <w:tabs>
          <w:tab w:leader="none" w:pos="6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Company's convertible senior fixed rate notes due November 2016 ("Convertible Notes") are convertible at the option of the holders, into 85.0 shares per $1,000 principal amount of Convertible Notes, at any time prior to the close of business on November 14, 2016. As of December 31,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1"/>
          </w:cols>
          <w:pgMar w:left="239" w:top="122" w:right="239" w:bottom="1440" w:gutter="0" w:footer="0" w:header="0"/>
        </w:sectPr>
      </w:pPr>
    </w:p>
    <w:bookmarkStart w:id="75" w:name="page76"/>
    <w:bookmarkEnd w:id="75"/>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6" w:lineRule="exact"/>
        <w:rPr>
          <w:sz w:val="20"/>
          <w:szCs w:val="20"/>
          <w:color w:val="auto"/>
        </w:rPr>
      </w:pPr>
    </w:p>
    <w:p>
      <w:pPr>
        <w:ind w:left="601"/>
        <w:spacing w:after="0" w:line="404" w:lineRule="auto"/>
        <w:rPr>
          <w:sz w:val="20"/>
          <w:szCs w:val="20"/>
          <w:color w:val="auto"/>
        </w:rPr>
      </w:pPr>
      <w:r>
        <w:rPr>
          <w:rFonts w:ascii="Arial" w:cs="Arial" w:eastAsia="Arial" w:hAnsi="Arial"/>
          <w:sz w:val="13"/>
          <w:szCs w:val="13"/>
          <w:color w:val="auto"/>
        </w:rPr>
        <w:t>the outstanding principal balance of the Company's senior convertible notes was $200.0 million. For the year ended December 31, 2012, the Company recognized interest expense on the convertible notes of $0.8 million.</w:t>
      </w:r>
    </w:p>
    <w:p>
      <w:pPr>
        <w:spacing w:after="0" w:line="117" w:lineRule="exact"/>
        <w:rPr>
          <w:sz w:val="20"/>
          <w:szCs w:val="20"/>
          <w:color w:val="auto"/>
        </w:rPr>
      </w:pPr>
    </w:p>
    <w:p>
      <w:pPr>
        <w:ind w:left="601"/>
        <w:spacing w:after="0"/>
        <w:rPr>
          <w:sz w:val="20"/>
          <w:szCs w:val="20"/>
          <w:color w:val="auto"/>
        </w:rPr>
      </w:pPr>
      <w:r>
        <w:rPr>
          <w:rFonts w:ascii="Arial" w:cs="Arial" w:eastAsia="Arial" w:hAnsi="Arial"/>
          <w:sz w:val="14"/>
          <w:szCs w:val="14"/>
          <w:b w:val="1"/>
          <w:bCs w:val="1"/>
          <w:color w:val="auto"/>
        </w:rPr>
        <w:t>Future Scheduled Maturities</w:t>
      </w:r>
      <w:r>
        <w:rPr>
          <w:rFonts w:ascii="Arial" w:cs="Arial" w:eastAsia="Arial" w:hAnsi="Arial"/>
          <w:sz w:val="14"/>
          <w:szCs w:val="14"/>
          <w:color w:val="auto"/>
        </w:rPr>
        <w:t>—As of December 31, 2012, future scheduled maturities of outstanding long-term debt obligations are as follows ($ in thousands)</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7"/>
          <w:szCs w:val="17"/>
          <w:color w:val="auto"/>
        </w:rPr>
        <w:t>(1):</w:t>
      </w:r>
    </w:p>
    <w:p>
      <w:pPr>
        <w:spacing w:after="0" w:line="394" w:lineRule="exact"/>
        <w:rPr>
          <w:sz w:val="20"/>
          <w:szCs w:val="20"/>
          <w:color w:val="auto"/>
        </w:rPr>
      </w:pPr>
    </w:p>
    <w:tbl>
      <w:tblPr>
        <w:tblLayout w:type="fixed"/>
        <w:tblInd w:w="21" w:type="dxa"/>
        <w:tblCellMar>
          <w:top w:w="0" w:type="dxa"/>
          <w:left w:w="0" w:type="dxa"/>
          <w:bottom w:w="0" w:type="dxa"/>
          <w:right w:w="0" w:type="dxa"/>
        </w:tblCellMar>
      </w:tblPr>
      <w:tr>
        <w:trPr>
          <w:trHeight w:val="176"/>
        </w:trPr>
        <w:tc>
          <w:tcPr>
            <w:tcW w:w="60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Unsecured Debt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Secured Debt</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rPr>
              <w:t>Total</w:t>
            </w:r>
          </w:p>
        </w:tc>
      </w:tr>
      <w:tr>
        <w:trPr>
          <w:trHeight w:val="22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545,254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545,254</w:t>
            </w: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2014</w:t>
            </w:r>
          </w:p>
        </w:tc>
        <w:tc>
          <w:tcPr>
            <w:tcW w:w="26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7"/>
                <w:szCs w:val="17"/>
                <w:color w:val="auto"/>
              </w:rPr>
              <w:t>200,601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200,601</w:t>
            </w:r>
          </w:p>
        </w:tc>
      </w:tr>
      <w:tr>
        <w:trPr>
          <w:trHeight w:val="26"/>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105,765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46,164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151,929</w:t>
            </w: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7"/>
                <w:szCs w:val="17"/>
                <w:color w:val="auto"/>
              </w:rPr>
              <w:t>461,403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134,816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596,219</w:t>
            </w:r>
          </w:p>
        </w:tc>
      </w:tr>
      <w:tr>
        <w:trPr>
          <w:trHeight w:val="26"/>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374,722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2,212,650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2,587,372</w:t>
            </w: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7"/>
                <w:szCs w:val="17"/>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264,432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664,432</w:t>
            </w:r>
          </w:p>
        </w:tc>
      </w:tr>
      <w:tr>
        <w:trPr>
          <w:trHeight w:val="26"/>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principal maturities</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2,087,745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2,658,062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4,745,807</w:t>
            </w: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Unamortized debt discounts,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(35,166)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(54,313)</w:t>
            </w:r>
          </w:p>
        </w:tc>
      </w:tr>
      <w:tr>
        <w:trPr>
          <w:trHeight w:val="26"/>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debt obligations, net</w:t>
            </w: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2,068,598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2,622,896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4,691,494</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minimum required amortization payments on the March 2012 Secured Credit Facilities and the October 2012 Secured Credit Facility.</w:t>
      </w:r>
    </w:p>
    <w:p>
      <w:pPr>
        <w:spacing w:after="0" w:line="148" w:lineRule="exact"/>
        <w:rPr>
          <w:sz w:val="20"/>
          <w:szCs w:val="20"/>
          <w:color w:val="auto"/>
        </w:rPr>
      </w:pPr>
    </w:p>
    <w:p>
      <w:pPr>
        <w:jc w:val="both"/>
        <w:ind w:left="1" w:firstLine="397"/>
        <w:spacing w:after="0" w:line="251" w:lineRule="auto"/>
        <w:rPr>
          <w:sz w:val="20"/>
          <w:szCs w:val="20"/>
          <w:color w:val="auto"/>
        </w:rPr>
      </w:pPr>
      <w:r>
        <w:rPr>
          <w:rFonts w:ascii="Arial" w:cs="Arial" w:eastAsia="Arial" w:hAnsi="Arial"/>
          <w:sz w:val="17"/>
          <w:szCs w:val="17"/>
          <w:b w:val="1"/>
          <w:bCs w:val="1"/>
          <w:color w:val="auto"/>
        </w:rPr>
        <w:t>October 2012 Secured Credit Facility</w:t>
      </w:r>
      <w:r>
        <w:rPr>
          <w:rFonts w:ascii="Arial" w:cs="Arial" w:eastAsia="Arial" w:hAnsi="Arial"/>
          <w:sz w:val="17"/>
          <w:szCs w:val="17"/>
          <w:color w:val="auto"/>
        </w:rPr>
        <w:t>—On October 15, 2012, the Company entered into a $1.82 billion senior secured credit agreement due October 15, 2017 (the</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2012 Secured Credit Facility”). The October 2012 Secured Credit Facility bears interest at a rate of LIBOR + 4.50%, with a 1.25% LIBOR floor, and was issued at 99.0% of par. Proceeds from the October 2012 Secured Credit Facility were used to refinance the remaining outstanding balances of the Company’s existing 2011 Secured Credit Facilities.</w:t>
      </w:r>
    </w:p>
    <w:p>
      <w:pPr>
        <w:spacing w:after="0" w:line="179" w:lineRule="exact"/>
        <w:rPr>
          <w:sz w:val="20"/>
          <w:szCs w:val="20"/>
          <w:color w:val="auto"/>
        </w:rPr>
      </w:pPr>
    </w:p>
    <w:p>
      <w:pPr>
        <w:jc w:val="both"/>
        <w:ind w:left="1" w:firstLine="596"/>
        <w:spacing w:after="0" w:line="310" w:lineRule="auto"/>
        <w:rPr>
          <w:sz w:val="20"/>
          <w:szCs w:val="20"/>
          <w:color w:val="auto"/>
        </w:rPr>
      </w:pPr>
      <w:r>
        <w:rPr>
          <w:rFonts w:ascii="Arial" w:cs="Arial" w:eastAsia="Arial" w:hAnsi="Arial"/>
          <w:sz w:val="14"/>
          <w:szCs w:val="14"/>
          <w:color w:val="auto"/>
        </w:rPr>
        <w:t>Borrowings under the October 2012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October 2012 Secured Credit Facility. For so long as collateral coverage is between 137.5% and 150% of outstanding borrowings, 50% of proceeds from principal repayments and sales of collateral will be applied to repay outstanding borrowings under the October 2012 Secured Credit Facility and for so long as collateral coverage is greater than 150% of outstanding borrowings, the Company may retain all proceeds from principal repayments and sales of collateral. The Company retains proceeds from interest, rent, lease payments and fee income in all cases.</w:t>
      </w:r>
    </w:p>
    <w:p>
      <w:pPr>
        <w:spacing w:after="0" w:line="142"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In connection with the October 2012 Secured Credit Facility transaction, the Company incurred $14.8 million in third party fees, of which $8.2 million was recognized in “Other expense” on the Company's Consolidated Statements of Operations as it related to the portion of lenders from the original facility that modified their debt under the new facility. The remaining $6.6 million of fees were recorded in “Deferred expenses and other assets, net” on the Company's Consolidated Balance Sheets, as they related to the portion of lenders that were new to the facility.</w:t>
      </w:r>
    </w:p>
    <w:p>
      <w:pPr>
        <w:spacing w:after="0" w:line="182" w:lineRule="exact"/>
        <w:rPr>
          <w:sz w:val="20"/>
          <w:szCs w:val="20"/>
          <w:color w:val="auto"/>
        </w:rPr>
      </w:pPr>
    </w:p>
    <w:p>
      <w:pPr>
        <w:jc w:val="both"/>
        <w:ind w:left="1" w:firstLine="596"/>
        <w:spacing w:after="0" w:line="267" w:lineRule="auto"/>
        <w:rPr>
          <w:sz w:val="20"/>
          <w:szCs w:val="20"/>
          <w:color w:val="auto"/>
        </w:rPr>
      </w:pPr>
      <w:r>
        <w:rPr>
          <w:rFonts w:ascii="Arial" w:cs="Arial" w:eastAsia="Arial" w:hAnsi="Arial"/>
          <w:sz w:val="16"/>
          <w:szCs w:val="16"/>
          <w:color w:val="auto"/>
        </w:rPr>
        <w:t>The October 2012 Secured Credit Facility contains certain covenants relating to the collateral, among other matters, but does not contain corporate level financial covenants. For so long as the Company maintains its qualification as a REIT, it is permitted to distribute 100% of its REIT taxable income on an annual basis. In addition, the Company may distribute to its stockholders real estate assets, or interests therein, having an aggregate equity value not to exceed $200 million, that are not collateral securing the borrowings under the October 2012 Secured Credit Facility. Except for the distribution of real estate assets described in the preceding sentence, the Company may not pay common dividends if it ceases to qualify as a REIT.</w:t>
      </w:r>
    </w:p>
    <w:p>
      <w:pPr>
        <w:spacing w:after="0" w:line="168"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Through December 31, 2012, the Company has made cumulative amortization repayments of $65.5 million on the October 2012 Secured Credit Facility, which exceeds all required amortization payments through March 2016. Repayments of the October 2012 Secured Credit Facility prior to scheduled amortization dates have resulted in losses on early extinguishment of debt of $1.2 million for the year ended December 31, 2012 related to the acceleration of discounts and unamortized deferred financing fees 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1"/>
          </w:cols>
          <w:pgMar w:left="239" w:top="121" w:right="239" w:bottom="1440" w:gutter="0" w:footer="0" w:header="0"/>
        </w:sectPr>
      </w:pPr>
    </w:p>
    <w:bookmarkStart w:id="76" w:name="page77"/>
    <w:bookmarkEnd w:id="76"/>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portion of the facility that was repaid. See Note 17—Subsequent Events below for details on the refinancing of the October 2012 Secured Credit Facility in February 2013.</w:t>
      </w:r>
    </w:p>
    <w:p>
      <w:pPr>
        <w:spacing w:after="0" w:line="168"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b w:val="1"/>
          <w:bCs w:val="1"/>
          <w:color w:val="auto"/>
        </w:rPr>
        <w:t>March 2012 Secured Credit Facilities</w:t>
      </w:r>
      <w:r>
        <w:rPr>
          <w:rFonts w:ascii="Arial" w:cs="Arial" w:eastAsia="Arial" w:hAnsi="Arial"/>
          <w:sz w:val="16"/>
          <w:szCs w:val="16"/>
          <w:color w:val="auto"/>
        </w:rPr>
        <w:t>—In March 2012, the Company entered into an $880.0 million senior secured credit agreement providing for two tranches of</w:t>
      </w:r>
      <w:r>
        <w:rPr>
          <w:rFonts w:ascii="Arial" w:cs="Arial" w:eastAsia="Arial" w:hAnsi="Arial"/>
          <w:sz w:val="16"/>
          <w:szCs w:val="16"/>
          <w:b w:val="1"/>
          <w:bCs w:val="1"/>
          <w:color w:val="auto"/>
        </w:rPr>
        <w:t xml:space="preserve"> </w:t>
      </w:r>
      <w:r>
        <w:rPr>
          <w:rFonts w:ascii="Arial" w:cs="Arial" w:eastAsia="Arial" w:hAnsi="Arial"/>
          <w:sz w:val="16"/>
          <w:szCs w:val="16"/>
          <w:color w:val="auto"/>
        </w:rPr>
        <w:t>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70"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The Company may make optional prepayments on each tranche of term loans, subject to prepayment fees.</w:t>
      </w:r>
    </w:p>
    <w:p>
      <w:pPr>
        <w:spacing w:after="0" w:line="181"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Through December 31, 2012, the Company made cumulative amortization repayments of $240.8 million on the 2012 Tranche A-1 Facility, which exceeds all required amortization payments through December 31, 2014. Repayments of the 2012 Tranche A-1 Facility prior to scheduled amortization dates have resulted in losses on early extinguishment of debt of $8.1 million for the year ended December 31, 2012 related to the acceleration of discounts and unamortized deferred financing fees on the portion of the facility that was repaid.</w:t>
      </w:r>
    </w:p>
    <w:p>
      <w:pPr>
        <w:spacing w:after="0" w:line="178"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6"/>
          <w:szCs w:val="16"/>
          <w:b w:val="1"/>
          <w:bCs w:val="1"/>
          <w:color w:val="auto"/>
        </w:rPr>
        <w:t>2011 Secured Credit Facilities</w:t>
      </w:r>
      <w:r>
        <w:rPr>
          <w:rFonts w:ascii="Arial" w:cs="Arial" w:eastAsia="Arial" w:hAnsi="Arial"/>
          <w:sz w:val="16"/>
          <w:szCs w:val="16"/>
          <w:color w:val="auto"/>
        </w:rPr>
        <w:t>—In March 2011, the Company entered into a $2.95 billion senior secured credit agreement providing for two tranches of term loans:</w:t>
      </w:r>
      <w:r>
        <w:rPr>
          <w:rFonts w:ascii="Arial" w:cs="Arial" w:eastAsia="Arial" w:hAnsi="Arial"/>
          <w:sz w:val="16"/>
          <w:szCs w:val="16"/>
          <w:b w:val="1"/>
          <w:bCs w:val="1"/>
          <w:color w:val="auto"/>
        </w:rPr>
        <w:t xml:space="preserve"> </w:t>
      </w:r>
      <w:r>
        <w:rPr>
          <w:rFonts w:ascii="Arial" w:cs="Arial" w:eastAsia="Arial" w:hAnsi="Arial"/>
          <w:sz w:val="16"/>
          <w:szCs w:val="16"/>
          <w:color w:val="auto"/>
        </w:rPr>
        <w:t>a $1.50 billion 2011 A-1 tranche due June 2013, bearing interest at a rate of LIBOR + 3.75% (the "2011 Tranche A-1 Facility"), and a $1.45 billion 2011 A-2 tranche due June 2014, bearing interest at a rate of LIBOR + 5.75% (the "2011 Tranche A-2 Facility," together the "2011 Secured Credit Facilities"). The 2011 A-1 and A-2 tranches were issued at 99.0% of par and 98.5% of par, respectively, and both tranches include a LIBOR floor of 1.25%.</w:t>
      </w:r>
    </w:p>
    <w:p>
      <w:pPr>
        <w:spacing w:after="0" w:line="166" w:lineRule="exact"/>
        <w:rPr>
          <w:sz w:val="20"/>
          <w:szCs w:val="20"/>
          <w:color w:val="auto"/>
        </w:rPr>
      </w:pPr>
    </w:p>
    <w:p>
      <w:pPr>
        <w:jc w:val="both"/>
        <w:ind w:firstLine="397"/>
        <w:spacing w:after="0" w:line="263" w:lineRule="auto"/>
        <w:rPr>
          <w:sz w:val="20"/>
          <w:szCs w:val="20"/>
          <w:color w:val="auto"/>
        </w:rPr>
      </w:pPr>
      <w:r>
        <w:rPr>
          <w:rFonts w:ascii="Arial" w:cs="Arial" w:eastAsia="Arial" w:hAnsi="Arial"/>
          <w:sz w:val="16"/>
          <w:szCs w:val="16"/>
          <w:color w:val="auto"/>
        </w:rPr>
        <w:t>The 2011 Secured Credit Facilities were collateralized by a first lien on a fixed pool of assets. Proceeds from principal repayments and sales of collateral were applied to amortize the 2011 Secured Credit Facilities. Proceeds received for interest, rent, lease payments, fee income and, under certain circumstances, additional amounts funded on assets serving as collateral were retained by the Company. The 2011 Tranche A-1 Facility required that aggregate cumulative amortization payments of not less than $200.0 million would be made on or before December 30, 2011, not less than $450.0 million on or before June 30, 2012, not less than $750.0 million on or before December 31, 2012 and not less than $1.50 billion on or before June 28, 2013. The 2011 Tranche A-2 Facility had amortization requirements that would begin amortizing six months after the repayment in full of the 2011 Tranche A-1 Facility, such that not less than $150.0 million of cumulative amortization payments would be made on or before the six month anniversary of repayment of the Tranche A-1 Facility, with additional amortization payments of $150.0 million due on or before each six month anniversary thereafter, with any unpaid principal amounts due at maturity in June 2014.</w:t>
      </w:r>
    </w:p>
    <w:p>
      <w:pPr>
        <w:spacing w:after="0" w:line="174"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The 2011 Secured Credit Facilities were refinanced by the October 2012 Secured Credit Facility. Prior to refinancing, the Company made cumulative amortization repayments of $1.07 billion on the 2011 Secured Credit Facilities, which resulted in losses on early extinguishment of debt of $4.5 million and $12.0 million for the years ended December 31, 2012 and 2011, respectively, related to the acceleration of discounts and unamortized deferred financing fees on the portion of the facility that was repaid.</w:t>
      </w:r>
    </w:p>
    <w:p>
      <w:pPr>
        <w:spacing w:after="0" w:line="18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At the time of the refinancing, the Company had $21.2 million of unamortized discounts and financing fees related to the 2011 Secured Credit Facilities. In connection with the refinancing, the Company recorded a loss on early extinguishment of debt of $12.1 million, related primarily to the portion of lenders in the original facility that did not participate in the new facility. The remaining $9.0 million of unamortized fees and discounts will continue to be amortized to interest expense over the remaining term of the October 2012 Secured Credit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122" w:right="239" w:bottom="1440" w:gutter="0" w:footer="0" w:header="0"/>
        </w:sectPr>
      </w:pPr>
    </w:p>
    <w:bookmarkStart w:id="77" w:name="page78"/>
    <w:bookmarkEnd w:id="77"/>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Secured Term Loans</w:t>
      </w:r>
      <w:r>
        <w:rPr>
          <w:rFonts w:ascii="Arial" w:cs="Arial" w:eastAsia="Arial" w:hAnsi="Arial"/>
          <w:sz w:val="17"/>
          <w:szCs w:val="17"/>
          <w:color w:val="auto"/>
        </w:rPr>
        <w:t>—In October 2012, the Company entered into a $28.0 million secured term loan maturing in November 2019, bearing interest at a rate of</w:t>
      </w:r>
      <w:r>
        <w:rPr>
          <w:rFonts w:ascii="Arial" w:cs="Arial" w:eastAsia="Arial" w:hAnsi="Arial"/>
          <w:sz w:val="17"/>
          <w:szCs w:val="17"/>
          <w:b w:val="1"/>
          <w:bCs w:val="1"/>
          <w:color w:val="auto"/>
        </w:rPr>
        <w:t xml:space="preserve"> </w:t>
      </w:r>
      <w:r>
        <w:rPr>
          <w:rFonts w:ascii="Arial" w:cs="Arial" w:eastAsia="Arial" w:hAnsi="Arial"/>
          <w:sz w:val="17"/>
          <w:szCs w:val="17"/>
          <w:color w:val="auto"/>
        </w:rPr>
        <w:t>LIBOR + 2.00%. Simultaneously with the financing, the Company entered into an interest rate swap to exchange its variable rate on the loan for a fixed interest rate (see Note 10).</w:t>
      </w:r>
    </w:p>
    <w:p>
      <w:pPr>
        <w:spacing w:after="0" w:line="178"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In September 2012, the Company refinanced two secured term loans with an aggregate outstanding principal balance of $53.3 million, bearing interest at rates of 5.3% and 8.2% and maturing in January 2013 with a new $54.5 million secured term loan. The new loan bears interest at 4.851%, matures in October 2022 and is collateralized by the same net lease asset as the original term loan. In connection with the refinancing, the Company recorded a loss on early extinguishment of debt of $0.5 million in its Consolidated Statements of Operations for the year ended December 31, 2012.</w:t>
      </w:r>
    </w:p>
    <w:p>
      <w:pPr>
        <w:spacing w:after="0" w:line="182" w:lineRule="exact"/>
        <w:rPr>
          <w:sz w:val="20"/>
          <w:szCs w:val="20"/>
          <w:color w:val="auto"/>
        </w:rPr>
      </w:pPr>
    </w:p>
    <w:p>
      <w:pPr>
        <w:jc w:val="both"/>
        <w:ind w:firstLine="397"/>
        <w:spacing w:after="0" w:line="368" w:lineRule="auto"/>
        <w:rPr>
          <w:sz w:val="20"/>
          <w:szCs w:val="20"/>
          <w:color w:val="auto"/>
        </w:rPr>
      </w:pPr>
      <w:r>
        <w:rPr>
          <w:rFonts w:ascii="Arial" w:cs="Arial" w:eastAsia="Arial" w:hAnsi="Arial"/>
          <w:sz w:val="14"/>
          <w:szCs w:val="14"/>
          <w:color w:val="auto"/>
        </w:rPr>
        <w:t>In addition, during the year ended December 31, 2012, in conjunction with the sale of a portfolio of 12 net lease assets, the Company repaid the $50.8 million outstanding balances of its LIBOR + 4.50% secured term loans due in 2014 and terminated the related interest rate swaps associated with the loans (see Note 10).</w:t>
      </w:r>
    </w:p>
    <w:p>
      <w:pPr>
        <w:spacing w:after="0" w:line="102"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In 2011, the Company entered into a $120.0 million secured term loan financing maturing in July 2021. This financing is collateralized by net lease properties occupied by a single tenant and bears interest at 5.05%.</w:t>
      </w:r>
    </w:p>
    <w:p>
      <w:pPr>
        <w:spacing w:after="0" w:line="172"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color w:val="auto"/>
        </w:rPr>
        <w:t>Also, in 2011, the Company refinanced the $47.7 million outstanding principal balance of a maturing secured term loan. In addition, during 2011, the Company entered into an additional $4.6 million secured term loan. The loans bear interest at LIBOR + 4.50%, mature in 2014 and are cross-collateralized by the same net lease assets. Simultaneously with the financings, the Company entered into interest rate swaps to exchange its variable rates on the notes for fixed interest rates.</w:t>
      </w:r>
    </w:p>
    <w:p>
      <w:pPr>
        <w:spacing w:after="0" w:line="126"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color w:val="auto"/>
        </w:rPr>
        <w:t>In 2010, the Company repaid other secured term loans, including a $947.9 million non-recourse loan that was collateralized by the portfolio of net lease assets sold during the period, as well as $153.3 million of other term loans with various maturities. In connection with these repayments, the Company expensed unamortized deferred financing costs and incurred other expenses totaling $22.1 million, which reduced net gain on early extinguishment of debt during the year ended December 31, 2010.</w:t>
      </w:r>
    </w:p>
    <w:p>
      <w:pPr>
        <w:spacing w:after="0" w:line="122" w:lineRule="exact"/>
        <w:rPr>
          <w:sz w:val="20"/>
          <w:szCs w:val="20"/>
          <w:color w:val="auto"/>
        </w:rPr>
      </w:pPr>
    </w:p>
    <w:p>
      <w:pPr>
        <w:jc w:val="both"/>
        <w:ind w:firstLine="397"/>
        <w:spacing w:after="0" w:line="297" w:lineRule="auto"/>
        <w:rPr>
          <w:sz w:val="20"/>
          <w:szCs w:val="20"/>
          <w:color w:val="auto"/>
        </w:rPr>
      </w:pPr>
      <w:r>
        <w:rPr>
          <w:rFonts w:ascii="Arial" w:cs="Arial" w:eastAsia="Arial" w:hAnsi="Arial"/>
          <w:sz w:val="16"/>
          <w:szCs w:val="16"/>
          <w:b w:val="1"/>
          <w:bCs w:val="1"/>
          <w:color w:val="auto"/>
        </w:rPr>
        <w:t>Unsecured Credit Facility</w:t>
      </w:r>
      <w:r>
        <w:rPr>
          <w:rFonts w:ascii="Arial" w:cs="Arial" w:eastAsia="Arial" w:hAnsi="Arial"/>
          <w:sz w:val="16"/>
          <w:szCs w:val="16"/>
          <w:color w:val="auto"/>
        </w:rPr>
        <w:t>—During the year ended December 31, 2012, the Company repaid the $243.7 million remaining principal balance of its LIBOR + 0.85%</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credit facility due June 2012. In connection with the repayments, the Company recorded a loss on early extinguishment of debt of $0.2 million.</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2011, the Company repaid the $329.9 million remaining principal balance of its LIBOR + 0.85% unsecured line of credit.</w:t>
      </w:r>
    </w:p>
    <w:p>
      <w:pPr>
        <w:spacing w:after="0" w:line="198" w:lineRule="exact"/>
        <w:rPr>
          <w:sz w:val="20"/>
          <w:szCs w:val="20"/>
          <w:color w:val="auto"/>
        </w:rPr>
      </w:pPr>
    </w:p>
    <w:p>
      <w:pPr>
        <w:jc w:val="both"/>
        <w:ind w:firstLine="397"/>
        <w:spacing w:after="0" w:line="374" w:lineRule="auto"/>
        <w:rPr>
          <w:sz w:val="20"/>
          <w:szCs w:val="20"/>
          <w:color w:val="auto"/>
        </w:rPr>
      </w:pPr>
      <w:r>
        <w:rPr>
          <w:rFonts w:ascii="Arial" w:cs="Arial" w:eastAsia="Arial" w:hAnsi="Arial"/>
          <w:sz w:val="14"/>
          <w:szCs w:val="14"/>
          <w:b w:val="1"/>
          <w:bCs w:val="1"/>
          <w:color w:val="auto"/>
        </w:rPr>
        <w:t>Secured Notes</w:t>
      </w:r>
      <w:r>
        <w:rPr>
          <w:rFonts w:ascii="Arial" w:cs="Arial" w:eastAsia="Arial" w:hAnsi="Arial"/>
          <w:sz w:val="14"/>
          <w:szCs w:val="14"/>
          <w:color w:val="auto"/>
        </w:rPr>
        <w:t>—In January 2011, the Company redeemed the $312.3 million remaining principal balance of its 10% 2014 secured exchange notes and recorded a</w:t>
      </w:r>
      <w:r>
        <w:rPr>
          <w:rFonts w:ascii="Arial" w:cs="Arial" w:eastAsia="Arial" w:hAnsi="Arial"/>
          <w:sz w:val="14"/>
          <w:szCs w:val="14"/>
          <w:b w:val="1"/>
          <w:bCs w:val="1"/>
          <w:color w:val="auto"/>
        </w:rPr>
        <w:t xml:space="preserve"> </w:t>
      </w:r>
      <w:r>
        <w:rPr>
          <w:rFonts w:ascii="Arial" w:cs="Arial" w:eastAsia="Arial" w:hAnsi="Arial"/>
          <w:sz w:val="14"/>
          <w:szCs w:val="14"/>
          <w:color w:val="auto"/>
        </w:rPr>
        <w:t>gain on early extinguishment of debt of $109.0 million primarily related to the recognition of deferred gain premiums that resulted from a previous debt exchange.</w:t>
      </w:r>
    </w:p>
    <w:p>
      <w:pPr>
        <w:spacing w:after="0" w:line="23"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During 2010, the Company redeemed or repurchased $322.5 million par value of its 2011 and 2014 Notes, generating $71.3 million of gains on early extinguishment of debt.</w:t>
      </w:r>
    </w:p>
    <w:p>
      <w:pPr>
        <w:spacing w:after="0" w:line="9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6"/>
          <w:szCs w:val="16"/>
          <w:b w:val="1"/>
          <w:bCs w:val="1"/>
          <w:color w:val="auto"/>
        </w:rPr>
        <w:t>Unsecured Notes</w:t>
      </w:r>
      <w:r>
        <w:rPr>
          <w:rFonts w:ascii="Arial" w:cs="Arial" w:eastAsia="Arial" w:hAnsi="Arial"/>
          <w:sz w:val="16"/>
          <w:szCs w:val="16"/>
          <w:color w:val="auto"/>
        </w:rPr>
        <w:t>—In November 2012, the Company issued $300.0 million aggregate principal of 7.125% senior unsecured notes due February 2018 and issued</w:t>
      </w:r>
      <w:r>
        <w:rPr>
          <w:rFonts w:ascii="Arial" w:cs="Arial" w:eastAsia="Arial" w:hAnsi="Arial"/>
          <w:sz w:val="16"/>
          <w:szCs w:val="16"/>
          <w:b w:val="1"/>
          <w:bCs w:val="1"/>
          <w:color w:val="auto"/>
        </w:rPr>
        <w:t xml:space="preserve"> </w:t>
      </w:r>
      <w:r>
        <w:rPr>
          <w:rFonts w:ascii="Arial" w:cs="Arial" w:eastAsia="Arial" w:hAnsi="Arial"/>
          <w:sz w:val="16"/>
          <w:szCs w:val="16"/>
          <w:color w:val="auto"/>
        </w:rPr>
        <w:t>$200.0 million aggregate principal of 3.00% convertible senior unsecured notes due November 2016. Proceeds from these transactions were used to fully repay $67.1 million of the 6.5% senior unsecured notes due December 2013 and partially repay $404.9 million of the 8.625% senior unsecured notes due June 2013. In connection with these repurchases, the Company paid a $14.9 million prepayment penalty which was reflected in "Gain (loss) on early extinguishment of debt, net" on the Company's Consolidated Statements of Operations for the year ended December 31, 2012.</w:t>
      </w:r>
    </w:p>
    <w:p>
      <w:pPr>
        <w:spacing w:after="0" w:line="168"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In May 2012, the Company issued $275.0 million aggregate principal of 9.0% senior unsecured notes due June 2017 that were sold at 98.012% of their principal amount.</w:t>
      </w:r>
    </w:p>
    <w:p>
      <w:pPr>
        <w:spacing w:after="0" w:line="172" w:lineRule="exact"/>
        <w:rPr>
          <w:sz w:val="20"/>
          <w:szCs w:val="20"/>
          <w:color w:val="auto"/>
        </w:rPr>
      </w:pPr>
    </w:p>
    <w:p>
      <w:pPr>
        <w:jc w:val="both"/>
        <w:ind w:firstLine="397"/>
        <w:spacing w:after="0" w:line="248" w:lineRule="auto"/>
        <w:rPr>
          <w:sz w:val="20"/>
          <w:szCs w:val="20"/>
          <w:color w:val="auto"/>
        </w:rPr>
      </w:pPr>
      <w:r>
        <w:rPr>
          <w:rFonts w:ascii="Arial" w:cs="Arial" w:eastAsia="Arial" w:hAnsi="Arial"/>
          <w:sz w:val="17"/>
          <w:szCs w:val="17"/>
          <w:color w:val="auto"/>
        </w:rPr>
        <w:t>During the year ended December 31, 2012, the Company repaid, upon maturity, the $460.7 million outstanding principal balance of its LIBOR + 0.50% senior unsecured convertible notes, the $169.7 million outstanding principal balance of its 5.15% senior unsecured notes and the $90.3 million outstanding principal balance of its 5.50% senior unsecured notes. In addition, the Company repurchased $420.4 million par value of senior unsecured notes with various maturities ranging from March 2012 to October 2012. In connection with these repurchases, the Company recorded aggregate gains on early extinguishment of debt of $3.2 million, for the year ended December 31,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jc w:val="both"/>
        <w:ind w:left="1" w:firstLine="397"/>
        <w:spacing w:after="0" w:line="248" w:lineRule="auto"/>
        <w:rPr>
          <w:sz w:val="20"/>
          <w:szCs w:val="20"/>
          <w:color w:val="auto"/>
        </w:rPr>
      </w:pPr>
      <w:r>
        <w:rPr>
          <w:rFonts w:ascii="Arial" w:cs="Arial" w:eastAsia="Arial" w:hAnsi="Arial"/>
          <w:sz w:val="17"/>
          <w:szCs w:val="17"/>
          <w:color w:val="auto"/>
        </w:rPr>
        <w:t>During the year ended December 31, 2011, the Company repaid, upon maturity, the $170.4 million outstanding principal balance of its 5.65% senior unsecured notes, the $96.9 million outstanding principal balance of its 5.125% senior unsecured notes and the $107.8 million outstanding principal balance of its 5.80% senior unsecured senior notes. In addition, the Company repurchased $97.2 million par value of its senior unsecured notes with various maturities ranging from September 2011 to October 2012. In connection with these repurchases, the Company recorded an aggregate gain on early extinguishment of debt of $0.8 million for the year ended December 31, 2011.</w:t>
      </w:r>
    </w:p>
    <w:p>
      <w:pPr>
        <w:spacing w:after="0" w:line="231"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color w:val="auto"/>
        </w:rPr>
        <w:t>During the year ended December 31, 2010, the Company repurchased $592.8 million par value of senior unsecured notes with various maturities ranging from March 2010 to March 2014 generating $59.7 million in net gains on early extinguishment of debt.</w:t>
      </w:r>
    </w:p>
    <w:p>
      <w:pPr>
        <w:spacing w:after="0" w:line="94" w:lineRule="exact"/>
        <w:rPr>
          <w:sz w:val="20"/>
          <w:szCs w:val="20"/>
          <w:color w:val="auto"/>
        </w:rPr>
      </w:pPr>
    </w:p>
    <w:p>
      <w:pPr>
        <w:jc w:val="both"/>
        <w:ind w:left="1" w:firstLine="397"/>
        <w:spacing w:after="0" w:line="265" w:lineRule="auto"/>
        <w:rPr>
          <w:sz w:val="20"/>
          <w:szCs w:val="20"/>
          <w:color w:val="auto"/>
        </w:rPr>
      </w:pPr>
      <w:r>
        <w:rPr>
          <w:rFonts w:ascii="Arial" w:cs="Arial" w:eastAsia="Arial" w:hAnsi="Arial"/>
          <w:sz w:val="17"/>
          <w:szCs w:val="17"/>
          <w:b w:val="1"/>
          <w:bCs w:val="1"/>
          <w:color w:val="auto"/>
        </w:rPr>
        <w:t>Unencumbered/Encumbered Assets</w:t>
      </w:r>
      <w:r>
        <w:rPr>
          <w:rFonts w:ascii="Arial" w:cs="Arial" w:eastAsia="Arial" w:hAnsi="Arial"/>
          <w:sz w:val="17"/>
          <w:szCs w:val="17"/>
          <w:color w:val="auto"/>
        </w:rPr>
        <w:t>—As of December 31, 2012, the carrying value of the Company's unencumbered and encumbered assets by asset type are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 ($ in thousands):</w:t>
      </w:r>
    </w:p>
    <w:p>
      <w:pPr>
        <w:spacing w:after="0" w:line="371" w:lineRule="exact"/>
        <w:rPr>
          <w:sz w:val="20"/>
          <w:szCs w:val="20"/>
          <w:color w:val="auto"/>
        </w:rPr>
      </w:pPr>
    </w:p>
    <w:tbl>
      <w:tblPr>
        <w:tblLayout w:type="fixed"/>
        <w:tblInd w:w="241"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89"/>
              </w:rPr>
              <w:t>As of December 31,</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41"/>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center"/>
              <w:ind w:right="126"/>
              <w:spacing w:after="0"/>
              <w:rPr>
                <w:sz w:val="20"/>
                <w:szCs w:val="20"/>
                <w:color w:val="auto"/>
              </w:rPr>
            </w:pPr>
            <w:r>
              <w:rPr>
                <w:rFonts w:ascii="Arial" w:cs="Arial" w:eastAsia="Arial" w:hAnsi="Arial"/>
                <w:sz w:val="13"/>
                <w:szCs w:val="13"/>
                <w:b w:val="1"/>
                <w:bCs w:val="1"/>
                <w:color w:val="auto"/>
                <w:w w:val="89"/>
              </w:rPr>
              <w:t>2012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3"/>
                <w:szCs w:val="13"/>
                <w:b w:val="1"/>
                <w:bCs w:val="1"/>
                <w:color w:val="auto"/>
                <w:w w:val="82"/>
              </w:rPr>
              <w:t>2011</w:t>
            </w:r>
          </w:p>
        </w:tc>
        <w:tc>
          <w:tcPr>
            <w:tcW w:w="960" w:type="dxa"/>
            <w:vAlign w:val="bottom"/>
            <w:tcBorders>
              <w:bottom w:val="single" w:sz="8" w:color="auto"/>
            </w:tcBorders>
          </w:tcPr>
          <w:p>
            <w:pPr>
              <w:spacing w:after="0"/>
              <w:rPr>
                <w:sz w:val="20"/>
                <w:szCs w:val="20"/>
                <w:color w:val="auto"/>
              </w:rPr>
            </w:pPr>
          </w:p>
        </w:tc>
      </w:tr>
      <w:tr>
        <w:trPr>
          <w:trHeight w:val="241"/>
        </w:trPr>
        <w:tc>
          <w:tcPr>
            <w:tcW w:w="54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Encumbered Assets</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Unencumbered Assets</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9"/>
              </w:rPr>
              <w:t>Encumbered Assets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Unencumbered Assets</w:t>
            </w:r>
          </w:p>
        </w:tc>
      </w:tr>
      <w:tr>
        <w:trPr>
          <w:trHeight w:val="22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net</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1,794,198</w:t>
            </w:r>
          </w:p>
        </w:tc>
        <w:tc>
          <w:tcPr>
            <w:tcW w:w="540" w:type="dxa"/>
            <w:vAlign w:val="bottom"/>
            <w:tcBorders>
              <w:bottom w:val="single" w:sz="8" w:color="CCEEFF"/>
            </w:tcBorders>
            <w:gridSpan w:val="2"/>
            <w:shd w:val="clear" w:color="auto" w:fill="CCEEFF"/>
          </w:tcPr>
          <w:p>
            <w:pPr>
              <w:jc w:val="center"/>
              <w:ind w:right="10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1,004,825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1,533,579</w:t>
            </w:r>
          </w:p>
        </w:tc>
        <w:tc>
          <w:tcPr>
            <w:tcW w:w="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1,414,332</w:t>
            </w:r>
          </w:p>
        </w:tc>
      </w:tr>
      <w:tr>
        <w:trPr>
          <w:trHeight w:val="222"/>
        </w:trPr>
        <w:tc>
          <w:tcPr>
            <w:tcW w:w="5480" w:type="dxa"/>
            <w:vAlign w:val="bottom"/>
          </w:tcPr>
          <w:p>
            <w:pPr>
              <w:ind w:left="40"/>
              <w:spacing w:after="0"/>
              <w:rPr>
                <w:sz w:val="20"/>
                <w:szCs w:val="20"/>
                <w:color w:val="auto"/>
              </w:rPr>
            </w:pPr>
            <w:r>
              <w:rPr>
                <w:rFonts w:ascii="Arial" w:cs="Arial" w:eastAsia="Arial" w:hAnsi="Arial"/>
                <w:sz w:val="17"/>
                <w:szCs w:val="17"/>
                <w:color w:val="auto"/>
              </w:rPr>
              <w:t>Real estate available and held for sale</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141,673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494,192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177,092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500,366</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Loans receivable, net(1)</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1,197,373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665,712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1,780,591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1,153,671</w:t>
            </w:r>
          </w:p>
        </w:tc>
      </w:tr>
      <w:tr>
        <w:trPr>
          <w:trHeight w:val="222"/>
        </w:trPr>
        <w:tc>
          <w:tcPr>
            <w:tcW w:w="5480" w:type="dxa"/>
            <w:vAlign w:val="bottom"/>
          </w:tcPr>
          <w:p>
            <w:pPr>
              <w:ind w:left="40"/>
              <w:spacing w:after="0"/>
              <w:rPr>
                <w:sz w:val="20"/>
                <w:szCs w:val="20"/>
                <w:color w:val="auto"/>
              </w:rPr>
            </w:pPr>
            <w:r>
              <w:rPr>
                <w:rFonts w:ascii="Arial" w:cs="Arial" w:eastAsia="Arial" w:hAnsi="Arial"/>
                <w:sz w:val="17"/>
                <w:szCs w:val="17"/>
                <w:color w:val="auto"/>
              </w:rPr>
              <w:t>Other investments</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43,545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355,298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419,878</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487,073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573,871</w:t>
            </w:r>
          </w:p>
        </w:tc>
      </w:tr>
      <w:tr>
        <w:trPr>
          <w:trHeight w:val="234"/>
        </w:trPr>
        <w:tc>
          <w:tcPr>
            <w:tcW w:w="5480" w:type="dxa"/>
            <w:vAlign w:val="bottom"/>
          </w:tcPr>
          <w:p>
            <w:pPr>
              <w:ind w:left="16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3,176,789</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center"/>
              <w:ind w:right="22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3,007,100</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3,529,219</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4,062,118</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 of December 31, 2012 and 2011, the amounts presented exclude general reserves for loan losses of $33.1 million and $73.5 million, respectively.</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Debt Covenants</w:t>
      </w:r>
    </w:p>
    <w:p>
      <w:pPr>
        <w:spacing w:after="0" w:line="206" w:lineRule="exact"/>
        <w:rPr>
          <w:sz w:val="20"/>
          <w:szCs w:val="20"/>
          <w:color w:val="auto"/>
        </w:rPr>
      </w:pPr>
    </w:p>
    <w:p>
      <w:pPr>
        <w:jc w:val="both"/>
        <w:ind w:left="1" w:firstLine="397"/>
        <w:spacing w:after="0" w:line="265"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it will continue to be permitted to incur indebtedness for the purpose of refinancing existing indebtedness and for other permitted purposes under the indentures.</w:t>
      </w:r>
    </w:p>
    <w:p>
      <w:pPr>
        <w:spacing w:after="0" w:line="171" w:lineRule="exact"/>
        <w:rPr>
          <w:sz w:val="20"/>
          <w:szCs w:val="20"/>
          <w:color w:val="auto"/>
        </w:rPr>
      </w:pPr>
    </w:p>
    <w:p>
      <w:pPr>
        <w:jc w:val="both"/>
        <w:ind w:left="1" w:firstLine="397"/>
        <w:spacing w:after="0" w:line="263" w:lineRule="auto"/>
        <w:rPr>
          <w:sz w:val="20"/>
          <w:szCs w:val="20"/>
          <w:color w:val="auto"/>
        </w:rPr>
      </w:pPr>
      <w:r>
        <w:rPr>
          <w:rFonts w:ascii="Arial" w:cs="Arial" w:eastAsia="Arial" w:hAnsi="Arial"/>
          <w:sz w:val="16"/>
          <w:szCs w:val="16"/>
          <w:color w:val="auto"/>
        </w:rPr>
        <w:t>The Company's March 2012 Secured Credit Facilities and October 2012 Secured Credit Facility are collectively defined as the "Secured Credit Facilities." The Company's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Secured Credit Facilities permit the Company to distribute 100% of its REIT taxable income on an annual basis and the October 2012 Secured Credit Facility permits the Company to distribute to its shareholders real estate assets, or interests therein, having an aggregate equity value not to exceed $200 million, so long as such assets are not collateral for the October 2012 Secured Credit Facility. The Company may not pay common dividends if it ceases to qualify as a REIT (except that the October 2012 Secured Credit Facility permits us to distribute certain real estate assets as described in the preceding sentence).</w:t>
      </w:r>
    </w:p>
    <w:p>
      <w:pPr>
        <w:spacing w:after="0" w:line="174"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The Company's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1"/>
          </w:cols>
          <w:pgMar w:left="239" w:top="121" w:right="239" w:bottom="1440" w:gutter="0" w:footer="0" w:header="0"/>
        </w:sectPr>
      </w:pPr>
    </w:p>
    <w:bookmarkStart w:id="79" w:name="page80"/>
    <w:bookmarkEnd w:id="79"/>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9—Commitments and Contingencies</w:t>
      </w:r>
    </w:p>
    <w:p>
      <w:pPr>
        <w:spacing w:after="0" w:line="202" w:lineRule="exact"/>
        <w:rPr>
          <w:sz w:val="20"/>
          <w:szCs w:val="20"/>
          <w:color w:val="auto"/>
        </w:rPr>
      </w:pPr>
    </w:p>
    <w:p>
      <w:pPr>
        <w:jc w:val="both"/>
        <w:ind w:firstLine="596"/>
        <w:spacing w:after="0" w:line="265" w:lineRule="auto"/>
        <w:rPr>
          <w:sz w:val="20"/>
          <w:szCs w:val="20"/>
          <w:color w:val="auto"/>
        </w:rPr>
      </w:pPr>
      <w:r>
        <w:rPr>
          <w:rFonts w:ascii="Arial" w:cs="Arial" w:eastAsia="Arial" w:hAnsi="Arial"/>
          <w:sz w:val="16"/>
          <w:szCs w:val="16"/>
          <w:b w:val="1"/>
          <w:bCs w:val="1"/>
          <w:color w:val="auto"/>
        </w:rPr>
        <w:t>Business Risks and Uncertainties—</w:t>
      </w:r>
      <w:r>
        <w:rPr>
          <w:rFonts w:ascii="Arial" w:cs="Arial" w:eastAsia="Arial" w:hAnsi="Arial"/>
          <w:sz w:val="16"/>
          <w:szCs w:val="16"/>
          <w:color w:val="auto"/>
        </w:rPr>
        <w:t>The Company's business continues to recover from the recent economic recession, as commercial real estate values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of liquidity have improved. The Company raised approximately $3.51 billion through secured and unsecured debt transactions in 2012, the proceeds of which were used to repay and/or refinance a significant portion of its debt that was due to mature before 2017. The Company's three unsecured senior notes transactions in 2012 marked the first time that the Company accessed the unsecured debt markets since 2008 and, following an upgrade in the Company's corporate credit ratings, the Company saw a material improvement in the interest rates associated with its unsecured senior notes issued in the latter half of 2012, as compared to the notes issued in the first half of the year. Subsequent to year end, the Company was also able to further reduce the interest costs associated with its October 2012 Secured Credit Facility by amending and restating that facility (see Note 17 for further details).</w:t>
      </w:r>
    </w:p>
    <w:p>
      <w:pPr>
        <w:spacing w:after="0" w:line="170" w:lineRule="exact"/>
        <w:rPr>
          <w:sz w:val="20"/>
          <w:szCs w:val="20"/>
          <w:color w:val="auto"/>
        </w:rPr>
      </w:pPr>
    </w:p>
    <w:p>
      <w:pPr>
        <w:jc w:val="both"/>
        <w:ind w:firstLine="596"/>
        <w:spacing w:after="0" w:line="314" w:lineRule="auto"/>
        <w:rPr>
          <w:sz w:val="20"/>
          <w:szCs w:val="20"/>
          <w:color w:val="auto"/>
        </w:rPr>
      </w:pPr>
      <w:r>
        <w:rPr>
          <w:rFonts w:ascii="Arial" w:cs="Arial" w:eastAsia="Arial" w:hAnsi="Arial"/>
          <w:sz w:val="14"/>
          <w:szCs w:val="14"/>
          <w:color w:val="auto"/>
        </w:rPr>
        <w:t>While the Company has benefited from generally improving conditions in the economy and real estate markets, it nonetheless continues to be impacted by the effects of the recent financial crisis. Non-performing assets and the carrying costs of owned real estate remain a drag on the Company's earnings. In addition, the Company's necessary focus on deleveraging and compliance with its debt covenants have curtailed its origination of new investments. The Company continues to work on resolving its remaining non-performing loans and stabilizing and extracting value from its owned real estate. Continued improvement in the Company's financial condition and operating results and its ability to generate sufficient liquidity at market rates are dependent on a sustained economic recovery, which cannot be predicted with certainty.</w:t>
      </w:r>
    </w:p>
    <w:p>
      <w:pPr>
        <w:spacing w:after="0" w:line="138" w:lineRule="exact"/>
        <w:rPr>
          <w:sz w:val="20"/>
          <w:szCs w:val="20"/>
          <w:color w:val="auto"/>
        </w:rPr>
      </w:pPr>
    </w:p>
    <w:p>
      <w:pPr>
        <w:jc w:val="both"/>
        <w:ind w:firstLine="596"/>
        <w:spacing w:after="0" w:line="314" w:lineRule="auto"/>
        <w:rPr>
          <w:sz w:val="20"/>
          <w:szCs w:val="20"/>
          <w:color w:val="auto"/>
        </w:rPr>
      </w:pPr>
      <w:r>
        <w:rPr>
          <w:rFonts w:ascii="Arial" w:cs="Arial" w:eastAsia="Arial" w:hAnsi="Arial"/>
          <w:sz w:val="14"/>
          <w:szCs w:val="14"/>
          <w:color w:val="auto"/>
        </w:rPr>
        <w:t>As of December 31, 2012, the Company had $545.3 million of debt maturities due before December 31, 2013, with a majority of that amount due in October 2013. The Company's capital sources to meet its debt maturities throughout 2013 will primarily include cash on hand, as well as debt refinancings, proceeds from unencumbered asset sales and loan repayments from borrowers, and may include equity capital raising transactions. As of December 31, 2012, the Company had unencumbered assets with a carrying value of approximately $3.01 billion. As further described in Note 17, in January 2013 the Company entered into a definitive agreement to sell its interest in LNR for approximate net proceeds of $220.0 million. This transaction is expected to close in the second quarter of 2013, subject to customary closing conditions.</w:t>
      </w:r>
    </w:p>
    <w:p>
      <w:pPr>
        <w:spacing w:after="0" w:line="138" w:lineRule="exact"/>
        <w:rPr>
          <w:sz w:val="20"/>
          <w:szCs w:val="20"/>
          <w:color w:val="auto"/>
        </w:rPr>
      </w:pPr>
    </w:p>
    <w:p>
      <w:pPr>
        <w:jc w:val="both"/>
        <w:ind w:firstLine="596"/>
        <w:spacing w:after="0" w:line="270" w:lineRule="auto"/>
        <w:rPr>
          <w:sz w:val="20"/>
          <w:szCs w:val="20"/>
          <w:color w:val="auto"/>
        </w:rPr>
      </w:pPr>
      <w:r>
        <w:rPr>
          <w:rFonts w:ascii="Arial" w:cs="Arial" w:eastAsia="Arial" w:hAnsi="Arial"/>
          <w:sz w:val="16"/>
          <w:szCs w:val="16"/>
          <w:color w:val="auto"/>
        </w:rPr>
        <w:t>The Company will adjust its plans as appropriate in response to changes in its expectations and changes in market conditions. It is also not possible for the Company to predict whether improving economic trends will continue, or to quantify the impact of these or other trends on its financial results. If the Company fails to repay its obligations as they become due, it would be an event of default under the relevant debt instruments, which could result in a cross-default and acceleration of the Company's other outstanding debt obligations, all of which would have a material adverse effect on the Company.</w:t>
      </w:r>
    </w:p>
    <w:p>
      <w:pPr>
        <w:spacing w:after="0" w:line="161"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—As of December 31, 2012, the maximum amount of fundings the Company may be required to make under each category, assuming all</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hurdles and milestones are met under the Performance-Based Commitments, that it approves all Discretionary Fundings and that 100% of its capital committed to Strategic Investments is drawn down, are as follows ($ in thousands):</w:t>
      </w:r>
    </w:p>
    <w:p>
      <w:pPr>
        <w:spacing w:after="0" w:line="306"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Strategic</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6"/>
        </w:trPr>
        <w:tc>
          <w:tcPr>
            <w:tcW w:w="3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Loans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Real Estate</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Investments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Total</w:t>
            </w:r>
          </w:p>
        </w:tc>
      </w:tr>
      <w:tr>
        <w:trPr>
          <w:trHeight w:val="22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Performance-Based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81,069</w:t>
            </w:r>
          </w:p>
        </w:tc>
      </w:tr>
      <w:tr>
        <w:trPr>
          <w:trHeight w:val="222"/>
        </w:trPr>
        <w:tc>
          <w:tcPr>
            <w:tcW w:w="3040" w:type="dxa"/>
            <w:vAlign w:val="bottom"/>
          </w:tcPr>
          <w:p>
            <w:pPr>
              <w:ind w:left="20"/>
              <w:spacing w:after="0"/>
              <w:rPr>
                <w:sz w:val="20"/>
                <w:szCs w:val="20"/>
                <w:color w:val="auto"/>
              </w:rPr>
            </w:pPr>
            <w:r>
              <w:rPr>
                <w:rFonts w:ascii="Arial" w:cs="Arial" w:eastAsia="Arial" w:hAnsi="Arial"/>
                <w:sz w:val="17"/>
                <w:szCs w:val="17"/>
                <w:color w:val="auto"/>
              </w:rPr>
              <w:t>Discretionary Fundings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6"/>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Strategic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47,322</w:t>
            </w:r>
          </w:p>
        </w:tc>
      </w:tr>
      <w:tr>
        <w:trPr>
          <w:trHeight w:val="234"/>
        </w:trPr>
        <w:tc>
          <w:tcPr>
            <w:tcW w:w="3040" w:type="dxa"/>
            <w:vAlign w:val="bottom"/>
          </w:tcPr>
          <w:p>
            <w:pPr>
              <w:ind w:left="16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44,853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36,318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47,322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128,493</w:t>
            </w: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03"/>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400"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Other Commitments</w:t>
      </w:r>
      <w:r>
        <w:rPr>
          <w:rFonts w:ascii="Arial" w:cs="Arial" w:eastAsia="Arial" w:hAnsi="Arial"/>
          <w:sz w:val="17"/>
          <w:szCs w:val="17"/>
          <w:color w:val="auto"/>
        </w:rPr>
        <w:t>—Total operating lease expense for the years ended December 31, 2012, 2011 and 2010 were $6.5 million, $7.2 million and $7.3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Future minimum lease obligations under non-cancelable operating leases are as follows ($ in thousands):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248"/>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2013</w:t>
            </w:r>
          </w:p>
        </w:tc>
        <w:tc>
          <w:tcPr>
            <w:tcW w:w="37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5,479</w:t>
            </w:r>
          </w:p>
        </w:tc>
      </w:tr>
      <w:tr>
        <w:trPr>
          <w:trHeight w:val="222"/>
        </w:trPr>
        <w:tc>
          <w:tcPr>
            <w:tcW w:w="4160" w:type="dxa"/>
            <w:vAlign w:val="bottom"/>
          </w:tcPr>
          <w:p>
            <w:pPr>
              <w:ind w:left="20"/>
              <w:spacing w:after="0"/>
              <w:rPr>
                <w:sz w:val="20"/>
                <w:szCs w:val="20"/>
                <w:color w:val="auto"/>
              </w:rPr>
            </w:pPr>
            <w:r>
              <w:rPr>
                <w:rFonts w:ascii="Arial" w:cs="Arial" w:eastAsia="Arial" w:hAnsi="Arial"/>
                <w:sz w:val="17"/>
                <w:szCs w:val="17"/>
                <w:color w:val="auto"/>
              </w:rPr>
              <w:t>2014</w:t>
            </w:r>
          </w:p>
        </w:tc>
        <w:tc>
          <w:tcPr>
            <w:tcW w:w="37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4,835</w:t>
            </w:r>
          </w:p>
        </w:tc>
      </w:tr>
      <w:tr>
        <w:trPr>
          <w:trHeight w:val="26"/>
        </w:trPr>
        <w:tc>
          <w:tcPr>
            <w:tcW w:w="4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2015</w:t>
            </w:r>
          </w:p>
        </w:tc>
        <w:tc>
          <w:tcPr>
            <w:tcW w:w="3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4,469</w:t>
            </w:r>
          </w:p>
        </w:tc>
      </w:tr>
      <w:tr>
        <w:trPr>
          <w:trHeight w:val="222"/>
        </w:trPr>
        <w:tc>
          <w:tcPr>
            <w:tcW w:w="4160" w:type="dxa"/>
            <w:vAlign w:val="bottom"/>
          </w:tcPr>
          <w:p>
            <w:pPr>
              <w:ind w:left="20"/>
              <w:spacing w:after="0"/>
              <w:rPr>
                <w:sz w:val="20"/>
                <w:szCs w:val="20"/>
                <w:color w:val="auto"/>
              </w:rPr>
            </w:pPr>
            <w:r>
              <w:rPr>
                <w:rFonts w:ascii="Arial" w:cs="Arial" w:eastAsia="Arial" w:hAnsi="Arial"/>
                <w:sz w:val="17"/>
                <w:szCs w:val="17"/>
                <w:color w:val="auto"/>
              </w:rPr>
              <w:t>2016</w:t>
            </w:r>
          </w:p>
        </w:tc>
        <w:tc>
          <w:tcPr>
            <w:tcW w:w="37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4,582</w:t>
            </w:r>
          </w:p>
        </w:tc>
      </w:tr>
      <w:tr>
        <w:trPr>
          <w:trHeight w:val="26"/>
        </w:trPr>
        <w:tc>
          <w:tcPr>
            <w:tcW w:w="4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3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4,210</w:t>
            </w:r>
          </w:p>
        </w:tc>
      </w:tr>
      <w:tr>
        <w:trPr>
          <w:trHeight w:val="222"/>
        </w:trPr>
        <w:tc>
          <w:tcPr>
            <w:tcW w:w="416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37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9,265</w:t>
            </w:r>
          </w:p>
        </w:tc>
      </w:tr>
    </w:tbl>
    <w:p>
      <w:pPr>
        <w:spacing w:after="0" w:line="1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also has issued letters of credit totaling $12.6 million in connection with five of its investments.</w:t>
      </w:r>
    </w:p>
    <w:p>
      <w:pPr>
        <w:spacing w:after="0" w:line="123"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 routine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incidental to the Company's business as a finance and investment company focused on the commercial real estate industry, including loan foreclosure and foreclosure-related proceedings.</w:t>
      </w:r>
    </w:p>
    <w:p>
      <w:pPr>
        <w:spacing w:after="0" w:line="178"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On June 4, 2012, the Company reached an agreement in principle with the plaintiffs' Court-appointed representatives in the previously reported Citiline class action to settle the litigation. Settlement payments will be primarily funded by the Company's insurance carriers, with the Company contributing $2.0 million to the settlement, which is included in "Other expense" on the Consolidated Statements of Operations for the year ended December 31, 2012. See "Part II. Item 1. Legal Proceedings" for further details and for other disclosures related to legal proceedings.</w:t>
      </w:r>
    </w:p>
    <w:p>
      <w:pPr>
        <w:spacing w:after="0" w:line="18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10—Risk Management and Derivatives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55"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6"/>
          <w:szCs w:val="16"/>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400" w:lineRule="exact"/>
        <w:rPr>
          <w:sz w:val="20"/>
          <w:szCs w:val="20"/>
          <w:color w:val="auto"/>
        </w:rPr>
      </w:pPr>
    </w:p>
    <w:p>
      <w:pPr>
        <w:ind w:left="401"/>
        <w:spacing w:after="0"/>
        <w:rPr>
          <w:sz w:val="20"/>
          <w:szCs w:val="20"/>
          <w:color w:val="auto"/>
        </w:rPr>
      </w:pPr>
      <w:r>
        <w:rPr>
          <w:rFonts w:ascii="Arial" w:cs="Arial" w:eastAsia="Arial" w:hAnsi="Arial"/>
          <w:sz w:val="14"/>
          <w:szCs w:val="14"/>
          <w:b w:val="1"/>
          <w:bCs w:val="1"/>
          <w:color w:val="auto"/>
        </w:rPr>
        <w:t>Risk concentrations</w:t>
      </w:r>
      <w:r>
        <w:rPr>
          <w:rFonts w:ascii="Arial" w:cs="Arial" w:eastAsia="Arial" w:hAnsi="Arial"/>
          <w:sz w:val="14"/>
          <w:szCs w:val="14"/>
          <w:color w:val="auto"/>
        </w:rPr>
        <w:t>—As of December 31, 2012, the Company's total investment portfolio was comprised of the following property/collateral types ($ in thousands)</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7"/>
          <w:szCs w:val="17"/>
          <w:color w:val="auto"/>
        </w:rPr>
        <w:t>(1):</w:t>
      </w:r>
    </w:p>
    <w:p>
      <w:pPr>
        <w:spacing w:after="0" w:line="200" w:lineRule="exact"/>
        <w:rPr>
          <w:sz w:val="20"/>
          <w:szCs w:val="20"/>
          <w:color w:val="auto"/>
        </w:rPr>
      </w:pPr>
    </w:p>
    <w:p>
      <w:pPr>
        <w:spacing w:after="0" w:line="243" w:lineRule="exact"/>
        <w:rPr>
          <w:sz w:val="20"/>
          <w:szCs w:val="20"/>
          <w:color w:val="auto"/>
        </w:rPr>
      </w:pPr>
    </w:p>
    <w:tbl>
      <w:tblPr>
        <w:tblLayout w:type="fixed"/>
        <w:tblInd w:w="2041"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3"/>
                <w:szCs w:val="13"/>
                <w:b w:val="1"/>
                <w:bCs w:val="1"/>
                <w:color w:val="auto"/>
                <w:w w:val="91"/>
              </w:rPr>
              <w:t>Real Estate</w:t>
            </w:r>
          </w:p>
        </w:tc>
        <w:tc>
          <w:tcPr>
            <w:tcW w:w="20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Net Lease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Operating</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60"/>
              <w:spacing w:after="0"/>
              <w:rPr>
                <w:sz w:val="20"/>
                <w:szCs w:val="20"/>
                <w:color w:val="auto"/>
              </w:rPr>
            </w:pPr>
            <w:r>
              <w:rPr>
                <w:rFonts w:ascii="Arial" w:cs="Arial" w:eastAsia="Arial" w:hAnsi="Arial"/>
                <w:sz w:val="13"/>
                <w:szCs w:val="13"/>
                <w:b w:val="1"/>
                <w:bCs w:val="1"/>
                <w:color w:val="auto"/>
              </w:rPr>
              <w:t>% of</w:t>
            </w:r>
          </w:p>
        </w:tc>
      </w:tr>
      <w:tr>
        <w:trPr>
          <w:trHeight w:val="176"/>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Property/Collateral Types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Finance</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Properties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r>
      <w:tr>
        <w:trPr>
          <w:trHeight w:val="226"/>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297,039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970,593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$ 1,267,632</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22"/>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Office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124,058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301,304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258,977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684,339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Condominium</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237,534</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385,229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622,763</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2"/>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Industrial / R&amp;D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94,617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472,149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622,205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Retail</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293,651</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528,180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1"/>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Entertainment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Leisure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98,423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414,849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513,286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Hotel</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298,293</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91,746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84,375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474,414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1"/>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Mixed Use / Mixed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1660" w:type="dxa"/>
            <w:vAlign w:val="bottom"/>
            <w:gridSpan w:val="2"/>
          </w:tcPr>
          <w:p>
            <w:pPr>
              <w:ind w:left="20"/>
              <w:spacing w:after="0"/>
              <w:rPr>
                <w:sz w:val="20"/>
                <w:szCs w:val="20"/>
                <w:color w:val="auto"/>
              </w:rPr>
            </w:pPr>
            <w:r>
              <w:rPr>
                <w:rFonts w:ascii="Arial" w:cs="Arial" w:eastAsia="Arial" w:hAnsi="Arial"/>
                <w:sz w:val="17"/>
                <w:szCs w:val="17"/>
                <w:color w:val="auto"/>
              </w:rPr>
              <w:t>Collateral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237,989</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179,337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417,326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9"/>
              </w:rPr>
              <w:t>Other Property Types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181,481</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215,446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1660" w:type="dxa"/>
            <w:vAlign w:val="bottom"/>
            <w:gridSpan w:val="2"/>
          </w:tcPr>
          <w:p>
            <w:pPr>
              <w:ind w:left="20"/>
              <w:spacing w:after="0"/>
              <w:rPr>
                <w:sz w:val="20"/>
                <w:szCs w:val="20"/>
                <w:color w:val="auto"/>
              </w:rPr>
            </w:pPr>
            <w:r>
              <w:rPr>
                <w:rFonts w:ascii="Arial" w:cs="Arial" w:eastAsia="Arial" w:hAnsi="Arial"/>
                <w:sz w:val="17"/>
                <w:szCs w:val="17"/>
                <w:color w:val="auto"/>
                <w:w w:val="99"/>
              </w:rPr>
              <w:t>Strategic Investments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351,225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
        </w:trPr>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4"/>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1,863,085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1,340,001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1,171,912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970,593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$ 5,696,816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the carrying value of the Company's total investment portfolio gross of general loan loss reserves.</w:t>
      </w:r>
    </w:p>
    <w:p>
      <w:pPr>
        <w:spacing w:after="0" w:line="127"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As of December 31, 2012, the Company's total investment portfolio had the following characteristics by geographical region ($ in thousands)(1):</w:t>
      </w:r>
    </w:p>
    <w:p>
      <w:pPr>
        <w:spacing w:after="0" w:line="255" w:lineRule="exact"/>
        <w:rPr>
          <w:sz w:val="20"/>
          <w:szCs w:val="20"/>
          <w:color w:val="auto"/>
        </w:rPr>
      </w:pPr>
    </w:p>
    <w:tbl>
      <w:tblPr>
        <w:tblLayout w:type="fixed"/>
        <w:tblInd w:w="2041"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Lease</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Operating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3"/>
                <w:szCs w:val="13"/>
                <w:b w:val="1"/>
                <w:bCs w:val="1"/>
                <w:color w:val="auto"/>
              </w:rPr>
              <w:t>% of</w:t>
            </w:r>
          </w:p>
        </w:tc>
      </w:tr>
      <w:tr>
        <w:trPr>
          <w:trHeight w:val="176"/>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Geographic Region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Finance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Properties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Land</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r>
      <w:tr>
        <w:trPr>
          <w:trHeight w:val="226"/>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340,457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340,896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237,496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367,470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$ 1,286,319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w:t>
            </w:r>
          </w:p>
        </w:tc>
      </w:tr>
      <w:tr>
        <w:trPr>
          <w:trHeight w:val="222"/>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Northeast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421,660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317,003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175,894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180,744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1,095,301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6"/>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308,559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201,535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251,410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89,035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850,539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2"/>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Southwest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197,478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209,424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120,293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709,524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6"/>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Mid-Atlantic</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43,866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104,205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217,379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180,290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545,740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2"/>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International(2)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308,210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308,210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6"/>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Central</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159,460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68,434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61,938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9,500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299,332</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Northwest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83,236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23,261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181,277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6"/>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Various</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69,190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69,349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1"/>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Strategic</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9"/>
        </w:trPr>
        <w:tc>
          <w:tcPr>
            <w:tcW w:w="1740" w:type="dxa"/>
            <w:vAlign w:val="bottom"/>
            <w:gridSpan w:val="2"/>
          </w:tcPr>
          <w:p>
            <w:pPr>
              <w:ind w:left="20"/>
              <w:spacing w:after="0"/>
              <w:rPr>
                <w:sz w:val="20"/>
                <w:szCs w:val="20"/>
                <w:color w:val="auto"/>
              </w:rPr>
            </w:pPr>
            <w:r>
              <w:rPr>
                <w:rFonts w:ascii="Arial" w:cs="Arial" w:eastAsia="Arial" w:hAnsi="Arial"/>
                <w:sz w:val="17"/>
                <w:szCs w:val="17"/>
                <w:color w:val="auto"/>
              </w:rPr>
              <w:t>Investments(2)</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351,225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
        </w:trPr>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4"/>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1,863,085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1,340,001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1,171,912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970,593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$ 5,696,816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the carrying value of the Company's total investment portfolio gross of general loan loss reserves.</w:t>
      </w:r>
    </w:p>
    <w:p>
      <w:pPr>
        <w:spacing w:after="0" w:line="9" w:lineRule="exact"/>
        <w:rPr>
          <w:rFonts w:ascii="Arial" w:cs="Arial" w:eastAsia="Arial" w:hAnsi="Arial"/>
          <w:sz w:val="13"/>
          <w:szCs w:val="13"/>
          <w:color w:val="auto"/>
        </w:rPr>
      </w:pPr>
    </w:p>
    <w:p>
      <w:pPr>
        <w:ind w:left="601" w:hanging="601"/>
        <w:spacing w:after="0" w:line="249" w:lineRule="auto"/>
        <w:tabs>
          <w:tab w:leader="none" w:pos="601" w:val="left"/>
        </w:tabs>
        <w:numPr>
          <w:ilvl w:val="0"/>
          <w:numId w:val="43"/>
        </w:numPr>
        <w:rPr>
          <w:rFonts w:ascii="Arial" w:cs="Arial" w:eastAsia="Arial" w:hAnsi="Arial"/>
          <w:sz w:val="13"/>
          <w:szCs w:val="13"/>
          <w:color w:val="auto"/>
        </w:rPr>
      </w:pPr>
      <w:r>
        <w:rPr>
          <w:rFonts w:ascii="Arial" w:cs="Arial" w:eastAsia="Arial" w:hAnsi="Arial"/>
          <w:sz w:val="13"/>
          <w:szCs w:val="13"/>
          <w:color w:val="auto"/>
        </w:rPr>
        <w:t>Strategic investments includes $36.6 million of international assets. Additionally, international and strategic investments include $228.7 million of European assets, including $117.6 million in Germany and $111.1 million in the United Kingdom.</w:t>
      </w:r>
    </w:p>
    <w:p>
      <w:pPr>
        <w:spacing w:after="0" w:line="105"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color w:val="auto"/>
        </w:rPr>
        <w:t>Concentrations of credit risks arise when a number of borrowers or tenants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1"/>
          </w:cols>
          <w:pgMar w:left="239" w:top="121" w:right="239" w:bottom="1440" w:gutter="0" w:footer="0" w:header="0"/>
        </w:sectPr>
      </w:pPr>
    </w:p>
    <w:bookmarkStart w:id="82" w:name="page83"/>
    <w:bookmarkEnd w:id="82"/>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monitors various segments of its portfolio to assess potential concentrations of credit risks. Management believes the current portfolio is reasonably well diversified and does not contain any significant concentration of credit risks.</w:t>
      </w:r>
    </w:p>
    <w:p>
      <w:pPr>
        <w:spacing w:after="0" w:line="22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Substantially all of the Company's real estate as well as assets collateralizing its loans receivable are located in the United States, with California 15.5% representing the only significant concentration greater than 10.0% as of December 31, 2012. The Company's portfolio contains significant concentrations in the following asset types as of December 31, 2012: land 22.3%, office 12.0%, condominium 11.0% and industrial/R&amp;D 10.9%.</w:t>
      </w:r>
    </w:p>
    <w:p>
      <w:pPr>
        <w:spacing w:after="0" w:line="228"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color w:val="auto"/>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an adverse effect on the Company. As of December 31, 2012, the Company's five largest borrowers or tenants collectively accounted for approximately $88.2 million of the Company's aggregate annualized interest and operating lease revenue, of which no single customer accounts for more than 7.2%.</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31"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6"/>
          <w:szCs w:val="16"/>
          <w:color w:val="auto"/>
        </w:rPr>
        <w:t>The Company's use of derivative financial instruments is primarily limited to the utilization of interest rate hedges and foreign exchange hedges. The principal objective of such hedges is to minimize the risks and/or costs associated with the Company's operating and financial structure and to manage its exposure to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table below presents the fair value of the Company's derivative financial instruments as well as their classification on the Consolidated Balance Sheets as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2012 and 2011 ($ in thousands):</w:t>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5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Derivative Assets as of December 31,</w:t>
            </w: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tcBorders>
              <w:bottom w:val="single" w:sz="8" w:color="auto"/>
            </w:tcBorders>
            <w:gridSpan w:val="7"/>
          </w:tcPr>
          <w:p>
            <w:pPr>
              <w:ind w:left="1300"/>
              <w:spacing w:after="0"/>
              <w:rPr>
                <w:sz w:val="20"/>
                <w:szCs w:val="20"/>
                <w:color w:val="auto"/>
              </w:rPr>
            </w:pPr>
            <w:r>
              <w:rPr>
                <w:rFonts w:ascii="Arial" w:cs="Arial" w:eastAsia="Arial" w:hAnsi="Arial"/>
                <w:sz w:val="13"/>
                <w:szCs w:val="13"/>
                <w:b w:val="1"/>
                <w:bCs w:val="1"/>
                <w:color w:val="auto"/>
              </w:rPr>
              <w:t>Derivative Liabilities as of 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241"/>
        </w:trPr>
        <w:tc>
          <w:tcPr>
            <w:tcW w:w="1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39"/>
        </w:trPr>
        <w:tc>
          <w:tcPr>
            <w:tcW w:w="15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9"/>
              </w:rPr>
              <w:t>Balance Sheet</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4"/>
              <w:spacing w:after="0" w:line="139" w:lineRule="exact"/>
              <w:rPr>
                <w:sz w:val="20"/>
                <w:szCs w:val="20"/>
                <w:color w:val="auto"/>
              </w:rPr>
            </w:pPr>
            <w:r>
              <w:rPr>
                <w:rFonts w:ascii="Arial" w:cs="Arial" w:eastAsia="Arial" w:hAnsi="Arial"/>
                <w:sz w:val="13"/>
                <w:szCs w:val="13"/>
                <w:b w:val="1"/>
                <w:bCs w:val="1"/>
                <w:color w:val="auto"/>
              </w:rPr>
              <w:t>Fair</w:t>
            </w: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9"/>
              </w:rPr>
              <w:t>Balance Sheet</w:t>
            </w:r>
          </w:p>
        </w:tc>
        <w:tc>
          <w:tcPr>
            <w:tcW w:w="6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Fair</w:t>
            </w: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7"/>
              </w:rPr>
              <w:t>Balance Sheet</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4"/>
              <w:spacing w:after="0" w:line="13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1480" w:type="dxa"/>
            <w:vAlign w:val="bottom"/>
            <w:tcBorders>
              <w:top w:val="single" w:sz="8" w:color="auto"/>
            </w:tcBorders>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9"/>
              </w:rPr>
              <w:t>Balance Sheet</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4"/>
              <w:spacing w:after="0" w:line="139" w:lineRule="exact"/>
              <w:rPr>
                <w:sz w:val="20"/>
                <w:szCs w:val="20"/>
                <w:color w:val="auto"/>
              </w:rPr>
            </w:pPr>
            <w:r>
              <w:rPr>
                <w:rFonts w:ascii="Arial" w:cs="Arial" w:eastAsia="Arial" w:hAnsi="Arial"/>
                <w:sz w:val="13"/>
                <w:szCs w:val="13"/>
                <w:b w:val="1"/>
                <w:bCs w:val="1"/>
                <w:color w:val="auto"/>
              </w:rPr>
              <w:t>Fair</w:t>
            </w:r>
          </w:p>
        </w:tc>
      </w:tr>
      <w:tr>
        <w:trPr>
          <w:trHeight w:val="176"/>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Derivative</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Location</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Location</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Location</w:t>
            </w: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Location</w:t>
            </w: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3"/>
                <w:szCs w:val="13"/>
                <w:b w:val="1"/>
                <w:bCs w:val="1"/>
                <w:color w:val="auto"/>
              </w:rPr>
              <w:t>Value</w:t>
            </w:r>
          </w:p>
        </w:tc>
      </w:tr>
      <w:tr>
        <w:trPr>
          <w:trHeight w:val="131"/>
        </w:trPr>
        <w:tc>
          <w:tcPr>
            <w:tcW w:w="150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Foreign exchange</w:t>
            </w: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r>
      <w:tr>
        <w:trPr>
          <w:trHeight w:val="178"/>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contracts</w:t>
            </w: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w:t>
            </w:r>
          </w:p>
        </w:tc>
        <w:tc>
          <w:tcPr>
            <w:tcW w:w="760" w:type="dxa"/>
            <w:vAlign w:val="bottom"/>
            <w:gridSpan w:val="2"/>
            <w:shd w:val="clear" w:color="auto" w:fill="CCEEFF"/>
          </w:tcPr>
          <w:p>
            <w:pPr>
              <w:jc w:val="right"/>
              <w:ind w:right="49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N/A</w:t>
            </w: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Liabilities</w:t>
            </w: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2,855</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1,342</w:t>
            </w:r>
          </w:p>
        </w:tc>
      </w:tr>
      <w:tr>
        <w:trPr>
          <w:trHeight w:val="145"/>
        </w:trPr>
        <w:tc>
          <w:tcPr>
            <w:tcW w:w="1500" w:type="dxa"/>
            <w:vAlign w:val="bottom"/>
          </w:tcPr>
          <w:p>
            <w:pPr>
              <w:ind w:left="20"/>
              <w:spacing w:after="0" w:line="146" w:lineRule="exact"/>
              <w:rPr>
                <w:sz w:val="20"/>
                <w:szCs w:val="20"/>
                <w:color w:val="auto"/>
              </w:rPr>
            </w:pPr>
            <w:r>
              <w:rPr>
                <w:rFonts w:ascii="Arial" w:cs="Arial" w:eastAsia="Arial" w:hAnsi="Arial"/>
                <w:sz w:val="13"/>
                <w:szCs w:val="13"/>
                <w:color w:val="auto"/>
              </w:rPr>
              <w:t>Cash flow interest rate</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2"/>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swap</w:t>
            </w:r>
          </w:p>
        </w:tc>
        <w:tc>
          <w:tcPr>
            <w:tcW w:w="1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N/A</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N/A</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Other Liabilities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580</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Liabilities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1,031</w:t>
            </w:r>
          </w:p>
        </w:tc>
      </w:tr>
      <w:tr>
        <w:trPr>
          <w:trHeight w:val="222"/>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9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3,435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2,373</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tables below present the effect of the Company's derivative financial instruments on the Consolidated Statements of Operations for the years ended</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color w:val="auto"/>
        </w:rPr>
        <w:t>December 31, 2012 and 2011 ($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Amount of Gain (Loss)</w:t>
            </w:r>
          </w:p>
        </w:tc>
        <w:tc>
          <w:tcPr>
            <w:tcW w:w="1820" w:type="dxa"/>
            <w:vAlign w:val="bottom"/>
          </w:tcPr>
          <w:p>
            <w:pPr>
              <w:spacing w:after="0"/>
              <w:rPr>
                <w:sz w:val="12"/>
                <w:szCs w:val="12"/>
                <w:color w:val="auto"/>
              </w:rPr>
            </w:pPr>
          </w:p>
        </w:tc>
      </w:tr>
      <w:tr>
        <w:trPr>
          <w:trHeight w:val="137"/>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2"/>
              </w:rPr>
              <w:t>Amount of Gain (Loss)</w:t>
            </w:r>
          </w:p>
        </w:tc>
        <w:tc>
          <w:tcPr>
            <w:tcW w:w="1920" w:type="dxa"/>
            <w:vAlign w:val="bottom"/>
            <w:gridSpan w:val="3"/>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Reclassified from Accumulated</w:t>
            </w:r>
          </w:p>
        </w:tc>
        <w:tc>
          <w:tcPr>
            <w:tcW w:w="1820" w:type="dxa"/>
            <w:vAlign w:val="bottom"/>
          </w:tcPr>
          <w:p>
            <w:pPr>
              <w:spacing w:after="0"/>
              <w:rPr>
                <w:sz w:val="11"/>
                <w:szCs w:val="11"/>
                <w:color w:val="auto"/>
              </w:rPr>
            </w:pPr>
          </w:p>
        </w:tc>
      </w:tr>
      <w:tr>
        <w:trPr>
          <w:trHeight w:val="137"/>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Location of Gain (Loss)</w:t>
            </w:r>
          </w:p>
        </w:tc>
        <w:tc>
          <w:tcPr>
            <w:tcW w:w="120" w:type="dxa"/>
            <w:vAlign w:val="bottom"/>
          </w:tcPr>
          <w:p>
            <w:pPr>
              <w:spacing w:after="0"/>
              <w:rPr>
                <w:sz w:val="11"/>
                <w:szCs w:val="11"/>
                <w:color w:val="auto"/>
              </w:rPr>
            </w:pPr>
          </w:p>
        </w:tc>
        <w:tc>
          <w:tcPr>
            <w:tcW w:w="18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89"/>
              </w:rPr>
              <w:t>Recognized in Accumulated</w:t>
            </w:r>
          </w:p>
        </w:tc>
        <w:tc>
          <w:tcPr>
            <w:tcW w:w="1920" w:type="dxa"/>
            <w:vAlign w:val="bottom"/>
            <w:gridSpan w:val="3"/>
          </w:tcPr>
          <w:p>
            <w:pPr>
              <w:jc w:val="center"/>
              <w:ind w:right="100"/>
              <w:spacing w:after="0" w:line="137" w:lineRule="exact"/>
              <w:rPr>
                <w:sz w:val="20"/>
                <w:szCs w:val="20"/>
                <w:color w:val="auto"/>
              </w:rPr>
            </w:pPr>
            <w:r>
              <w:rPr>
                <w:rFonts w:ascii="Arial" w:cs="Arial" w:eastAsia="Arial" w:hAnsi="Arial"/>
                <w:sz w:val="13"/>
                <w:szCs w:val="13"/>
                <w:b w:val="1"/>
                <w:bCs w:val="1"/>
                <w:color w:val="auto"/>
                <w:w w:val="91"/>
              </w:rPr>
              <w:t>Other Comprehensive Income</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2"/>
              </w:rPr>
              <w:t>Amount of Gain (Loss)</w:t>
            </w:r>
          </w:p>
        </w:tc>
      </w:tr>
      <w:tr>
        <w:trPr>
          <w:trHeight w:val="137"/>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Recognized in</w:t>
            </w:r>
          </w:p>
        </w:tc>
        <w:tc>
          <w:tcPr>
            <w:tcW w:w="1940" w:type="dxa"/>
            <w:vAlign w:val="bottom"/>
            <w:gridSpan w:val="3"/>
          </w:tcPr>
          <w:p>
            <w:pPr>
              <w:jc w:val="center"/>
              <w:ind w:right="120"/>
              <w:spacing w:after="0" w:line="137" w:lineRule="exact"/>
              <w:rPr>
                <w:sz w:val="20"/>
                <w:szCs w:val="20"/>
                <w:color w:val="auto"/>
              </w:rPr>
            </w:pPr>
            <w:r>
              <w:rPr>
                <w:rFonts w:ascii="Arial" w:cs="Arial" w:eastAsia="Arial" w:hAnsi="Arial"/>
                <w:sz w:val="13"/>
                <w:szCs w:val="13"/>
                <w:b w:val="1"/>
                <w:bCs w:val="1"/>
                <w:color w:val="auto"/>
                <w:w w:val="91"/>
              </w:rPr>
              <w:t>Other Comprehensive Income</w:t>
            </w:r>
          </w:p>
        </w:tc>
        <w:tc>
          <w:tcPr>
            <w:tcW w:w="160" w:type="dxa"/>
            <w:vAlign w:val="bottom"/>
          </w:tcPr>
          <w:p>
            <w:pPr>
              <w:spacing w:after="0"/>
              <w:rPr>
                <w:sz w:val="11"/>
                <w:szCs w:val="11"/>
                <w:color w:val="auto"/>
              </w:rPr>
            </w:pPr>
          </w:p>
        </w:tc>
        <w:tc>
          <w:tcPr>
            <w:tcW w:w="176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2"/>
              </w:rPr>
              <w:t>into Earnings (Effective</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Recognized in Earnings</w:t>
            </w:r>
          </w:p>
        </w:tc>
      </w:tr>
      <w:tr>
        <w:trPr>
          <w:trHeight w:val="17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Derivatives Designated in Hedging Relationships</w:t>
            </w: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Income on Derivative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2"/>
              </w:rPr>
              <w:t>(Effective Portion)</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2"/>
              </w:rPr>
              <w:t>Portion)</w:t>
            </w: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(Ineffective Portion)</w:t>
            </w:r>
          </w:p>
        </w:tc>
      </w:tr>
      <w:tr>
        <w:trPr>
          <w:trHeight w:val="234"/>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For Year Ended December 31, 2012</w:t>
            </w: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42"/>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Cash flow interest rate swap</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Interest Expense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(968)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14"/>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1"/>
                <w:szCs w:val="21"/>
                <w:color w:val="auto"/>
              </w:rPr>
            </w:pPr>
          </w:p>
        </w:tc>
        <w:tc>
          <w:tcPr>
            <w:tcW w:w="1820" w:type="dxa"/>
            <w:vAlign w:val="bottom"/>
          </w:tcPr>
          <w:p>
            <w:pPr>
              <w:ind w:left="1580"/>
              <w:spacing w:after="0"/>
              <w:rPr>
                <w:sz w:val="20"/>
                <w:szCs w:val="20"/>
                <w:color w:val="auto"/>
              </w:rPr>
            </w:pPr>
            <w:r>
              <w:rPr>
                <w:rFonts w:ascii="Arial" w:cs="Arial" w:eastAsia="Arial" w:hAnsi="Arial"/>
                <w:sz w:val="13"/>
                <w:szCs w:val="13"/>
                <w:color w:val="auto"/>
              </w:rPr>
              <w:t>N/A</w:t>
            </w:r>
          </w:p>
        </w:tc>
      </w:tr>
      <w:tr>
        <w:trPr>
          <w:trHeight w:val="254"/>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For the Year Ended December 31, 2011</w:t>
            </w: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Cash flow interest rate swap</w:t>
            </w:r>
          </w:p>
        </w:tc>
        <w:tc>
          <w:tcPr>
            <w:tcW w:w="1960" w:type="dxa"/>
            <w:vAlign w:val="bottom"/>
            <w:gridSpan w:val="2"/>
          </w:tcPr>
          <w:p>
            <w:pPr>
              <w:ind w:left="20"/>
              <w:spacing w:after="0"/>
              <w:rPr>
                <w:sz w:val="20"/>
                <w:szCs w:val="20"/>
                <w:color w:val="auto"/>
              </w:rPr>
            </w:pPr>
            <w:r>
              <w:rPr>
                <w:rFonts w:ascii="Arial" w:cs="Arial" w:eastAsia="Arial" w:hAnsi="Arial"/>
                <w:sz w:val="13"/>
                <w:szCs w:val="13"/>
                <w:color w:val="auto"/>
              </w:rPr>
              <w:t>Interest Expense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(1,553)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14"/>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20"/>
                <w:szCs w:val="20"/>
                <w:color w:val="auto"/>
              </w:rPr>
            </w:pPr>
          </w:p>
        </w:tc>
        <w:tc>
          <w:tcPr>
            <w:tcW w:w="1820" w:type="dxa"/>
            <w:vAlign w:val="bottom"/>
          </w:tcPr>
          <w:p>
            <w:pPr>
              <w:ind w:left="1580"/>
              <w:spacing w:after="0"/>
              <w:rPr>
                <w:sz w:val="20"/>
                <w:szCs w:val="20"/>
                <w:color w:val="auto"/>
              </w:rPr>
            </w:pPr>
            <w:r>
              <w:rPr>
                <w:rFonts w:ascii="Arial" w:cs="Arial" w:eastAsia="Arial" w:hAnsi="Arial"/>
                <w:sz w:val="13"/>
                <w:szCs w:val="13"/>
                <w:color w:val="auto"/>
              </w:rPr>
              <w:t>N/A</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122" w:right="239" w:bottom="1440" w:gutter="0" w:footer="0" w:header="0"/>
        </w:sectPr>
      </w:pPr>
    </w:p>
    <w:bookmarkStart w:id="83" w:name="page84"/>
    <w:bookmarkEnd w:id="83"/>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Amount of Gain or (Loss)</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3"/>
                <w:szCs w:val="13"/>
                <w:b w:val="1"/>
                <w:bCs w:val="1"/>
                <w:color w:val="auto"/>
                <w:w w:val="91"/>
              </w:rPr>
              <w:t>Recognized in Income on Derivative</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Location of Gain or</w:t>
            </w:r>
          </w:p>
        </w:tc>
        <w:tc>
          <w:tcPr>
            <w:tcW w:w="300" w:type="dxa"/>
            <w:vAlign w:val="bottom"/>
          </w:tcPr>
          <w:p>
            <w:pPr>
              <w:spacing w:after="0"/>
              <w:rPr>
                <w:sz w:val="16"/>
                <w:szCs w:val="16"/>
                <w:color w:val="auto"/>
              </w:rPr>
            </w:pPr>
          </w:p>
        </w:tc>
        <w:tc>
          <w:tcPr>
            <w:tcW w:w="2820" w:type="dxa"/>
            <w:vAlign w:val="bottom"/>
            <w:gridSpan w:val="5"/>
          </w:tcPr>
          <w:p>
            <w:pPr>
              <w:jc w:val="center"/>
              <w:ind w:left="510"/>
              <w:spacing w:after="0"/>
              <w:rPr>
                <w:sz w:val="20"/>
                <w:szCs w:val="20"/>
                <w:color w:val="auto"/>
              </w:rPr>
            </w:pPr>
            <w:r>
              <w:rPr>
                <w:rFonts w:ascii="Arial" w:cs="Arial" w:eastAsia="Arial" w:hAnsi="Arial"/>
                <w:sz w:val="13"/>
                <w:szCs w:val="13"/>
                <w:b w:val="1"/>
                <w:bCs w:val="1"/>
                <w:color w:val="auto"/>
                <w:w w:val="91"/>
              </w:rPr>
              <w:t>For the Years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960" w:type="dxa"/>
            <w:vAlign w:val="bottom"/>
            <w:gridSpan w:val="2"/>
            <w:vMerge w:val="restart"/>
          </w:tcPr>
          <w:p>
            <w:pPr>
              <w:jc w:val="center"/>
              <w:ind w:right="120"/>
              <w:spacing w:after="0" w:line="129" w:lineRule="exact"/>
              <w:rPr>
                <w:sz w:val="20"/>
                <w:szCs w:val="20"/>
                <w:color w:val="auto"/>
              </w:rPr>
            </w:pPr>
            <w:r>
              <w:rPr>
                <w:rFonts w:ascii="Arial" w:cs="Arial" w:eastAsia="Arial" w:hAnsi="Arial"/>
                <w:sz w:val="13"/>
                <w:szCs w:val="13"/>
                <w:b w:val="1"/>
                <w:bCs w:val="1"/>
                <w:color w:val="auto"/>
                <w:w w:val="88"/>
              </w:rPr>
              <w:t>(Loss) Recognized in</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Derivatives not Designated in Hedging Relationships</w:t>
            </w: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Income on Derivative</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66"/>
              <w:spacing w:after="0"/>
              <w:rPr>
                <w:sz w:val="20"/>
                <w:szCs w:val="20"/>
                <w:color w:val="auto"/>
              </w:rPr>
            </w:pPr>
            <w:r>
              <w:rPr>
                <w:rFonts w:ascii="Arial" w:cs="Arial" w:eastAsia="Arial" w:hAnsi="Arial"/>
                <w:sz w:val="13"/>
                <w:szCs w:val="13"/>
                <w:b w:val="1"/>
                <w:bCs w:val="1"/>
                <w:color w:val="auto"/>
                <w:w w:val="89"/>
              </w:rPr>
              <w:t>2011</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Expense</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6"/>
              <w:spacing w:after="0"/>
              <w:rPr>
                <w:sz w:val="20"/>
                <w:szCs w:val="20"/>
                <w:color w:val="auto"/>
              </w:rPr>
            </w:pPr>
            <w:r>
              <w:rPr>
                <w:rFonts w:ascii="Arial" w:cs="Arial" w:eastAsia="Arial" w:hAnsi="Arial"/>
                <w:sz w:val="17"/>
                <w:szCs w:val="17"/>
                <w:color w:val="auto"/>
              </w:rPr>
              <w:t>17,406</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w:t>
            </w:r>
          </w:p>
        </w:tc>
        <w:tc>
          <w:tcPr>
            <w:tcW w:w="0" w:type="dxa"/>
            <w:vAlign w:val="bottom"/>
          </w:tcPr>
          <w:p>
            <w:pPr>
              <w:spacing w:after="0"/>
              <w:rPr>
                <w:sz w:val="1"/>
                <w:szCs w:val="1"/>
                <w:color w:val="auto"/>
              </w:rPr>
            </w:pPr>
          </w:p>
        </w:tc>
      </w:tr>
      <w:tr>
        <w:trPr>
          <w:trHeight w:val="26"/>
        </w:trPr>
        <w:tc>
          <w:tcPr>
            <w:tcW w:w="5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596"/>
        <w:spacing w:after="0" w:line="247" w:lineRule="auto"/>
        <w:rPr>
          <w:sz w:val="20"/>
          <w:szCs w:val="20"/>
          <w:color w:val="auto"/>
        </w:rPr>
      </w:pPr>
      <w:r>
        <w:rPr>
          <w:rFonts w:ascii="Arial" w:cs="Arial" w:eastAsia="Arial" w:hAnsi="Arial"/>
          <w:sz w:val="17"/>
          <w:szCs w:val="17"/>
          <w:color w:val="auto"/>
        </w:rPr>
        <w:t>The Company utilizes foreign exchange derivatives to limit its exposure to changes in exchange rates on certain assets denominated in foreign currencies. The Company marks its foreign investments to market each quarter based on current exchange rates and records the gain or loss through “Other expense” on its Consolidated Statements of Operations for loan investments or “Accumulated comprehensive income,” on its Consolidated Balance Sheets for net investments in foreign subsidiaries. Gains or losses on the related foreign exchange derivatives are recorded in “Other Expense,” as noted in the table above, and offset the marks taken on the assets. During the years ended December 31, 2012, 2011 and 2010, the Company recorded net losses related to foreign investments of $0.7 million, $2.3 million and $0.1 million, in its Consolidated Statements of Operations.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Company's foreign currency derivatives outstanding as of December 31, 2012 ($ in thousands):</w:t>
      </w:r>
    </w:p>
    <w:p>
      <w:pPr>
        <w:spacing w:after="0" w:line="33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gridSpan w:val="2"/>
          </w:tcPr>
          <w:p>
            <w:pPr>
              <w:ind w:left="200"/>
              <w:spacing w:after="0"/>
              <w:rPr>
                <w:sz w:val="20"/>
                <w:szCs w:val="20"/>
                <w:color w:val="auto"/>
              </w:rPr>
            </w:pPr>
            <w:r>
              <w:rPr>
                <w:rFonts w:ascii="Arial" w:cs="Arial" w:eastAsia="Arial" w:hAnsi="Arial"/>
                <w:sz w:val="13"/>
                <w:szCs w:val="13"/>
                <w:b w:val="1"/>
                <w:bCs w:val="1"/>
                <w:color w:val="auto"/>
              </w:rPr>
              <w:t>Notional</w:t>
            </w:r>
          </w:p>
        </w:tc>
        <w:tc>
          <w:tcPr>
            <w:tcW w:w="240" w:type="dxa"/>
            <w:vAlign w:val="bottom"/>
          </w:tcPr>
          <w:p>
            <w:pPr>
              <w:spacing w:after="0"/>
              <w:rPr>
                <w:sz w:val="13"/>
                <w:szCs w:val="13"/>
                <w:color w:val="auto"/>
              </w:rPr>
            </w:pPr>
          </w:p>
        </w:tc>
        <w:tc>
          <w:tcPr>
            <w:tcW w:w="1620" w:type="dxa"/>
            <w:vAlign w:val="bottom"/>
            <w:gridSpan w:val="2"/>
          </w:tcPr>
          <w:p>
            <w:pPr>
              <w:ind w:left="400"/>
              <w:spacing w:after="0"/>
              <w:rPr>
                <w:sz w:val="20"/>
                <w:szCs w:val="20"/>
                <w:color w:val="auto"/>
              </w:rPr>
            </w:pPr>
            <w:r>
              <w:rPr>
                <w:rFonts w:ascii="Arial" w:cs="Arial" w:eastAsia="Arial" w:hAnsi="Arial"/>
                <w:sz w:val="13"/>
                <w:szCs w:val="13"/>
                <w:b w:val="1"/>
                <w:bCs w:val="1"/>
                <w:color w:val="auto"/>
              </w:rPr>
              <w:t>Notional</w:t>
            </w:r>
          </w:p>
        </w:tc>
        <w:tc>
          <w:tcPr>
            <w:tcW w:w="1320" w:type="dxa"/>
            <w:vAlign w:val="bottom"/>
          </w:tcPr>
          <w:p>
            <w:pPr>
              <w:spacing w:after="0"/>
              <w:rPr>
                <w:sz w:val="13"/>
                <w:szCs w:val="13"/>
                <w:color w:val="auto"/>
              </w:rPr>
            </w:pPr>
          </w:p>
        </w:tc>
      </w:tr>
      <w:tr>
        <w:trPr>
          <w:trHeight w:val="176"/>
        </w:trPr>
        <w:tc>
          <w:tcPr>
            <w:tcW w:w="5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Derivative Type</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(USD Equivalent)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Maturity</w:t>
            </w:r>
          </w:p>
        </w:tc>
      </w:tr>
      <w:tr>
        <w:trPr>
          <w:trHeight w:val="226"/>
        </w:trPr>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Sells EUR/Buys USD Forward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109,000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143,925</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w w:val="87"/>
              </w:rPr>
              <w:t>January 2013</w:t>
            </w:r>
          </w:p>
        </w:tc>
      </w:tr>
      <w:tr>
        <w:trPr>
          <w:trHeight w:val="222"/>
        </w:trPr>
        <w:tc>
          <w:tcPr>
            <w:tcW w:w="6000" w:type="dxa"/>
            <w:vAlign w:val="bottom"/>
            <w:gridSpan w:val="2"/>
          </w:tcPr>
          <w:p>
            <w:pPr>
              <w:spacing w:after="0"/>
              <w:rPr>
                <w:sz w:val="20"/>
                <w:szCs w:val="20"/>
                <w:color w:val="auto"/>
              </w:rPr>
            </w:pPr>
            <w:r>
              <w:rPr>
                <w:rFonts w:ascii="Arial" w:cs="Arial" w:eastAsia="Arial" w:hAnsi="Arial"/>
                <w:sz w:val="17"/>
                <w:szCs w:val="17"/>
                <w:color w:val="auto"/>
              </w:rPr>
              <w:t>Sells GBP/Buys USD Forward</w:t>
            </w: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4"/>
              <w:spacing w:after="0"/>
              <w:rPr>
                <w:sz w:val="20"/>
                <w:szCs w:val="20"/>
                <w:color w:val="auto"/>
              </w:rPr>
            </w:pPr>
            <w:r>
              <w:rPr>
                <w:rFonts w:ascii="Arial" w:cs="Arial" w:eastAsia="Arial" w:hAnsi="Arial"/>
                <w:sz w:val="17"/>
                <w:szCs w:val="17"/>
                <w:color w:val="auto"/>
              </w:rPr>
              <w:t>52,850</w:t>
            </w:r>
          </w:p>
        </w:tc>
        <w:tc>
          <w:tcPr>
            <w:tcW w:w="10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ind w:right="24"/>
              <w:spacing w:after="0"/>
              <w:rPr>
                <w:sz w:val="20"/>
                <w:szCs w:val="20"/>
                <w:color w:val="auto"/>
              </w:rPr>
            </w:pPr>
            <w:r>
              <w:rPr>
                <w:rFonts w:ascii="Arial" w:cs="Arial" w:eastAsia="Arial" w:hAnsi="Arial"/>
                <w:sz w:val="17"/>
                <w:szCs w:val="17"/>
                <w:color w:val="auto"/>
              </w:rPr>
              <w:t>85,856</w:t>
            </w:r>
          </w:p>
        </w:tc>
        <w:tc>
          <w:tcPr>
            <w:tcW w:w="100" w:type="dxa"/>
            <w:vAlign w:val="bottom"/>
          </w:tcPr>
          <w:p>
            <w:pPr>
              <w:spacing w:after="0"/>
              <w:rPr>
                <w:sz w:val="19"/>
                <w:szCs w:val="19"/>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w w:val="87"/>
              </w:rPr>
              <w:t>January 2013</w:t>
            </w:r>
          </w:p>
        </w:tc>
      </w:tr>
      <w:tr>
        <w:trPr>
          <w:trHeight w:val="26"/>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2"/>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Sells CAD/Buys USD Forward</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50,700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51,065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w w:val="87"/>
              </w:rPr>
              <w:t>January 2013</w:t>
            </w:r>
          </w:p>
        </w:tc>
      </w:tr>
      <w:tr>
        <w:trPr>
          <w:trHeight w:val="26"/>
        </w:trPr>
        <w:tc>
          <w:tcPr>
            <w:tcW w:w="5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Qualifying Cash Flow Hedges</w:t>
      </w:r>
      <w:r>
        <w:rPr>
          <w:rFonts w:ascii="Arial" w:cs="Arial" w:eastAsia="Arial" w:hAnsi="Arial"/>
          <w:sz w:val="17"/>
          <w:szCs w:val="17"/>
          <w:color w:val="auto"/>
        </w:rPr>
        <w:t>—In October 2012, the Company entered into an interest rate swap to convert its variable rate debt to fixed rate on a new $28.0</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secured term loan maturing in 2019. The following table presents the Company's interest rate swap outstanding as of year ended December 31, 2012 ($ in thousands).</w:t>
      </w: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ind w:left="540"/>
              <w:spacing w:after="0"/>
              <w:rPr>
                <w:sz w:val="20"/>
                <w:szCs w:val="20"/>
                <w:color w:val="auto"/>
              </w:rPr>
            </w:pPr>
            <w:r>
              <w:rPr>
                <w:rFonts w:ascii="Arial" w:cs="Arial" w:eastAsia="Arial" w:hAnsi="Arial"/>
                <w:sz w:val="13"/>
                <w:szCs w:val="13"/>
                <w:b w:val="1"/>
                <w:bCs w:val="1"/>
                <w:color w:val="auto"/>
                <w:w w:val="99"/>
              </w:rPr>
              <w:t>Notional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Derivative Type</w:t>
            </w:r>
          </w:p>
        </w:tc>
        <w:tc>
          <w:tcPr>
            <w:tcW w:w="100" w:type="dxa"/>
            <w:vAlign w:val="bottom"/>
          </w:tcPr>
          <w:p>
            <w:pPr>
              <w:spacing w:after="0"/>
              <w:rPr>
                <w:sz w:val="15"/>
                <w:szCs w:val="15"/>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Amount</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Variable Rate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Fixed Rate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r>
      <w:tr>
        <w:trPr>
          <w:trHeight w:val="222"/>
        </w:trPr>
        <w:tc>
          <w:tcPr>
            <w:tcW w:w="3260" w:type="dxa"/>
            <w:vAlign w:val="bottom"/>
            <w:gridSpan w:val="2"/>
          </w:tcPr>
          <w:p>
            <w:pPr>
              <w:ind w:left="40"/>
              <w:spacing w:after="0"/>
              <w:rPr>
                <w:sz w:val="20"/>
                <w:szCs w:val="20"/>
                <w:color w:val="auto"/>
              </w:rPr>
            </w:pPr>
            <w:r>
              <w:rPr>
                <w:rFonts w:ascii="Arial" w:cs="Arial" w:eastAsia="Arial" w:hAnsi="Arial"/>
                <w:sz w:val="13"/>
                <w:szCs w:val="13"/>
                <w:color w:val="auto"/>
              </w:rPr>
              <w:t>Interest Rate Swap</w:t>
            </w:r>
          </w:p>
        </w:tc>
        <w:tc>
          <w:tcPr>
            <w:tcW w:w="1080" w:type="dxa"/>
            <w:vAlign w:val="bottom"/>
          </w:tcPr>
          <w:p>
            <w:pPr>
              <w:jc w:val="right"/>
              <w:ind w:right="914"/>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4"/>
              <w:spacing w:after="0"/>
              <w:rPr>
                <w:sz w:val="20"/>
                <w:szCs w:val="20"/>
                <w:color w:val="auto"/>
              </w:rPr>
            </w:pPr>
            <w:r>
              <w:rPr>
                <w:rFonts w:ascii="Arial" w:cs="Arial" w:eastAsia="Arial" w:hAnsi="Arial"/>
                <w:sz w:val="13"/>
                <w:szCs w:val="13"/>
                <w:color w:val="auto"/>
                <w:w w:val="95"/>
              </w:rPr>
              <w:t>28,000</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LIBOR + 2.00%</w:t>
            </w:r>
          </w:p>
        </w:tc>
        <w:tc>
          <w:tcPr>
            <w:tcW w:w="1560" w:type="dxa"/>
            <w:vAlign w:val="bottom"/>
          </w:tcPr>
          <w:p>
            <w:pPr>
              <w:jc w:val="right"/>
              <w:ind w:right="554"/>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0"/>
              </w:rPr>
              <w:t>November 2019</w:t>
            </w:r>
          </w:p>
        </w:tc>
      </w:tr>
    </w:tbl>
    <w:p>
      <w:pPr>
        <w:spacing w:after="0" w:line="198"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During the year ended December 31, 2012, the Company terminated its previously outstanding interest rate swaps in conjunction with the early repayment of its secured term loans (see also Note 8).</w:t>
      </w:r>
    </w:p>
    <w:p>
      <w:pPr>
        <w:spacing w:after="0" w:line="172"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Over the next 12 months, the Company expects that $3.2 million of expense and $0.6 million of income related to terminated cash flow hedges, will be reclassified from "Accumulated other comprehensive income (loss)" into earnings.</w:t>
      </w:r>
    </w:p>
    <w:p>
      <w:pPr>
        <w:spacing w:after="0" w:line="168" w:lineRule="exact"/>
        <w:rPr>
          <w:sz w:val="20"/>
          <w:szCs w:val="20"/>
          <w:color w:val="auto"/>
        </w:rPr>
      </w:pPr>
    </w:p>
    <w:p>
      <w:pPr>
        <w:ind w:firstLine="397"/>
        <w:spacing w:after="0" w:line="374" w:lineRule="auto"/>
        <w:rPr>
          <w:sz w:val="20"/>
          <w:szCs w:val="20"/>
          <w:color w:val="auto"/>
        </w:rPr>
      </w:pPr>
      <w:r>
        <w:rPr>
          <w:rFonts w:ascii="Arial" w:cs="Arial" w:eastAsia="Arial" w:hAnsi="Arial"/>
          <w:sz w:val="14"/>
          <w:szCs w:val="14"/>
          <w:b w:val="1"/>
          <w:bCs w:val="1"/>
          <w:color w:val="auto"/>
        </w:rPr>
        <w:t>Credit risk-related contingent features</w:t>
      </w:r>
      <w:r>
        <w:rPr>
          <w:rFonts w:ascii="Arial" w:cs="Arial" w:eastAsia="Arial" w:hAnsi="Arial"/>
          <w:sz w:val="14"/>
          <w:szCs w:val="14"/>
          <w:color w:val="auto"/>
        </w:rPr>
        <w:t>—The Company has agreements with each of its derivative counterparties that contain a provision where if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either defaults or is capable of being declared in default on any of its indebtedness, then the Company could also be declared in default on its derivative obligations.</w:t>
      </w:r>
    </w:p>
    <w:p>
      <w:pPr>
        <w:spacing w:after="0" w:line="98"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In connection with its foreign currency derivatives, as of December 31, 2012 and December 31, 2011, the Company has posted collateral of $9.6 million, which is included in "Restricted cash" on the Company's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11—Equity</w:t>
      </w:r>
    </w:p>
    <w:p>
      <w:pPr>
        <w:spacing w:after="0" w:line="131"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The Company's charter provides for the issuance of up to 200.0 million shares of Common Stock, par value $0.001 per share and 30.0 million shares of preferred stock. As of December 31, 2012, 142.7 million common shares were issued and 83.8 million common shares were outstanding.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ind w:left="401"/>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Preferred Stock outstanding as of December 31, 2012 and 2011:</w:t>
      </w:r>
    </w:p>
    <w:p>
      <w:pPr>
        <w:spacing w:after="0" w:line="34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4"/>
          </w:tcPr>
          <w:p>
            <w:pPr>
              <w:jc w:val="right"/>
              <w:ind w:right="744"/>
              <w:spacing w:after="0"/>
              <w:rPr>
                <w:sz w:val="20"/>
                <w:szCs w:val="20"/>
                <w:color w:val="auto"/>
              </w:rPr>
            </w:pPr>
            <w:r>
              <w:rPr>
                <w:rFonts w:ascii="Arial" w:cs="Arial" w:eastAsia="Arial" w:hAnsi="Arial"/>
                <w:sz w:val="13"/>
                <w:szCs w:val="13"/>
                <w:b w:val="1"/>
                <w:bCs w:val="1"/>
                <w:color w:val="auto"/>
              </w:rPr>
              <w:t>Cumulative Preferential Cash</w:t>
            </w:r>
          </w:p>
        </w:tc>
      </w:tr>
      <w:tr>
        <w:trPr>
          <w:trHeight w:val="176"/>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40" w:type="dxa"/>
            <w:vAlign w:val="bottom"/>
            <w:tcBorders>
              <w:bottom w:val="single" w:sz="8" w:color="auto"/>
            </w:tcBorders>
            <w:gridSpan w:val="4"/>
          </w:tcPr>
          <w:p>
            <w:pPr>
              <w:jc w:val="right"/>
              <w:ind w:right="1144"/>
              <w:spacing w:after="0"/>
              <w:rPr>
                <w:sz w:val="20"/>
                <w:szCs w:val="20"/>
                <w:color w:val="auto"/>
              </w:rPr>
            </w:pPr>
            <w:r>
              <w:rPr>
                <w:rFonts w:ascii="Arial" w:cs="Arial" w:eastAsia="Arial" w:hAnsi="Arial"/>
                <w:sz w:val="13"/>
                <w:szCs w:val="13"/>
                <w:b w:val="1"/>
                <w:bCs w:val="1"/>
                <w:color w:val="auto"/>
              </w:rPr>
              <w:t>Dividends(1)(2)</w:t>
            </w:r>
          </w:p>
        </w:tc>
      </w:tr>
      <w:tr>
        <w:trPr>
          <w:trHeight w:val="13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Rate per Annum</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37"/>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8"/>
              </w:rPr>
              <w:t>Shares Issued and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1"/>
              </w:rPr>
              <w:t>of the $25.00</w:t>
            </w:r>
          </w:p>
        </w:tc>
        <w:tc>
          <w:tcPr>
            <w:tcW w:w="220" w:type="dxa"/>
            <w:vAlign w:val="bottom"/>
          </w:tcPr>
          <w:p>
            <w:pPr>
              <w:spacing w:after="0"/>
              <w:rPr>
                <w:sz w:val="11"/>
                <w:szCs w:val="11"/>
                <w:color w:val="auto"/>
              </w:rPr>
            </w:pPr>
          </w:p>
        </w:tc>
        <w:tc>
          <w:tcPr>
            <w:tcW w:w="1360" w:type="dxa"/>
            <w:vAlign w:val="bottom"/>
          </w:tcPr>
          <w:p>
            <w:pPr>
              <w:jc w:val="center"/>
              <w:ind w:right="124"/>
              <w:spacing w:after="0" w:line="137" w:lineRule="exact"/>
              <w:rPr>
                <w:sz w:val="20"/>
                <w:szCs w:val="20"/>
                <w:color w:val="auto"/>
              </w:rPr>
            </w:pPr>
            <w:r>
              <w:rPr>
                <w:rFonts w:ascii="Arial" w:cs="Arial" w:eastAsia="Arial" w:hAnsi="Arial"/>
                <w:sz w:val="13"/>
                <w:szCs w:val="13"/>
                <w:b w:val="1"/>
                <w:bCs w:val="1"/>
                <w:color w:val="auto"/>
                <w:w w:val="93"/>
              </w:rPr>
              <w:t>Equivalent to</w:t>
            </w:r>
          </w:p>
        </w:tc>
      </w:tr>
      <w:tr>
        <w:trPr>
          <w:trHeight w:val="137"/>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6"/>
              </w:rPr>
              <w:t>Liquidation</w:t>
            </w:r>
          </w:p>
        </w:tc>
        <w:tc>
          <w:tcPr>
            <w:tcW w:w="220" w:type="dxa"/>
            <w:vAlign w:val="bottom"/>
          </w:tcPr>
          <w:p>
            <w:pPr>
              <w:spacing w:after="0"/>
              <w:rPr>
                <w:sz w:val="11"/>
                <w:szCs w:val="11"/>
                <w:color w:val="auto"/>
              </w:rPr>
            </w:pPr>
          </w:p>
        </w:tc>
        <w:tc>
          <w:tcPr>
            <w:tcW w:w="1360" w:type="dxa"/>
            <w:vAlign w:val="bottom"/>
          </w:tcPr>
          <w:p>
            <w:pPr>
              <w:jc w:val="center"/>
              <w:ind w:right="124"/>
              <w:spacing w:after="0" w:line="137" w:lineRule="exact"/>
              <w:rPr>
                <w:sz w:val="20"/>
                <w:szCs w:val="20"/>
                <w:color w:val="auto"/>
              </w:rPr>
            </w:pPr>
            <w:r>
              <w:rPr>
                <w:rFonts w:ascii="Arial" w:cs="Arial" w:eastAsia="Arial" w:hAnsi="Arial"/>
                <w:sz w:val="13"/>
                <w:szCs w:val="13"/>
                <w:b w:val="1"/>
                <w:bCs w:val="1"/>
                <w:color w:val="auto"/>
                <w:w w:val="93"/>
              </w:rPr>
              <w:t>Fixed Annual</w:t>
            </w:r>
          </w:p>
        </w:tc>
      </w:tr>
      <w:tr>
        <w:trPr>
          <w:trHeight w:val="1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Series</w:t>
            </w:r>
          </w:p>
        </w:tc>
        <w:tc>
          <w:tcPr>
            <w:tcW w:w="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Par Value</w:t>
            </w: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Preference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2"/>
              </w:rPr>
              <w:t>Rate (per share)</w:t>
            </w:r>
          </w:p>
        </w:tc>
      </w:tr>
      <w:tr>
        <w:trPr>
          <w:trHeight w:val="226"/>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w:t>
            </w: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0.001</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2.00</w:t>
            </w:r>
          </w:p>
        </w:tc>
      </w:tr>
      <w:tr>
        <w:trPr>
          <w:trHeight w:val="222"/>
        </w:trPr>
        <w:tc>
          <w:tcPr>
            <w:tcW w:w="5020" w:type="dxa"/>
            <w:vAlign w:val="bottom"/>
            <w:gridSpan w:val="2"/>
          </w:tcPr>
          <w:p>
            <w:pPr>
              <w:ind w:left="20"/>
              <w:spacing w:after="0"/>
              <w:rPr>
                <w:sz w:val="20"/>
                <w:szCs w:val="20"/>
                <w:color w:val="auto"/>
              </w:rPr>
            </w:pPr>
            <w:r>
              <w:rPr>
                <w:rFonts w:ascii="Arial" w:cs="Arial" w:eastAsia="Arial" w:hAnsi="Arial"/>
                <w:sz w:val="17"/>
                <w:szCs w:val="17"/>
                <w:color w:val="auto"/>
              </w:rPr>
              <w:t>E</w:t>
            </w:r>
          </w:p>
        </w:tc>
        <w:tc>
          <w:tcPr>
            <w:tcW w:w="1820" w:type="dxa"/>
            <w:vAlign w:val="bottom"/>
          </w:tcPr>
          <w:p>
            <w:pPr>
              <w:jc w:val="right"/>
              <w:ind w:right="43"/>
              <w:spacing w:after="0"/>
              <w:rPr>
                <w:sz w:val="20"/>
                <w:szCs w:val="20"/>
                <w:color w:val="auto"/>
              </w:rPr>
            </w:pPr>
            <w:r>
              <w:rPr>
                <w:rFonts w:ascii="Arial" w:cs="Arial" w:eastAsia="Arial" w:hAnsi="Arial"/>
                <w:sz w:val="17"/>
                <w:szCs w:val="17"/>
                <w:color w:val="auto"/>
              </w:rPr>
              <w:t>5,600</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0.001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7.875%</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24"/>
              <w:spacing w:after="0"/>
              <w:rPr>
                <w:sz w:val="20"/>
                <w:szCs w:val="20"/>
                <w:color w:val="auto"/>
              </w:rPr>
            </w:pPr>
            <w:r>
              <w:rPr>
                <w:rFonts w:ascii="Arial" w:cs="Arial" w:eastAsia="Arial" w:hAnsi="Arial"/>
                <w:sz w:val="17"/>
                <w:szCs w:val="17"/>
                <w:color w:val="auto"/>
              </w:rPr>
              <w:t>1.97</w:t>
            </w:r>
          </w:p>
        </w:tc>
      </w:tr>
      <w:tr>
        <w:trPr>
          <w:trHeight w:val="26"/>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w:t>
            </w: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0.001</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1.95</w:t>
            </w:r>
          </w:p>
        </w:tc>
      </w:tr>
      <w:tr>
        <w:trPr>
          <w:trHeight w:val="222"/>
        </w:trPr>
        <w:tc>
          <w:tcPr>
            <w:tcW w:w="5020" w:type="dxa"/>
            <w:vAlign w:val="bottom"/>
            <w:gridSpan w:val="2"/>
          </w:tcPr>
          <w:p>
            <w:pPr>
              <w:ind w:left="20"/>
              <w:spacing w:after="0"/>
              <w:rPr>
                <w:sz w:val="20"/>
                <w:szCs w:val="20"/>
                <w:color w:val="auto"/>
              </w:rPr>
            </w:pPr>
            <w:r>
              <w:rPr>
                <w:rFonts w:ascii="Arial" w:cs="Arial" w:eastAsia="Arial" w:hAnsi="Arial"/>
                <w:sz w:val="17"/>
                <w:szCs w:val="17"/>
                <w:color w:val="auto"/>
              </w:rPr>
              <w:t>G</w:t>
            </w:r>
          </w:p>
        </w:tc>
        <w:tc>
          <w:tcPr>
            <w:tcW w:w="1820" w:type="dxa"/>
            <w:vAlign w:val="bottom"/>
          </w:tcPr>
          <w:p>
            <w:pPr>
              <w:jc w:val="right"/>
              <w:ind w:right="43"/>
              <w:spacing w:after="0"/>
              <w:rPr>
                <w:sz w:val="20"/>
                <w:szCs w:val="20"/>
                <w:color w:val="auto"/>
              </w:rPr>
            </w:pPr>
            <w:r>
              <w:rPr>
                <w:rFonts w:ascii="Arial" w:cs="Arial" w:eastAsia="Arial" w:hAnsi="Arial"/>
                <w:sz w:val="17"/>
                <w:szCs w:val="17"/>
                <w:color w:val="auto"/>
              </w:rPr>
              <w:t>3,200</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0.001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7.65%</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24"/>
              <w:spacing w:after="0"/>
              <w:rPr>
                <w:sz w:val="20"/>
                <w:szCs w:val="20"/>
                <w:color w:val="auto"/>
              </w:rPr>
            </w:pPr>
            <w:r>
              <w:rPr>
                <w:rFonts w:ascii="Arial" w:cs="Arial" w:eastAsia="Arial" w:hAnsi="Arial"/>
                <w:sz w:val="17"/>
                <w:szCs w:val="17"/>
                <w:color w:val="auto"/>
              </w:rPr>
              <w:t>1.91</w:t>
            </w:r>
          </w:p>
        </w:tc>
      </w:tr>
      <w:tr>
        <w:trPr>
          <w:trHeight w:val="26"/>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w:t>
            </w: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1.88</w:t>
            </w:r>
          </w:p>
        </w:tc>
      </w:tr>
      <w:tr>
        <w:trPr>
          <w:trHeight w:val="214"/>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21,800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601" w:hanging="601"/>
        <w:spacing w:after="0" w:line="262" w:lineRule="auto"/>
        <w:tabs>
          <w:tab w:leader="none" w:pos="601" w:val="left"/>
        </w:tabs>
        <w:numPr>
          <w:ilvl w:val="0"/>
          <w:numId w:val="44"/>
        </w:numPr>
        <w:rPr>
          <w:rFonts w:ascii="Arial" w:cs="Arial" w:eastAsia="Arial" w:hAnsi="Arial"/>
          <w:sz w:val="12"/>
          <w:szCs w:val="12"/>
          <w:color w:val="auto"/>
        </w:rPr>
      </w:pPr>
      <w:r>
        <w:rPr>
          <w:rFonts w:ascii="Arial" w:cs="Arial" w:eastAsia="Arial" w:hAnsi="Arial"/>
          <w:sz w:val="12"/>
          <w:szCs w:val="12"/>
          <w:color w:val="auto"/>
        </w:rPr>
        <w:t>Holders of shares of the Series D, E, F, G and I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1" w:lineRule="exact"/>
        <w:rPr>
          <w:rFonts w:ascii="Arial" w:cs="Arial" w:eastAsia="Arial" w:hAnsi="Arial"/>
          <w:sz w:val="12"/>
          <w:szCs w:val="12"/>
          <w:color w:val="auto"/>
        </w:rPr>
      </w:pPr>
    </w:p>
    <w:p>
      <w:pPr>
        <w:ind w:left="601" w:hanging="601"/>
        <w:spacing w:after="0" w:line="290" w:lineRule="auto"/>
        <w:tabs>
          <w:tab w:leader="none" w:pos="601"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Company declared and paid dividends of $8.0 million, $11.0 million, $7.8 million, $6.1 million and $9.4 million on its Series D, E, F, G and I preferred stock, respectively, during each of the years ended December 31, 2012 and 2011, all of which qualified as return of capital for tax reporting purposes. There are no dividend arrearages on any of the preferred shares currently outstanding.</w:t>
      </w:r>
    </w:p>
    <w:p>
      <w:pPr>
        <w:spacing w:after="0" w:line="82" w:lineRule="exact"/>
        <w:rPr>
          <w:sz w:val="20"/>
          <w:szCs w:val="20"/>
          <w:color w:val="auto"/>
        </w:rPr>
      </w:pPr>
    </w:p>
    <w:p>
      <w:pPr>
        <w:jc w:val="both"/>
        <w:ind w:left="1" w:firstLine="397"/>
        <w:spacing w:after="0" w:line="260" w:lineRule="auto"/>
        <w:rPr>
          <w:sz w:val="20"/>
          <w:szCs w:val="20"/>
          <w:color w:val="auto"/>
        </w:rPr>
      </w:pPr>
      <w:r>
        <w:rPr>
          <w:rFonts w:ascii="Arial" w:cs="Arial" w:eastAsia="Arial" w:hAnsi="Arial"/>
          <w:sz w:val="17"/>
          <w:szCs w:val="17"/>
          <w:color w:val="auto"/>
        </w:rPr>
        <w:t>The Series D, E, F, G and I Cumulative Redeemable Preferred Stock are redeemable without premium at the option of the Company at their respective liquidation preferences.</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High Performance Unit Program</w:t>
      </w:r>
    </w:p>
    <w:p>
      <w:pPr>
        <w:spacing w:after="0" w:line="255" w:lineRule="exact"/>
        <w:rPr>
          <w:sz w:val="20"/>
          <w:szCs w:val="20"/>
          <w:color w:val="auto"/>
        </w:rPr>
      </w:pPr>
    </w:p>
    <w:p>
      <w:pPr>
        <w:jc w:val="both"/>
        <w:ind w:left="1" w:firstLine="397"/>
        <w:spacing w:after="0" w:line="265" w:lineRule="auto"/>
        <w:rPr>
          <w:sz w:val="20"/>
          <w:szCs w:val="20"/>
          <w:color w:val="auto"/>
        </w:rPr>
      </w:pPr>
      <w:r>
        <w:rPr>
          <w:rFonts w:ascii="Arial" w:cs="Arial" w:eastAsia="Arial" w:hAnsi="Arial"/>
          <w:sz w:val="16"/>
          <w:szCs w:val="16"/>
          <w:color w:val="auto"/>
        </w:rPr>
        <w:t>In May 2002, the Company's shareholders approved the iStar Financial High Performance Unit ("HPU") Program. The program entitled employee participants ("HPU Holders") to receive distributions if the total rate of return on the Company's Common Stock (share price appreciation plus dividends) exceeded certain performance thresholds over a specified valuation period. The Company established seven HPU plans that had valuation periods ending between 2002 and 2008 and the Company has not established any new HPU plans since 2005. HPU Holders purchased interests in the High Performance Common Stock for an aggregate initial purchase price of $9.8 million. The remaining four plans that had valuation periods which ended in 2005, 2006, 2007 and 2008, did not meet their required performance thresholds, none of the plans were funded and the Company redeemed the participants' units.</w:t>
      </w:r>
    </w:p>
    <w:p>
      <w:pPr>
        <w:spacing w:after="0" w:line="221" w:lineRule="exact"/>
        <w:rPr>
          <w:sz w:val="20"/>
          <w:szCs w:val="20"/>
          <w:color w:val="auto"/>
        </w:rPr>
      </w:pPr>
    </w:p>
    <w:p>
      <w:pPr>
        <w:jc w:val="both"/>
        <w:ind w:left="1" w:firstLine="397"/>
        <w:spacing w:after="0" w:line="248" w:lineRule="auto"/>
        <w:rPr>
          <w:sz w:val="20"/>
          <w:szCs w:val="20"/>
          <w:color w:val="auto"/>
        </w:rPr>
      </w:pPr>
      <w:r>
        <w:rPr>
          <w:rFonts w:ascii="Arial" w:cs="Arial" w:eastAsia="Arial" w:hAnsi="Arial"/>
          <w:sz w:val="17"/>
          <w:szCs w:val="17"/>
          <w:color w:val="auto"/>
        </w:rPr>
        <w:t>The 2002, 2003 and 2004 plans all exceeded their performance thresholds and are entitled to receive distributions equivalent to the amount of dividends payable on 819,254 shares, 987,149 shares and 1,031,875 shares, respectively, of the Company's Common Stock as and when such dividends are paid on the Company's Common Stock. Each of these three plans has 5,000 shares of High Performance Common Stock associated with it, which is recorded as a separate class of stock within shareholders' equity on the Company's Consolidated Balance Sheets. High Performance Common Stock carries 0.25 votes per share. Net income allocable to common shareholders is reduced by the HPU holders' share of earnings.</w:t>
      </w:r>
    </w:p>
    <w:p>
      <w:pPr>
        <w:spacing w:after="0" w:line="103" w:lineRule="exact"/>
        <w:rPr>
          <w:sz w:val="20"/>
          <w:szCs w:val="20"/>
          <w:color w:val="auto"/>
        </w:rPr>
      </w:pPr>
    </w:p>
    <w:p>
      <w:pPr>
        <w:jc w:val="both"/>
        <w:ind w:left="1" w:firstLine="397"/>
        <w:spacing w:after="0" w:line="247" w:lineRule="auto"/>
        <w:rPr>
          <w:sz w:val="20"/>
          <w:szCs w:val="20"/>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—In order to maintain its election to qualify as a REIT, the Company must currently distribute, at a minimum, an amount equal to 90% of its taxable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2011, the Company had $423.9 million of net operating loss carryforwards at the corporate REIT level that can generally be used to offset both ordinary and capital taxable income in future years and will expire through 2031 if unused. The amount net of operating loss carryforwards as of December 31, 2012 will be subject to finalization of the 2012 tax returns. Because taxable income differs from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1"/>
          </w:cols>
          <w:pgMar w:left="239" w:top="122" w:right="239" w:bottom="1440" w:gutter="0" w:footer="0" w:header="0"/>
        </w:sectPr>
      </w:pPr>
    </w:p>
    <w:bookmarkStart w:id="85" w:name="page86"/>
    <w:bookmarkEnd w:id="85"/>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spacing w:after="0" w:line="314" w:lineRule="auto"/>
        <w:rPr>
          <w:sz w:val="20"/>
          <w:szCs w:val="20"/>
          <w:color w:val="auto"/>
        </w:rPr>
      </w:pPr>
      <w:r>
        <w:rPr>
          <w:rFonts w:ascii="Arial" w:cs="Arial" w:eastAsia="Arial" w:hAnsi="Arial"/>
          <w:sz w:val="14"/>
          <w:szCs w:val="14"/>
          <w:color w:val="auto"/>
        </w:rPr>
        <w:t>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2012 Secured Credit Facilities and 2011 Secured Credit Facilities permit the Company to distribute 100% of its REIT taxable income on an annual basis, for so long as the Company maintains its qualification as a REIT. The 2012 and 2011 Secured Credit Facilities restrict the Company from paying any common dividends if it ceases to qualify as a REIT. The Company did not declare or pay any Common Stock dividends for the years ended December 31, 2012 and 2011.</w:t>
      </w:r>
    </w:p>
    <w:p>
      <w:pPr>
        <w:spacing w:after="0" w:line="134" w:lineRule="exact"/>
        <w:rPr>
          <w:sz w:val="20"/>
          <w:szCs w:val="20"/>
          <w:color w:val="auto"/>
        </w:rPr>
      </w:pPr>
    </w:p>
    <w:p>
      <w:pPr>
        <w:jc w:val="both"/>
        <w:ind w:firstLine="397"/>
        <w:spacing w:after="0" w:line="297" w:lineRule="auto"/>
        <w:rPr>
          <w:sz w:val="20"/>
          <w:szCs w:val="20"/>
          <w:color w:val="auto"/>
        </w:rPr>
      </w:pPr>
      <w:r>
        <w:rPr>
          <w:rFonts w:ascii="Arial" w:cs="Arial" w:eastAsia="Arial" w:hAnsi="Arial"/>
          <w:sz w:val="16"/>
          <w:szCs w:val="16"/>
          <w:b w:val="1"/>
          <w:bCs w:val="1"/>
          <w:color w:val="auto"/>
        </w:rPr>
        <w:t>Stock Repurchase Programs</w:t>
      </w:r>
      <w:r>
        <w:rPr>
          <w:rFonts w:ascii="Arial" w:cs="Arial" w:eastAsia="Arial" w:hAnsi="Arial"/>
          <w:sz w:val="16"/>
          <w:szCs w:val="16"/>
          <w:color w:val="auto"/>
        </w:rPr>
        <w:t>—On May 15, 2012, the Company's Board of Directors approved a stock repurchase program that authorized the repurchase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$20.0 million of its Common Stock from time to time in open market and privately negotiated purchases, including pursuant to one or more trading plans.</w:t>
      </w:r>
    </w:p>
    <w:p>
      <w:pPr>
        <w:spacing w:after="0" w:line="14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7"/>
          <w:szCs w:val="17"/>
          <w:color w:val="auto"/>
        </w:rPr>
        <w:t>During the year ended December 31, 2012, the Company repurchased 0.8 million shares of its outstanding Common Stock for approximately $4.6 million, at an average cost of $5.69 per share. As of December 31, 2012, the Company had $16.0 million of Common Stock available to repurchase under its Board authorized stock repurchase programs.</w:t>
      </w:r>
    </w:p>
    <w:p>
      <w:pPr>
        <w:spacing w:after="0" w:line="17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Accumulated Other Comprehensive Income (Loss)</w:t>
      </w:r>
      <w:r>
        <w:rPr>
          <w:rFonts w:ascii="Arial" w:cs="Arial" w:eastAsia="Arial" w:hAnsi="Arial"/>
          <w:sz w:val="17"/>
          <w:szCs w:val="17"/>
          <w:color w:val="auto"/>
        </w:rPr>
        <w:t>—"Accumulated other comprehensive income (loss)" reflected in the Company's shareholders' equity is</w:t>
      </w:r>
      <w:r>
        <w:rPr>
          <w:rFonts w:ascii="Arial" w:cs="Arial" w:eastAsia="Arial" w:hAnsi="Arial"/>
          <w:sz w:val="17"/>
          <w:szCs w:val="17"/>
          <w:b w:val="1"/>
          <w:bCs w:val="1"/>
          <w:color w:val="auto"/>
        </w:rPr>
        <w:t xml:space="preserve"> </w:t>
      </w:r>
      <w:r>
        <w:rPr>
          <w:rFonts w:ascii="Arial" w:cs="Arial" w:eastAsia="Arial" w:hAnsi="Arial"/>
          <w:sz w:val="17"/>
          <w:szCs w:val="17"/>
          <w:color w:val="auto"/>
        </w:rPr>
        <w:t>comprised of the following ($ in thousands):</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8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241"/>
        </w:trPr>
        <w:tc>
          <w:tcPr>
            <w:tcW w:w="78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2012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b w:val="1"/>
                <w:bCs w:val="1"/>
                <w:color w:val="auto"/>
              </w:rPr>
              <w:t>2011</w:t>
            </w:r>
          </w:p>
        </w:tc>
      </w:tr>
      <w:tr>
        <w:trPr>
          <w:trHeight w:val="22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gains on available-for-sale securities</w:t>
            </w: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867</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589</w:t>
            </w: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Unrealized gains on cash flow hedges</w:t>
            </w:r>
          </w:p>
        </w:tc>
        <w:tc>
          <w:tcPr>
            <w:tcW w:w="108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Arial" w:cs="Arial" w:eastAsia="Arial" w:hAnsi="Arial"/>
                <w:sz w:val="17"/>
                <w:szCs w:val="17"/>
                <w:color w:val="auto"/>
              </w:rPr>
              <w:t>607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1,986</w:t>
            </w:r>
          </w:p>
        </w:tc>
      </w:tr>
      <w:tr>
        <w:trPr>
          <w:trHeight w:val="26"/>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losses on cumulative translation adjustment</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(2,903)</w:t>
            </w:r>
          </w:p>
        </w:tc>
      </w:tr>
      <w:tr>
        <w:trPr>
          <w:trHeight w:val="234"/>
        </w:trPr>
        <w:tc>
          <w:tcPr>
            <w:tcW w:w="788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12—Stock-Based Compensation Plans and Employee Benefits</w:t>
      </w:r>
    </w:p>
    <w:p>
      <w:pPr>
        <w:spacing w:after="0" w:line="131"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color w:val="auto"/>
        </w:rPr>
        <w:t>On May 27, 2009, the Company's shareholders approved the Company's 2009 Long-Term Incentive Plan (the "2009 LTIP") which is 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 maximum of 8,000,000 shares of Common Stock may be awarded under the 2009 LTIP, plus up to an additional 500,000 shares to the extent that a corresponding number of equity awards previously granted under the Company's 1996 Long-Term Incentive Plan expire or are canceled or forfeited. All awards under the 2009 LTIP are made at the discretion of the Board of Directors or a committee of the Board of Directors.</w:t>
      </w:r>
    </w:p>
    <w:p>
      <w:pPr>
        <w:spacing w:after="0" w:line="232"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6"/>
          <w:szCs w:val="16"/>
          <w:color w:val="auto"/>
        </w:rPr>
        <w:t>The Company's 2006 Long-Term Incentive Plan (the "2006 LTIP") is designed to provide equity-based incentive compensation for officers, key employees, directors, consultants and advisors of the Company. The 2006 LTIP provides for awards of stock options, shares of restricted stock, phantom shares, dividend equivalent rights and other share-based performance awards. A maximum of 4,550,000 shares of Common Stock may be subject to awards under the 2006 LTIP provided that the number of shares of Common Stock reserved for grants of options designated as incentive stock options is 1.0 million, subject to certain anti-dilution provisions in the 2006 LTIP. All awards under this Plan are at the discretion of the Board of Directors or a committee of the Board of Directors.</w:t>
      </w:r>
    </w:p>
    <w:p>
      <w:pPr>
        <w:spacing w:after="0" w:line="218"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4"/>
          <w:szCs w:val="14"/>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may be made under the Incentive Plan, subject to the terms of the Company's equity incentive plans.</w:t>
      </w:r>
    </w:p>
    <w:p>
      <w:pPr>
        <w:spacing w:after="0" w:line="52"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As of December 31, 2012, an aggregate of 4.1 million shares remain available for issuance pursuant to future awards under the Company's 2006 and 2009 Long-Term Incentive Plans.</w:t>
      </w:r>
    </w:p>
    <w:p>
      <w:pPr>
        <w:spacing w:after="0" w:line="168"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—The Company recorded stock-based compensation expense of $15.3 million, $29.7 million and $19.4 million for the years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2012, 2011 and 2010, respectively, in "General and administrative" on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Company's Consolidated Statements of Operations. As of December 31, 2012, there was $10.1 million of total unrecognized compensation cost related to all unvested restricted stock units that is expected to be recognized over a weighted average remaining vesting/service period of 0.59 years.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Changes in non-vested restricted stock units during the year ended December 31, 2012 were as follows ($ in thousands, except per share amounts):</w:t>
      </w:r>
    </w:p>
    <w:p>
      <w:pPr>
        <w:spacing w:after="0" w:line="200" w:lineRule="exact"/>
        <w:rPr>
          <w:sz w:val="20"/>
          <w:szCs w:val="20"/>
          <w:color w:val="auto"/>
        </w:rPr>
      </w:pPr>
    </w:p>
    <w:p>
      <w:pPr>
        <w:spacing w:after="0" w:line="265"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Weighted Average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7"/>
        </w:trPr>
        <w:tc>
          <w:tcPr>
            <w:tcW w:w="4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314"/>
              <w:spacing w:after="0" w:line="137" w:lineRule="exact"/>
              <w:rPr>
                <w:sz w:val="20"/>
                <w:szCs w:val="20"/>
                <w:color w:val="auto"/>
              </w:rPr>
            </w:pPr>
            <w:r>
              <w:rPr>
                <w:rFonts w:ascii="Arial" w:cs="Arial" w:eastAsia="Arial" w:hAnsi="Arial"/>
                <w:sz w:val="13"/>
                <w:szCs w:val="13"/>
                <w:b w:val="1"/>
                <w:bCs w:val="1"/>
                <w:color w:val="auto"/>
                <w:w w:val="96"/>
              </w:rPr>
              <w:t>Grant Date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90"/>
              <w:spacing w:after="0" w:line="137" w:lineRule="exact"/>
              <w:rPr>
                <w:sz w:val="20"/>
                <w:szCs w:val="20"/>
                <w:color w:val="auto"/>
              </w:rPr>
            </w:pPr>
            <w:r>
              <w:rPr>
                <w:rFonts w:ascii="Arial" w:cs="Arial" w:eastAsia="Arial" w:hAnsi="Arial"/>
                <w:sz w:val="13"/>
                <w:szCs w:val="13"/>
                <w:b w:val="1"/>
                <w:bCs w:val="1"/>
                <w:color w:val="auto"/>
                <w:w w:val="90"/>
              </w:rPr>
              <w:t>Aggregate</w:t>
            </w:r>
          </w:p>
        </w:tc>
      </w:tr>
      <w:tr>
        <w:trPr>
          <w:trHeight w:val="137"/>
        </w:trPr>
        <w:tc>
          <w:tcPr>
            <w:tcW w:w="4880" w:type="dxa"/>
            <w:vAlign w:val="bottom"/>
          </w:tcPr>
          <w:p>
            <w:pPr>
              <w:spacing w:after="0"/>
              <w:rPr>
                <w:sz w:val="11"/>
                <w:szCs w:val="11"/>
                <w:color w:val="auto"/>
              </w:rPr>
            </w:pPr>
          </w:p>
        </w:tc>
        <w:tc>
          <w:tcPr>
            <w:tcW w:w="960" w:type="dxa"/>
            <w:vAlign w:val="bottom"/>
          </w:tcPr>
          <w:p>
            <w:pPr>
              <w:jc w:val="right"/>
              <w:ind w:right="162"/>
              <w:spacing w:after="0" w:line="137"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1"/>
                <w:szCs w:val="11"/>
                <w:color w:val="auto"/>
              </w:rPr>
            </w:pPr>
          </w:p>
        </w:tc>
        <w:tc>
          <w:tcPr>
            <w:tcW w:w="1100" w:type="dxa"/>
            <w:vAlign w:val="bottom"/>
          </w:tcPr>
          <w:p>
            <w:pPr>
              <w:jc w:val="center"/>
              <w:ind w:left="314"/>
              <w:spacing w:after="0" w:line="137" w:lineRule="exact"/>
              <w:rPr>
                <w:sz w:val="20"/>
                <w:szCs w:val="20"/>
                <w:color w:val="auto"/>
              </w:rPr>
            </w:pPr>
            <w:r>
              <w:rPr>
                <w:rFonts w:ascii="Arial" w:cs="Arial" w:eastAsia="Arial" w:hAnsi="Arial"/>
                <w:sz w:val="13"/>
                <w:szCs w:val="13"/>
                <w:b w:val="1"/>
                <w:bCs w:val="1"/>
                <w:color w:val="auto"/>
                <w:w w:val="96"/>
              </w:rPr>
              <w:t>Fair Value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0"/>
              <w:spacing w:after="0" w:line="137" w:lineRule="exact"/>
              <w:rPr>
                <w:sz w:val="20"/>
                <w:szCs w:val="20"/>
                <w:color w:val="auto"/>
              </w:rPr>
            </w:pPr>
            <w:r>
              <w:rPr>
                <w:rFonts w:ascii="Arial" w:cs="Arial" w:eastAsia="Arial" w:hAnsi="Arial"/>
                <w:sz w:val="13"/>
                <w:szCs w:val="13"/>
                <w:b w:val="1"/>
                <w:bCs w:val="1"/>
                <w:color w:val="auto"/>
                <w:w w:val="94"/>
              </w:rPr>
              <w:t>Intrinsic</w:t>
            </w:r>
          </w:p>
        </w:tc>
      </w:tr>
      <w:tr>
        <w:trPr>
          <w:trHeight w:val="176"/>
        </w:trPr>
        <w:tc>
          <w:tcPr>
            <w:tcW w:w="48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of Shares</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314"/>
              <w:spacing w:after="0"/>
              <w:rPr>
                <w:sz w:val="20"/>
                <w:szCs w:val="20"/>
                <w:color w:val="auto"/>
              </w:rPr>
            </w:pPr>
            <w:r>
              <w:rPr>
                <w:rFonts w:ascii="Arial" w:cs="Arial" w:eastAsia="Arial" w:hAnsi="Arial"/>
                <w:sz w:val="13"/>
                <w:szCs w:val="13"/>
                <w:b w:val="1"/>
                <w:bCs w:val="1"/>
                <w:color w:val="auto"/>
                <w:w w:val="92"/>
              </w:rPr>
              <w:t>Per Share</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2"/>
              </w:rPr>
              <w:t>Value</w:t>
            </w:r>
          </w:p>
        </w:tc>
      </w:tr>
      <w:tr>
        <w:trPr>
          <w:trHeight w:val="22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Non-vested at December 31, 2011</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9,985</w:t>
            </w:r>
          </w:p>
        </w:tc>
        <w:tc>
          <w:tcPr>
            <w:tcW w:w="1200" w:type="dxa"/>
            <w:vAlign w:val="bottom"/>
            <w:tcBorders>
              <w:bottom w:val="single" w:sz="8" w:color="CCEEFF"/>
            </w:tcBorders>
            <w:gridSpan w:val="2"/>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4.70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22"/>
        </w:trPr>
        <w:tc>
          <w:tcPr>
            <w:tcW w:w="4880" w:type="dxa"/>
            <w:vAlign w:val="bottom"/>
          </w:tcPr>
          <w:p>
            <w:pPr>
              <w:ind w:left="160"/>
              <w:spacing w:after="0"/>
              <w:rPr>
                <w:sz w:val="20"/>
                <w:szCs w:val="20"/>
                <w:color w:val="auto"/>
              </w:rPr>
            </w:pPr>
            <w:r>
              <w:rPr>
                <w:rFonts w:ascii="Arial" w:cs="Arial" w:eastAsia="Arial" w:hAnsi="Arial"/>
                <w:sz w:val="17"/>
                <w:szCs w:val="17"/>
                <w:color w:val="auto"/>
              </w:rPr>
              <w:t>Granted</w:t>
            </w:r>
          </w:p>
        </w:tc>
        <w:tc>
          <w:tcPr>
            <w:tcW w:w="9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934"/>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
        </w:trPr>
        <w:tc>
          <w:tcPr>
            <w:tcW w:w="4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(4,595)</w:t>
            </w:r>
          </w:p>
        </w:tc>
        <w:tc>
          <w:tcPr>
            <w:tcW w:w="1200" w:type="dxa"/>
            <w:vAlign w:val="bottom"/>
            <w:tcBorders>
              <w:bottom w:val="single" w:sz="8" w:color="CCEEFF"/>
            </w:tcBorders>
            <w:gridSpan w:val="2"/>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4.06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22"/>
        </w:trPr>
        <w:tc>
          <w:tcPr>
            <w:tcW w:w="488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960" w:type="dxa"/>
            <w:vAlign w:val="bottom"/>
          </w:tcPr>
          <w:p>
            <w:pPr>
              <w:jc w:val="right"/>
              <w:spacing w:after="0"/>
              <w:rPr>
                <w:sz w:val="20"/>
                <w:szCs w:val="20"/>
                <w:color w:val="auto"/>
              </w:rPr>
            </w:pPr>
            <w:r>
              <w:rPr>
                <w:rFonts w:ascii="Arial" w:cs="Arial" w:eastAsia="Arial" w:hAnsi="Arial"/>
                <w:sz w:val="17"/>
                <w:szCs w:val="17"/>
                <w:color w:val="auto"/>
              </w:rPr>
              <w:t>(114)</w:t>
            </w:r>
          </w:p>
        </w:tc>
        <w:tc>
          <w:tcPr>
            <w:tcW w:w="1200" w:type="dxa"/>
            <w:vAlign w:val="bottom"/>
            <w:gridSpan w:val="2"/>
          </w:tcPr>
          <w:p>
            <w:pPr>
              <w:jc w:val="right"/>
              <w:ind w:right="934"/>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96"/>
              </w:rPr>
              <w:t>5.99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
        </w:trPr>
        <w:tc>
          <w:tcPr>
            <w:tcW w:w="48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Non-vested at December 31, 2012</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5,276</w:t>
            </w:r>
          </w:p>
        </w:tc>
        <w:tc>
          <w:tcPr>
            <w:tcW w:w="1200" w:type="dxa"/>
            <w:vAlign w:val="bottom"/>
            <w:tcBorders>
              <w:bottom w:val="single" w:sz="8" w:color="CCEEFF"/>
            </w:tcBorders>
            <w:gridSpan w:val="2"/>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43,000</w:t>
            </w:r>
          </w:p>
        </w:tc>
      </w:tr>
      <w:tr>
        <w:trPr>
          <w:trHeight w:val="20"/>
        </w:trPr>
        <w:tc>
          <w:tcPr>
            <w:tcW w:w="4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The total fair value of restricted stock units vested during the years ended December 31, 2012, 2011 and 2010 was $29.1 million, $15.5 million and $1.7 million, respectively.</w:t>
      </w:r>
    </w:p>
    <w:p>
      <w:pPr>
        <w:spacing w:after="0" w:line="98" w:lineRule="exact"/>
        <w:rPr>
          <w:sz w:val="20"/>
          <w:szCs w:val="20"/>
          <w:color w:val="auto"/>
        </w:rPr>
      </w:pPr>
    </w:p>
    <w:p>
      <w:pPr>
        <w:jc w:val="both"/>
        <w:ind w:firstLine="397"/>
        <w:spacing w:after="0" w:line="247" w:lineRule="auto"/>
        <w:rPr>
          <w:sz w:val="20"/>
          <w:szCs w:val="20"/>
          <w:color w:val="auto"/>
        </w:rPr>
      </w:pPr>
      <w:r>
        <w:rPr>
          <w:rFonts w:ascii="Arial" w:cs="Arial" w:eastAsia="Arial" w:hAnsi="Arial"/>
          <w:sz w:val="17"/>
          <w:szCs w:val="17"/>
          <w:b w:val="1"/>
          <w:bCs w:val="1"/>
          <w:i w:val="1"/>
          <w:iCs w:val="1"/>
          <w:color w:val="auto"/>
        </w:rPr>
        <w:t>2012 Activity</w:t>
      </w:r>
      <w:r>
        <w:rPr>
          <w:rFonts w:ascii="Arial" w:cs="Arial" w:eastAsia="Arial" w:hAnsi="Arial"/>
          <w:sz w:val="17"/>
          <w:szCs w:val="17"/>
          <w:color w:val="auto"/>
        </w:rPr>
        <w:t>—During the year ended December 31, 2012, 4,594,572 restricted stock units vested and 2,610,816 were issued to employees, net of statutory minimum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tax withholdings. These vested restricted stock units were primarily comprised of 1,947,551 Amended Units which vested on January 1, 2012 (see below), 1,340,620 service-based restricted stock units granted to employees in February 2010 that cliff vested on February 17, 2012 and 806,518 performance-based restricted stock units granted to the Company's Chairman and Chief Executive Officer in March 2010 that cliff vested on March 2, 2012. The performance-based units had certain performance and service conditions, relating to reductions in the Company's general and administrative expenses, retirement of debt and continued employment, which were satisfied during the year ended December 31, 2010.</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2012, the Company had the following restricted stock awards outstanding:</w:t>
      </w:r>
    </w:p>
    <w:p>
      <w:pPr>
        <w:spacing w:after="0" w:line="202" w:lineRule="exact"/>
        <w:rPr>
          <w:sz w:val="20"/>
          <w:szCs w:val="20"/>
          <w:color w:val="auto"/>
        </w:rPr>
      </w:pPr>
    </w:p>
    <w:p>
      <w:pPr>
        <w:jc w:val="both"/>
        <w:ind w:left="600" w:hanging="303"/>
        <w:spacing w:after="0" w:line="249"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1,200,000 service-based restricted stock units granted to the Company's Chairman and Chief Executive Officer that will vest in two equal installments on June 15 of 2013 and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81" w:lineRule="exact"/>
        <w:rPr>
          <w:rFonts w:ascii="Arial" w:cs="Arial" w:eastAsia="Arial" w:hAnsi="Arial"/>
          <w:sz w:val="17"/>
          <w:szCs w:val="17"/>
          <w:color w:val="auto"/>
        </w:rPr>
      </w:pPr>
    </w:p>
    <w:p>
      <w:pPr>
        <w:jc w:val="both"/>
        <w:ind w:left="600" w:hanging="303"/>
        <w:spacing w:after="0" w:line="308" w:lineRule="auto"/>
        <w:tabs>
          <w:tab w:leader="none" w:pos="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3,438,607 restricted stock units originally granted to executives and other officers of the Company on December 19, 2008 (the "Original Units") and subsequently modified in July 2011 (the "Amended Units"). The number of Amended Units is equal to 75% of the Original Units granted to an employee </w:t>
      </w:r>
      <w:r>
        <w:rPr>
          <w:rFonts w:ascii="Arial" w:cs="Arial" w:eastAsia="Arial" w:hAnsi="Arial"/>
          <w:sz w:val="14"/>
          <w:szCs w:val="14"/>
          <w:i w:val="1"/>
          <w:iCs w:val="1"/>
          <w:color w:val="auto"/>
        </w:rPr>
        <w:t>less</w:t>
      </w:r>
      <w:r>
        <w:rPr>
          <w:rFonts w:ascii="Arial" w:cs="Arial" w:eastAsia="Arial" w:hAnsi="Arial"/>
          <w:sz w:val="14"/>
          <w:szCs w:val="14"/>
          <w:color w:val="auto"/>
        </w:rPr>
        <w:t>, in the case of each executive level employee, the number of restricted stock units granted to the executive in March 2011. The remaining Amended Units will vest in two equal installments on January 1, 2013 and 2014, so long as the employee remains employed by the Company on the vesting dates, subject to certain accelerated vesting rights in the event of termination of employment without cause.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42" w:lineRule="exact"/>
        <w:rPr>
          <w:rFonts w:ascii="Arial" w:cs="Arial" w:eastAsia="Arial" w:hAnsi="Arial"/>
          <w:sz w:val="14"/>
          <w:szCs w:val="14"/>
          <w:color w:val="auto"/>
        </w:rPr>
      </w:pPr>
    </w:p>
    <w:p>
      <w:pPr>
        <w:jc w:val="both"/>
        <w:ind w:left="600" w:hanging="303"/>
        <w:spacing w:after="0" w:line="249"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637,485 service-based restricted stock units granted to employees with original vesting terms ranging from two years to five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jc w:val="both"/>
        <w:ind w:left="1" w:firstLine="397"/>
        <w:spacing w:after="0" w:line="252" w:lineRule="auto"/>
        <w:rPr>
          <w:sz w:val="20"/>
          <w:szCs w:val="20"/>
          <w:color w:val="auto"/>
        </w:rPr>
      </w:pPr>
      <w:r>
        <w:rPr>
          <w:rFonts w:ascii="Arial" w:cs="Arial" w:eastAsia="Arial" w:hAnsi="Arial"/>
          <w:sz w:val="17"/>
          <w:szCs w:val="17"/>
          <w:b w:val="1"/>
          <w:bCs w:val="1"/>
          <w:i w:val="1"/>
          <w:iCs w:val="1"/>
          <w:color w:val="auto"/>
        </w:rPr>
        <w:t>Market-condition award assumptions</w:t>
      </w:r>
      <w:r>
        <w:rPr>
          <w:rFonts w:ascii="Arial" w:cs="Arial" w:eastAsia="Arial" w:hAnsi="Arial"/>
          <w:sz w:val="17"/>
          <w:szCs w:val="17"/>
          <w:color w:val="auto"/>
        </w:rPr>
        <w:t>—The fair values of the market-condition based restricted stock units, were determined by utilizing a Monte Carlo model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simulate a range of possible future stock prices for the Company's Common Stock. The following assumptions were used to estimate the fair value of market-condition based awards:</w:t>
      </w:r>
    </w:p>
    <w:p>
      <w:pPr>
        <w:spacing w:after="0" w:line="307"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Valued as of</w:t>
            </w:r>
          </w:p>
        </w:tc>
      </w:tr>
      <w:tr>
        <w:trPr>
          <w:trHeight w:val="139"/>
        </w:trPr>
        <w:tc>
          <w:tcPr>
            <w:tcW w:w="14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3"/>
              </w:rPr>
              <w:t>July 1,</w:t>
            </w:r>
          </w:p>
        </w:tc>
      </w:tr>
      <w:tr>
        <w:trPr>
          <w:trHeight w:val="176"/>
        </w:trPr>
        <w:tc>
          <w:tcPr>
            <w:tcW w:w="1480" w:type="dxa"/>
            <w:vAlign w:val="bottom"/>
          </w:tcPr>
          <w:p>
            <w:pPr>
              <w:spacing w:after="0"/>
              <w:rPr>
                <w:sz w:val="15"/>
                <w:szCs w:val="15"/>
                <w:color w:val="auto"/>
              </w:rPr>
            </w:pPr>
          </w:p>
        </w:tc>
        <w:tc>
          <w:tcPr>
            <w:tcW w:w="72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2011(1)</w:t>
            </w:r>
          </w:p>
        </w:tc>
      </w:tr>
      <w:tr>
        <w:trPr>
          <w:trHeight w:val="226"/>
        </w:trPr>
        <w:tc>
          <w:tcPr>
            <w:tcW w:w="148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0.092%</w:t>
            </w:r>
          </w:p>
        </w:tc>
      </w:tr>
      <w:tr>
        <w:trPr>
          <w:trHeight w:val="222"/>
        </w:trPr>
        <w:tc>
          <w:tcPr>
            <w:tcW w:w="148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7"/>
                <w:szCs w:val="17"/>
                <w:color w:val="auto"/>
              </w:rPr>
              <w:t>Expected stock price volatility</w:t>
            </w:r>
          </w:p>
        </w:tc>
        <w:tc>
          <w:tcPr>
            <w:tcW w:w="1200" w:type="dxa"/>
            <w:vAlign w:val="bottom"/>
          </w:tcPr>
          <w:p>
            <w:pPr>
              <w:jc w:val="right"/>
              <w:spacing w:after="0"/>
              <w:rPr>
                <w:sz w:val="20"/>
                <w:szCs w:val="20"/>
                <w:color w:val="auto"/>
              </w:rPr>
            </w:pPr>
            <w:r>
              <w:rPr>
                <w:rFonts w:ascii="Arial" w:cs="Arial" w:eastAsia="Arial" w:hAnsi="Arial"/>
                <w:sz w:val="17"/>
                <w:szCs w:val="17"/>
                <w:color w:val="auto"/>
              </w:rPr>
              <w:t>57.75%</w:t>
            </w:r>
          </w:p>
        </w:tc>
      </w:tr>
      <w:tr>
        <w:trPr>
          <w:trHeight w:val="26"/>
        </w:trPr>
        <w:tc>
          <w:tcPr>
            <w:tcW w:w="14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8"/>
        </w:trPr>
        <w:tc>
          <w:tcPr>
            <w:tcW w:w="148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annual dividend</w:t>
            </w:r>
          </w:p>
        </w:tc>
        <w:tc>
          <w:tcPr>
            <w:tcW w:w="12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7"/>
                <w:szCs w:val="17"/>
                <w:color w:val="auto"/>
              </w:rPr>
              <w:t>—</w:t>
            </w:r>
          </w:p>
        </w:tc>
      </w:tr>
      <w:tr>
        <w:trPr>
          <w:trHeight w:val="282"/>
        </w:trPr>
        <w:tc>
          <w:tcPr>
            <w:tcW w:w="8760" w:type="dxa"/>
            <w:vAlign w:val="bottom"/>
            <w:gridSpan w:val="2"/>
          </w:tcPr>
          <w:p>
            <w:pPr>
              <w:spacing w:after="0"/>
              <w:rPr>
                <w:sz w:val="20"/>
                <w:szCs w:val="20"/>
                <w:color w:val="auto"/>
              </w:rPr>
            </w:pPr>
            <w:r>
              <w:rPr>
                <w:rFonts w:ascii="Arial" w:cs="Arial" w:eastAsia="Arial" w:hAnsi="Arial"/>
                <w:sz w:val="13"/>
                <w:szCs w:val="13"/>
                <w:b w:val="1"/>
                <w:bCs w:val="1"/>
                <w:color w:val="auto"/>
              </w:rPr>
              <w:t>Explanatory Note:</w:t>
            </w:r>
          </w:p>
        </w:tc>
        <w:tc>
          <w:tcPr>
            <w:tcW w:w="1200" w:type="dxa"/>
            <w:vAlign w:val="bottom"/>
          </w:tcPr>
          <w:p>
            <w:pPr>
              <w:spacing w:after="0"/>
              <w:rPr>
                <w:sz w:val="24"/>
                <w:szCs w:val="24"/>
                <w:color w:val="auto"/>
              </w:rPr>
            </w:pPr>
          </w:p>
        </w:tc>
      </w:tr>
      <w:tr>
        <w:trPr>
          <w:trHeight w:val="166"/>
        </w:trPr>
        <w:tc>
          <w:tcPr>
            <w:tcW w:w="8760" w:type="dxa"/>
            <w:vAlign w:val="bottom"/>
            <w:gridSpan w:val="2"/>
          </w:tcPr>
          <w:p>
            <w:pPr>
              <w:spacing w:after="0"/>
              <w:rPr>
                <w:sz w:val="20"/>
                <w:szCs w:val="20"/>
                <w:color w:val="auto"/>
              </w:rPr>
            </w:pPr>
            <w:r>
              <w:rPr>
                <w:rFonts w:ascii="Arial" w:cs="Arial" w:eastAsia="Arial" w:hAnsi="Arial"/>
                <w:sz w:val="13"/>
                <w:szCs w:val="13"/>
                <w:color w:val="auto"/>
              </w:rPr>
              <w:t>_______________________________________________________________________________</w:t>
            </w:r>
          </w:p>
        </w:tc>
        <w:tc>
          <w:tcPr>
            <w:tcW w:w="1200" w:type="dxa"/>
            <w:vAlign w:val="bottom"/>
          </w:tcPr>
          <w:p>
            <w:pPr>
              <w:spacing w:after="0"/>
              <w:rPr>
                <w:sz w:val="14"/>
                <w:szCs w:val="14"/>
                <w:color w:val="auto"/>
              </w:rPr>
            </w:pPr>
          </w:p>
        </w:tc>
      </w:tr>
    </w:tbl>
    <w:p>
      <w:pPr>
        <w:spacing w:after="0" w:line="132" w:lineRule="exact"/>
        <w:rPr>
          <w:sz w:val="20"/>
          <w:szCs w:val="20"/>
          <w:color w:val="auto"/>
        </w:rPr>
      </w:pPr>
    </w:p>
    <w:p>
      <w:pPr>
        <w:ind w:left="601" w:hanging="601"/>
        <w:spacing w:after="0"/>
        <w:tabs>
          <w:tab w:leader="none" w:pos="601"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modified December 19, 2008 market-condition based restricted stock units were measured on July 1, 2011, the date the Company's Board of Directors' approved the modification of the award.</w:t>
      </w:r>
    </w:p>
    <w:p>
      <w:pPr>
        <w:spacing w:after="0" w:line="160" w:lineRule="exact"/>
        <w:rPr>
          <w:sz w:val="20"/>
          <w:szCs w:val="20"/>
          <w:color w:val="auto"/>
        </w:rPr>
      </w:pPr>
    </w:p>
    <w:p>
      <w:pPr>
        <w:ind w:left="401"/>
        <w:spacing w:after="0"/>
        <w:rPr>
          <w:sz w:val="20"/>
          <w:szCs w:val="20"/>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—All remaining stock options expired during the year ended December 31, 2012.</w:t>
      </w:r>
    </w:p>
    <w:p>
      <w:pPr>
        <w:spacing w:after="0" w:line="202" w:lineRule="exact"/>
        <w:rPr>
          <w:sz w:val="20"/>
          <w:szCs w:val="20"/>
          <w:color w:val="auto"/>
        </w:rPr>
      </w:pPr>
    </w:p>
    <w:p>
      <w:pPr>
        <w:jc w:val="both"/>
        <w:ind w:left="1" w:firstLine="397"/>
        <w:spacing w:after="0" w:line="251" w:lineRule="auto"/>
        <w:rPr>
          <w:sz w:val="20"/>
          <w:szCs w:val="20"/>
          <w:color w:val="auto"/>
        </w:rPr>
      </w:pPr>
      <w:r>
        <w:rPr>
          <w:rFonts w:ascii="Arial" w:cs="Arial" w:eastAsia="Arial" w:hAnsi="Arial"/>
          <w:sz w:val="17"/>
          <w:szCs w:val="17"/>
          <w:b w:val="1"/>
          <w:bCs w:val="1"/>
          <w:color w:val="auto"/>
        </w:rPr>
        <w:t>Directors' Awards</w:t>
      </w:r>
      <w:r>
        <w:rPr>
          <w:rFonts w:ascii="Arial" w:cs="Arial" w:eastAsia="Arial" w:hAnsi="Arial"/>
          <w:sz w:val="17"/>
          <w:szCs w:val="17"/>
          <w:color w:val="auto"/>
        </w:rPr>
        <w:t>—Non-employee directors are awarded common stock equivalents ("CSEs") and restricted shares at the time of the annual shareholders'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for their services on the Company's Board of Directors. The CSEs and restricted shares generally vest at the time of the next annual shareholders meeting and pay dividends in an amount equal to the dividends paid on an equivalent number of shares of the Company's Common Stock from the date of grant, as and when dividends are paid on the Common Stock.</w:t>
      </w:r>
    </w:p>
    <w:p>
      <w:pPr>
        <w:spacing w:after="0" w:line="179" w:lineRule="exact"/>
        <w:rPr>
          <w:sz w:val="20"/>
          <w:szCs w:val="20"/>
          <w:color w:val="auto"/>
        </w:rPr>
      </w:pPr>
    </w:p>
    <w:p>
      <w:pPr>
        <w:jc w:val="both"/>
        <w:ind w:left="1" w:firstLine="397"/>
        <w:spacing w:after="0" w:line="314" w:lineRule="auto"/>
        <w:rPr>
          <w:sz w:val="20"/>
          <w:szCs w:val="20"/>
          <w:color w:val="auto"/>
        </w:rPr>
      </w:pPr>
      <w:r>
        <w:rPr>
          <w:rFonts w:ascii="Arial" w:cs="Arial" w:eastAsia="Arial" w:hAnsi="Arial"/>
          <w:sz w:val="14"/>
          <w:szCs w:val="14"/>
          <w:color w:val="auto"/>
        </w:rPr>
        <w:t>During the year ended December 31, 2012, the Company awarded to Directors 77,113 CSEs and restricted shares at a fair value per share of $5.67 at the time of grant. These CSEs and restricted shares have a one year vesting period and pay dividends in an amount equal to the dividends paid on the equivalent number of shares of the Company's Common Stock from the date of grant, as and when dividends are paid on Common Stock. In addition, during the year ended December 31, 2012, the Company issued 35,476 shares to a former director in settlement of previously vested CSE awards. As of December 31, 2012, there were 384,751 CSEs and restricted shares granted to members of the Company's Board of Directors that remained outstanding with an aggregate intrinsic value of $3.1 million.</w:t>
      </w:r>
    </w:p>
    <w:p>
      <w:pPr>
        <w:spacing w:after="0" w:line="64" w:lineRule="exact"/>
        <w:rPr>
          <w:sz w:val="20"/>
          <w:szCs w:val="20"/>
          <w:color w:val="auto"/>
        </w:rPr>
      </w:pPr>
    </w:p>
    <w:p>
      <w:pPr>
        <w:jc w:val="both"/>
        <w:ind w:left="1" w:firstLine="397"/>
        <w:spacing w:after="0" w:line="249" w:lineRule="auto"/>
        <w:rPr>
          <w:sz w:val="20"/>
          <w:szCs w:val="20"/>
          <w:color w:val="auto"/>
        </w:rPr>
      </w:pPr>
      <w:r>
        <w:rPr>
          <w:rFonts w:ascii="Arial" w:cs="Arial" w:eastAsia="Arial" w:hAnsi="Arial"/>
          <w:sz w:val="17"/>
          <w:szCs w:val="17"/>
          <w:color w:val="auto"/>
        </w:rPr>
        <w:t>During 2011, the Company's Board of Directors decided, pursuant to the terms of the non-employee directors deferral plan, to require settlement of CSEs in shares of the Company's Common Stock, thereby eliminating the cash settlement option. This modification converted these liability-based awards to equity awards and as such, the Company reclassified $2.4 million from "Accounts payable, accrued expenses and other liabilities" to "Additional paid-in capital" on the Company's Consolidated Balance Sheet during the year ended December 31, 2011.</w:t>
      </w:r>
    </w:p>
    <w:p>
      <w:pPr>
        <w:spacing w:after="0" w:line="103" w:lineRule="exact"/>
        <w:rPr>
          <w:sz w:val="20"/>
          <w:szCs w:val="20"/>
          <w:color w:val="auto"/>
        </w:rPr>
      </w:pPr>
    </w:p>
    <w:p>
      <w:pPr>
        <w:jc w:val="both"/>
        <w:ind w:left="1" w:firstLine="397"/>
        <w:spacing w:after="0" w:line="248" w:lineRule="auto"/>
        <w:rPr>
          <w:sz w:val="20"/>
          <w:szCs w:val="20"/>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—The Company has a savings and retirement plan (the "401(k) Plan"), which is a voluntary, defined contribution plan. All employees are eligible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Board of Directors, the Company may make matching contributions on the participant's behalf of up to 50% of the first 10% of the participant's annual compensation. The Company made gross contributions of approximately $0.9 million, $0.9 million and $1.1 million for the years ended December 31, 2012, 2011 and 2010, respectively.</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13—Earnings Per Share</w:t>
      </w:r>
    </w:p>
    <w:p>
      <w:pPr>
        <w:spacing w:after="0" w:line="206"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(see Note 11). These HPU units are treated as a separate class of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1"/>
          </w:cols>
          <w:pgMar w:left="239" w:top="121" w:right="239" w:bottom="1440" w:gutter="0" w:footer="0" w:header="0"/>
        </w:sectPr>
      </w:pPr>
    </w:p>
    <w:bookmarkStart w:id="88" w:name="page89"/>
    <w:bookmarkEnd w:id="88"/>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The following table presents a reconciliation of income (loss) from continuing operations used in the basic and diluted earnings per share calculations ($ in thousands, except for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97"/>
              <w:spacing w:after="0"/>
              <w:rPr>
                <w:sz w:val="20"/>
                <w:szCs w:val="20"/>
                <w:color w:val="auto"/>
              </w:rPr>
            </w:pPr>
            <w:r>
              <w:rPr>
                <w:rFonts w:ascii="Arial" w:cs="Arial" w:eastAsia="Arial" w:hAnsi="Arial"/>
                <w:sz w:val="13"/>
                <w:szCs w:val="13"/>
                <w:b w:val="1"/>
                <w:bCs w:val="1"/>
                <w:color w:val="auto"/>
              </w:rPr>
              <w:t>For the Years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9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continuing operations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(312,694)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(206,997)</w:t>
            </w:r>
          </w:p>
        </w:tc>
        <w:tc>
          <w:tcPr>
            <w:tcW w:w="0" w:type="dxa"/>
            <w:vAlign w:val="bottom"/>
          </w:tcPr>
          <w:p>
            <w:pPr>
              <w:spacing w:after="0"/>
              <w:rPr>
                <w:sz w:val="1"/>
                <w:szCs w:val="1"/>
                <w:color w:val="auto"/>
              </w:rPr>
            </w:pPr>
          </w:p>
        </w:tc>
      </w:tr>
      <w:tr>
        <w:trPr>
          <w:trHeight w:val="222"/>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32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7"/>
                <w:szCs w:val="17"/>
                <w:color w:val="auto"/>
              </w:rPr>
              <w:t>3,629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from sales of residential property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63,472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5,721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Preferred dividends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(42,320)</w:t>
            </w:r>
          </w:p>
        </w:tc>
        <w:tc>
          <w:tcPr>
            <w:tcW w:w="0" w:type="dxa"/>
            <w:vAlign w:val="bottom"/>
          </w:tcPr>
          <w:p>
            <w:pPr>
              <w:spacing w:after="0"/>
              <w:rPr>
                <w:sz w:val="1"/>
                <w:szCs w:val="1"/>
                <w:color w:val="auto"/>
              </w:rPr>
            </w:pPr>
          </w:p>
        </w:tc>
      </w:tr>
      <w:tr>
        <w:trPr>
          <w:trHeight w:val="26"/>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10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7"/>
                <w:szCs w:val="17"/>
                <w:color w:val="auto"/>
                <w:w w:val="93"/>
              </w:rPr>
              <w:t>Income (loss) from continuing operations attributable to iStar Financial Inc. and allocable to common</w:t>
            </w:r>
          </w:p>
        </w:tc>
        <w:tc>
          <w:tcPr>
            <w:tcW w:w="320" w:type="dxa"/>
            <w:vAlign w:val="bottom"/>
            <w:vMerge w:val="restart"/>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(290,042)</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(82,176)</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(249,840)</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shareholders, HPU holders and Participating Security Holders</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640"/>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97"/>
              <w:spacing w:after="0"/>
              <w:rPr>
                <w:sz w:val="20"/>
                <w:szCs w:val="20"/>
                <w:color w:val="auto"/>
              </w:rPr>
            </w:pPr>
            <w:r>
              <w:rPr>
                <w:rFonts w:ascii="Arial" w:cs="Arial" w:eastAsia="Arial" w:hAnsi="Arial"/>
                <w:sz w:val="13"/>
                <w:szCs w:val="13"/>
                <w:b w:val="1"/>
                <w:bCs w:val="1"/>
                <w:color w:val="auto"/>
              </w:rPr>
              <w:t>For the Years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Earnings allocable to common shares: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i w:val="1"/>
                <w:iCs w:val="1"/>
                <w:color w:val="auto"/>
              </w:rPr>
              <w:t>Numerator for basic earnings per share: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Income (loss) from continuing operations attributable to iStar Financial Inc. and allocable to common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(280,534)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(79,627)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(242,440)</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16,324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262,395</w:t>
            </w:r>
          </w:p>
        </w:tc>
        <w:tc>
          <w:tcPr>
            <w:tcW w:w="0" w:type="dxa"/>
            <w:vAlign w:val="bottom"/>
          </w:tcPr>
          <w:p>
            <w:pPr>
              <w:spacing w:after="0"/>
              <w:rPr>
                <w:sz w:val="1"/>
                <w:szCs w:val="1"/>
                <w:color w:val="auto"/>
              </w:rPr>
            </w:pPr>
          </w:p>
        </w:tc>
      </w:tr>
      <w:tr>
        <w:trPr>
          <w:trHeight w:val="27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common shareholders</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(272,997)</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(62,387)</w:t>
            </w:r>
          </w:p>
        </w:tc>
        <w:tc>
          <w:tcPr>
            <w:tcW w:w="100" w:type="dxa"/>
            <w:vAlign w:val="bottom"/>
            <w:tcBorders>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36,279</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Numerator for diluted earnings per share: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rPr>
                <w:sz w:val="20"/>
                <w:szCs w:val="20"/>
                <w:color w:val="auto"/>
              </w:rPr>
            </w:pPr>
            <w:r>
              <w:rPr>
                <w:rFonts w:ascii="Arial" w:cs="Arial" w:eastAsia="Arial" w:hAnsi="Arial"/>
                <w:sz w:val="17"/>
                <w:szCs w:val="17"/>
                <w:color w:val="auto"/>
                <w:w w:val="93"/>
              </w:rPr>
              <w:t>Income (loss) from continuing operations attributable to iStar Financial Inc. and allocable to common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7"/>
                <w:szCs w:val="17"/>
                <w:color w:val="auto"/>
              </w:rPr>
              <w:t>shareholders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(280,534)</w:t>
            </w:r>
          </w:p>
        </w:tc>
        <w:tc>
          <w:tcPr>
            <w:tcW w:w="100" w:type="dxa"/>
            <w:vAlign w:val="bottom"/>
          </w:tcPr>
          <w:p>
            <w:pPr>
              <w:spacing w:after="0"/>
              <w:rPr>
                <w:sz w:val="18"/>
                <w:szCs w:val="18"/>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(79,627)</w:t>
            </w:r>
          </w:p>
        </w:tc>
        <w:tc>
          <w:tcPr>
            <w:tcW w:w="100" w:type="dxa"/>
            <w:vAlign w:val="bottom"/>
          </w:tcPr>
          <w:p>
            <w:pPr>
              <w:spacing w:after="0"/>
              <w:rPr>
                <w:sz w:val="18"/>
                <w:szCs w:val="18"/>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(242,440)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16,324</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26,363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24,331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262,395</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common shareholders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(272,997)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36,279</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Denominator for basic and diluted earnings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for basic earnings per common share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83,742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88,688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93,244</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Add: effect of assumed shares issued under treasury stock method for restricted shares</w:t>
            </w: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Add: effect of joint venture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 average common shares outstanding for diluted earnings per common share</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83,742</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88,688</w:t>
            </w:r>
          </w:p>
        </w:tc>
        <w:tc>
          <w:tcPr>
            <w:tcW w:w="100" w:type="dxa"/>
            <w:vAlign w:val="bottom"/>
            <w:tcBorders>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93,244</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per common share: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rPr>
                <w:sz w:val="20"/>
                <w:szCs w:val="20"/>
                <w:color w:val="auto"/>
              </w:rPr>
            </w:pPr>
            <w:r>
              <w:rPr>
                <w:rFonts w:ascii="Arial" w:cs="Arial" w:eastAsia="Arial" w:hAnsi="Arial"/>
                <w:sz w:val="17"/>
                <w:szCs w:val="17"/>
                <w:color w:val="auto"/>
                <w:w w:val="93"/>
              </w:rPr>
              <w:t>Income (loss) from continuing operations attributable to iStar Financial Inc. and allocable to common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7"/>
                <w:szCs w:val="17"/>
                <w:color w:val="auto"/>
              </w:rPr>
              <w:t>shareholders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8"/>
                <w:szCs w:val="18"/>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8"/>
                <w:szCs w:val="18"/>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common shareholders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earnings per common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Income (loss) from continuing operations attributable to iStar Financial Inc. and allocable to common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33"/>
        </w:trPr>
        <w:tc>
          <w:tcPr>
            <w:tcW w:w="7100" w:type="dxa"/>
            <w:vAlign w:val="bottom"/>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common shareholders</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640"/>
              <w:spacing w:after="0"/>
              <w:rPr>
                <w:sz w:val="20"/>
                <w:szCs w:val="20"/>
                <w:color w:val="auto"/>
              </w:rPr>
            </w:pPr>
            <w:r>
              <w:rPr>
                <w:rFonts w:ascii="Arial" w:cs="Arial" w:eastAsia="Arial" w:hAnsi="Arial"/>
                <w:sz w:val="17"/>
                <w:szCs w:val="17"/>
                <w:color w:val="auto"/>
              </w:rPr>
              <w:t>89</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97"/>
              <w:spacing w:after="0"/>
              <w:rPr>
                <w:sz w:val="20"/>
                <w:szCs w:val="20"/>
                <w:color w:val="auto"/>
              </w:rPr>
            </w:pPr>
            <w:r>
              <w:rPr>
                <w:rFonts w:ascii="Arial" w:cs="Arial" w:eastAsia="Arial" w:hAnsi="Arial"/>
                <w:sz w:val="13"/>
                <w:szCs w:val="13"/>
                <w:b w:val="1"/>
                <w:bCs w:val="1"/>
                <w:color w:val="auto"/>
              </w:rPr>
              <w:t>For the Years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Earnings allocable to High Performance Units: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i w:val="1"/>
                <w:iCs w:val="1"/>
                <w:color w:val="auto"/>
              </w:rPr>
              <w:t>Numerator for basic earnings per HPU share: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Income (loss) from continuing operations attributable to iStar Financial Inc. and allocable to HPU holders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7,987</w:t>
            </w:r>
          </w:p>
        </w:tc>
        <w:tc>
          <w:tcPr>
            <w:tcW w:w="0" w:type="dxa"/>
            <w:vAlign w:val="bottom"/>
          </w:tcPr>
          <w:p>
            <w:pPr>
              <w:spacing w:after="0"/>
              <w:rPr>
                <w:sz w:val="1"/>
                <w:szCs w:val="1"/>
                <w:color w:val="auto"/>
              </w:rPr>
            </w:pPr>
          </w:p>
        </w:tc>
      </w:tr>
      <w:tr>
        <w:trPr>
          <w:trHeight w:val="27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HPU holders</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(9,253)</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(1,997)</w:t>
            </w:r>
          </w:p>
        </w:tc>
        <w:tc>
          <w:tcPr>
            <w:tcW w:w="100" w:type="dxa"/>
            <w:vAlign w:val="bottom"/>
            <w:tcBorders>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1,084</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Numerator for diluted earnings per HPU share: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w w:val="90"/>
              </w:rPr>
              <w:t>Income (loss) from continuing operations attributable to iStar Financial Inc. and allocable to HPU holders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(9,509)</w:t>
            </w:r>
          </w:p>
        </w:tc>
        <w:tc>
          <w:tcPr>
            <w:tcW w:w="10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(2,549)</w:t>
            </w:r>
          </w:p>
        </w:tc>
        <w:tc>
          <w:tcPr>
            <w:tcW w:w="10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(7,400)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7,987</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HPU holders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1,084</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Denominator for basic and diluted earnings per HPU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Weighted average High Performance Units outstanding for basic and diluted earnings per share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earnings per HPU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Income (loss) from continuing operations attributable to iStar Financial Inc. and allocable to HPU holders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(633.94)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(493.33)</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532.47</w:t>
            </w:r>
          </w:p>
        </w:tc>
        <w:tc>
          <w:tcPr>
            <w:tcW w:w="0" w:type="dxa"/>
            <w:vAlign w:val="bottom"/>
          </w:tcPr>
          <w:p>
            <w:pPr>
              <w:spacing w:after="0"/>
              <w:rPr>
                <w:sz w:val="1"/>
                <w:szCs w:val="1"/>
                <w:color w:val="auto"/>
              </w:rPr>
            </w:pPr>
          </w:p>
        </w:tc>
      </w:tr>
      <w:tr>
        <w:trPr>
          <w:trHeight w:val="27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HPU holders</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(616.87)</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(133.13)</w:t>
            </w:r>
          </w:p>
        </w:tc>
        <w:tc>
          <w:tcPr>
            <w:tcW w:w="100" w:type="dxa"/>
            <w:vAlign w:val="bottom"/>
            <w:tcBorders>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72.27</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Diluted earnings per HPU share: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w w:val="90"/>
              </w:rPr>
              <w:t>Income (loss) from continuing operations attributable to iStar Financial Inc. and allocable to HPU holders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(633.94)</w:t>
            </w:r>
          </w:p>
        </w:tc>
        <w:tc>
          <w:tcPr>
            <w:tcW w:w="10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(169.93)</w:t>
            </w:r>
          </w:p>
        </w:tc>
        <w:tc>
          <w:tcPr>
            <w:tcW w:w="10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(493.33)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Arial" w:cs="Arial" w:eastAsia="Arial" w:hAnsi="Arial"/>
                <w:sz w:val="17"/>
                <w:szCs w:val="17"/>
                <w:color w:val="auto"/>
              </w:rPr>
              <w:t>Gain from discontinued operations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59.60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51.93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532.47</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iStar Financial Inc. and allocable to HPU holders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72.27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the years ended December 31, 2012, 2011 and 2010 the following shares were anti-dilutive ($ in thousands):</w:t>
      </w:r>
    </w:p>
    <w:p>
      <w:pPr>
        <w:spacing w:after="0" w:line="200" w:lineRule="exact"/>
        <w:rPr>
          <w:sz w:val="20"/>
          <w:szCs w:val="20"/>
          <w:color w:val="auto"/>
        </w:rPr>
      </w:pPr>
    </w:p>
    <w:p>
      <w:pPr>
        <w:spacing w:after="0" w:line="205" w:lineRule="exact"/>
        <w:rPr>
          <w:sz w:val="20"/>
          <w:szCs w:val="20"/>
          <w:color w:val="auto"/>
        </w:rPr>
      </w:pPr>
    </w:p>
    <w:p>
      <w:pPr>
        <w:ind w:left="830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20320</wp:posOffset>
            </wp:positionV>
            <wp:extent cx="27501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0185" cy="762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2010</w:t>
            </w:r>
          </w:p>
        </w:tc>
      </w:tr>
      <w:tr>
        <w:trPr>
          <w:trHeight w:val="226"/>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Joint venture shares</w:t>
            </w: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298</w:t>
            </w:r>
          </w:p>
        </w:tc>
      </w:tr>
      <w:tr>
        <w:trPr>
          <w:trHeight w:val="222"/>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Stock options</w:t>
            </w:r>
          </w:p>
        </w:tc>
        <w:tc>
          <w:tcPr>
            <w:tcW w:w="1480" w:type="dxa"/>
            <w:vAlign w:val="bottom"/>
            <w:gridSpan w:val="3"/>
          </w:tcPr>
          <w:p>
            <w:pPr>
              <w:jc w:val="right"/>
              <w:ind w:right="1074"/>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7"/>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7"/>
                <w:szCs w:val="17"/>
                <w:color w:val="auto"/>
              </w:rPr>
              <w:t>143</w:t>
            </w:r>
          </w:p>
        </w:tc>
      </w:tr>
      <w:tr>
        <w:trPr>
          <w:trHeight w:val="645"/>
        </w:trPr>
        <w:tc>
          <w:tcPr>
            <w:tcW w:w="7100" w:type="dxa"/>
            <w:vAlign w:val="bottom"/>
          </w:tcPr>
          <w:p>
            <w:pPr>
              <w:jc w:val="right"/>
              <w:ind w:right="1217"/>
              <w:spacing w:after="0"/>
              <w:rPr>
                <w:sz w:val="20"/>
                <w:szCs w:val="20"/>
                <w:color w:val="auto"/>
              </w:rPr>
            </w:pPr>
            <w:r>
              <w:rPr>
                <w:rFonts w:ascii="Arial" w:cs="Arial" w:eastAsia="Arial" w:hAnsi="Arial"/>
                <w:sz w:val="17"/>
                <w:szCs w:val="17"/>
                <w:color w:val="auto"/>
              </w:rPr>
              <w:t>90</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14—Fair Values</w:t>
      </w:r>
    </w:p>
    <w:p>
      <w:pPr>
        <w:spacing w:after="0" w:line="168" w:lineRule="exact"/>
        <w:rPr>
          <w:sz w:val="20"/>
          <w:szCs w:val="20"/>
          <w:color w:val="auto"/>
        </w:rPr>
      </w:pPr>
    </w:p>
    <w:p>
      <w:pPr>
        <w:jc w:val="both"/>
        <w:ind w:firstLine="596"/>
        <w:spacing w:after="0" w:line="260"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35" w:lineRule="exact"/>
        <w:rPr>
          <w:sz w:val="20"/>
          <w:szCs w:val="20"/>
          <w:color w:val="auto"/>
        </w:rPr>
      </w:pPr>
    </w:p>
    <w:p>
      <w:pPr>
        <w:ind w:left="900"/>
        <w:spacing w:after="0"/>
        <w:tabs>
          <w:tab w:leader="none" w:pos="158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4"/>
          <w:szCs w:val="14"/>
          <w:color w:val="auto"/>
        </w:rPr>
        <w:t>Unadjusted quoted prices in active markets that are accessible at the measurement date for identical, unrestricted assets or liabilities;</w:t>
      </w:r>
    </w:p>
    <w:p>
      <w:pPr>
        <w:spacing w:after="0" w:line="164" w:lineRule="exact"/>
        <w:rPr>
          <w:sz w:val="20"/>
          <w:szCs w:val="20"/>
          <w:color w:val="auto"/>
        </w:rPr>
      </w:pPr>
    </w:p>
    <w:p>
      <w:pPr>
        <w:ind w:left="900"/>
        <w:spacing w:after="0"/>
        <w:tabs>
          <w:tab w:leader="none" w:pos="158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4"/>
          <w:szCs w:val="14"/>
          <w:color w:val="auto"/>
        </w:rPr>
        <w:t>Quoted prices in markets that are not active, or inputs which are observable, either directly or indirectly, for substantially the full term of the asset 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liability; and</w:t>
      </w:r>
    </w:p>
    <w:p>
      <w:pPr>
        <w:spacing w:after="0" w:line="154" w:lineRule="exact"/>
        <w:rPr>
          <w:sz w:val="20"/>
          <w:szCs w:val="20"/>
          <w:color w:val="auto"/>
        </w:rPr>
      </w:pPr>
    </w:p>
    <w:p>
      <w:pPr>
        <w:jc w:val="both"/>
        <w:ind w:firstLine="894"/>
        <w:spacing w:after="0" w:line="260" w:lineRule="auto"/>
        <w:rPr>
          <w:sz w:val="20"/>
          <w:szCs w:val="20"/>
          <w:color w:val="auto"/>
        </w:rPr>
      </w:pPr>
      <w:r>
        <w:rPr>
          <w:rFonts w:ascii="Arial" w:cs="Arial" w:eastAsia="Arial" w:hAnsi="Arial"/>
          <w:sz w:val="17"/>
          <w:szCs w:val="17"/>
          <w:color w:val="auto"/>
        </w:rPr>
        <w:t>Level 3: Prices or valuation techniques that require inputs that are both significant to the fair value measurement and unobservable (i.e., supported by little or no market activity).</w:t>
      </w:r>
    </w:p>
    <w:p>
      <w:pPr>
        <w:spacing w:after="0" w:line="135" w:lineRule="exact"/>
        <w:rPr>
          <w:sz w:val="20"/>
          <w:szCs w:val="20"/>
          <w:color w:val="auto"/>
        </w:rPr>
      </w:pPr>
    </w:p>
    <w:p>
      <w:pPr>
        <w:jc w:val="both"/>
        <w:ind w:firstLine="596"/>
        <w:spacing w:after="0" w:line="249" w:lineRule="auto"/>
        <w:rPr>
          <w:sz w:val="20"/>
          <w:szCs w:val="20"/>
          <w:color w:val="auto"/>
        </w:rPr>
      </w:pPr>
      <w:r>
        <w:rPr>
          <w:rFonts w:ascii="Arial" w:cs="Arial" w:eastAsia="Arial" w:hAnsi="Arial"/>
          <w:sz w:val="17"/>
          <w:szCs w:val="17"/>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Other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44" w:lineRule="exact"/>
        <w:rPr>
          <w:sz w:val="20"/>
          <w:szCs w:val="20"/>
          <w:color w:val="auto"/>
        </w:rPr>
      </w:pPr>
    </w:p>
    <w:p>
      <w:pPr>
        <w:jc w:val="both"/>
        <w:ind w:firstLine="596"/>
        <w:spacing w:after="0" w:line="260" w:lineRule="auto"/>
        <w:rPr>
          <w:sz w:val="20"/>
          <w:szCs w:val="20"/>
          <w:color w:val="auto"/>
        </w:rPr>
      </w:pPr>
      <w:r>
        <w:rPr>
          <w:rFonts w:ascii="Arial" w:cs="Arial" w:eastAsia="Arial" w:hAnsi="Arial"/>
          <w:sz w:val="17"/>
          <w:szCs w:val="17"/>
          <w:color w:val="auto"/>
        </w:rPr>
        <w:t>The following fair value hierarchy table summarizes the Company's assets and liabilities recorded at fair value on a recurring and non-recurring basis by the above categories ($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4"/>
              </w:rPr>
              <w:t>Fair Value Using</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39"/>
        </w:trPr>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5"/>
              </w:rPr>
              <w:t>Quoted market</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1"/>
              </w:rPr>
              <w:t>Significant other</w:t>
            </w:r>
          </w:p>
        </w:tc>
        <w:tc>
          <w:tcPr>
            <w:tcW w:w="240" w:type="dxa"/>
            <w:vAlign w:val="bottom"/>
          </w:tcPr>
          <w:p>
            <w:pPr>
              <w:spacing w:after="0"/>
              <w:rPr>
                <w:sz w:val="12"/>
                <w:szCs w:val="12"/>
                <w:color w:val="auto"/>
              </w:rPr>
            </w:pPr>
          </w:p>
        </w:tc>
        <w:tc>
          <w:tcPr>
            <w:tcW w:w="1240" w:type="dxa"/>
            <w:vAlign w:val="bottom"/>
          </w:tcPr>
          <w:p>
            <w:pPr>
              <w:jc w:val="center"/>
              <w:ind w:right="164"/>
              <w:spacing w:after="0" w:line="139" w:lineRule="exact"/>
              <w:rPr>
                <w:sz w:val="20"/>
                <w:szCs w:val="20"/>
                <w:color w:val="auto"/>
              </w:rPr>
            </w:pPr>
            <w:r>
              <w:rPr>
                <w:rFonts w:ascii="Arial" w:cs="Arial" w:eastAsia="Arial" w:hAnsi="Arial"/>
                <w:sz w:val="13"/>
                <w:szCs w:val="13"/>
                <w:b w:val="1"/>
                <w:bCs w:val="1"/>
                <w:color w:val="auto"/>
                <w:w w:val="90"/>
              </w:rPr>
              <w:t>Significant</w:t>
            </w:r>
          </w:p>
        </w:tc>
      </w:tr>
      <w:tr>
        <w:trPr>
          <w:trHeight w:val="137"/>
        </w:trPr>
        <w:tc>
          <w:tcPr>
            <w:tcW w:w="5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89"/>
              </w:rPr>
              <w:t>prices in</w:t>
            </w: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0"/>
              </w:rPr>
              <w:t>observable</w:t>
            </w:r>
          </w:p>
        </w:tc>
        <w:tc>
          <w:tcPr>
            <w:tcW w:w="240" w:type="dxa"/>
            <w:vAlign w:val="bottom"/>
          </w:tcPr>
          <w:p>
            <w:pPr>
              <w:spacing w:after="0"/>
              <w:rPr>
                <w:sz w:val="11"/>
                <w:szCs w:val="11"/>
                <w:color w:val="auto"/>
              </w:rPr>
            </w:pPr>
          </w:p>
        </w:tc>
        <w:tc>
          <w:tcPr>
            <w:tcW w:w="1240" w:type="dxa"/>
            <w:vAlign w:val="bottom"/>
          </w:tcPr>
          <w:p>
            <w:pPr>
              <w:jc w:val="center"/>
              <w:ind w:right="164"/>
              <w:spacing w:after="0" w:line="137" w:lineRule="exact"/>
              <w:rPr>
                <w:sz w:val="20"/>
                <w:szCs w:val="20"/>
                <w:color w:val="auto"/>
              </w:rPr>
            </w:pPr>
            <w:r>
              <w:rPr>
                <w:rFonts w:ascii="Arial" w:cs="Arial" w:eastAsia="Arial" w:hAnsi="Arial"/>
                <w:sz w:val="13"/>
                <w:szCs w:val="13"/>
                <w:b w:val="1"/>
                <w:bCs w:val="1"/>
                <w:color w:val="auto"/>
                <w:w w:val="89"/>
              </w:rPr>
              <w:t>unobservable</w:t>
            </w:r>
          </w:p>
        </w:tc>
      </w:tr>
      <w:tr>
        <w:trPr>
          <w:trHeight w:val="137"/>
        </w:trPr>
        <w:tc>
          <w:tcPr>
            <w:tcW w:w="5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2"/>
              </w:rPr>
              <w:t>active markets</w:t>
            </w: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7"/>
              </w:rPr>
              <w:t>inputs</w:t>
            </w:r>
          </w:p>
        </w:tc>
        <w:tc>
          <w:tcPr>
            <w:tcW w:w="240" w:type="dxa"/>
            <w:vAlign w:val="bottom"/>
          </w:tcPr>
          <w:p>
            <w:pPr>
              <w:spacing w:after="0"/>
              <w:rPr>
                <w:sz w:val="11"/>
                <w:szCs w:val="11"/>
                <w:color w:val="auto"/>
              </w:rPr>
            </w:pPr>
          </w:p>
        </w:tc>
        <w:tc>
          <w:tcPr>
            <w:tcW w:w="1240" w:type="dxa"/>
            <w:vAlign w:val="bottom"/>
          </w:tcPr>
          <w:p>
            <w:pPr>
              <w:jc w:val="center"/>
              <w:ind w:right="164"/>
              <w:spacing w:after="0" w:line="137" w:lineRule="exact"/>
              <w:rPr>
                <w:sz w:val="20"/>
                <w:szCs w:val="20"/>
                <w:color w:val="auto"/>
              </w:rPr>
            </w:pPr>
            <w:r>
              <w:rPr>
                <w:rFonts w:ascii="Arial" w:cs="Arial" w:eastAsia="Arial" w:hAnsi="Arial"/>
                <w:sz w:val="13"/>
                <w:szCs w:val="13"/>
                <w:b w:val="1"/>
                <w:bCs w:val="1"/>
                <w:color w:val="auto"/>
                <w:w w:val="92"/>
              </w:rPr>
              <w:t>inputs</w:t>
            </w:r>
          </w:p>
        </w:tc>
      </w:tr>
      <w:tr>
        <w:trPr>
          <w:trHeight w:val="176"/>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(Level 1)</w:t>
            </w:r>
          </w:p>
        </w:tc>
        <w:tc>
          <w:tcPr>
            <w:tcW w:w="18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(Level 2)</w:t>
            </w:r>
          </w:p>
        </w:tc>
        <w:tc>
          <w:tcPr>
            <w:tcW w:w="240" w:type="dxa"/>
            <w:vAlign w:val="bottom"/>
          </w:tcPr>
          <w:p>
            <w:pPr>
              <w:spacing w:after="0"/>
              <w:rPr>
                <w:sz w:val="15"/>
                <w:szCs w:val="15"/>
                <w:color w:val="auto"/>
              </w:rPr>
            </w:pPr>
          </w:p>
        </w:tc>
        <w:tc>
          <w:tcPr>
            <w:tcW w:w="1240" w:type="dxa"/>
            <w:vAlign w:val="bottom"/>
          </w:tcPr>
          <w:p>
            <w:pPr>
              <w:jc w:val="center"/>
              <w:ind w:right="164"/>
              <w:spacing w:after="0"/>
              <w:rPr>
                <w:sz w:val="20"/>
                <w:szCs w:val="20"/>
                <w:color w:val="auto"/>
              </w:rPr>
            </w:pPr>
            <w:r>
              <w:rPr>
                <w:rFonts w:ascii="Arial" w:cs="Arial" w:eastAsia="Arial" w:hAnsi="Arial"/>
                <w:sz w:val="13"/>
                <w:szCs w:val="13"/>
                <w:b w:val="1"/>
                <w:bCs w:val="1"/>
                <w:color w:val="auto"/>
                <w:w w:val="90"/>
              </w:rPr>
              <w:t>(Level 3)</w:t>
            </w:r>
          </w:p>
        </w:tc>
      </w:tr>
      <w:tr>
        <w:trPr>
          <w:trHeight w:val="226"/>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2012</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Recurring basis: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Derivative liabilities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3,435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3,435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w:t>
            </w: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Non-recurring basis: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Impaired loans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57,201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57,201</w:t>
            </w:r>
          </w:p>
        </w:tc>
      </w:tr>
      <w:tr>
        <w:trPr>
          <w:trHeight w:val="222"/>
        </w:trPr>
        <w:tc>
          <w:tcPr>
            <w:tcW w:w="5120" w:type="dxa"/>
            <w:vAlign w:val="bottom"/>
          </w:tcPr>
          <w:p>
            <w:pPr>
              <w:ind w:left="140"/>
              <w:spacing w:after="0"/>
              <w:rPr>
                <w:sz w:val="20"/>
                <w:szCs w:val="20"/>
                <w:color w:val="auto"/>
              </w:rPr>
            </w:pPr>
            <w:r>
              <w:rPr>
                <w:rFonts w:ascii="Arial" w:cs="Arial" w:eastAsia="Arial" w:hAnsi="Arial"/>
                <w:sz w:val="17"/>
                <w:szCs w:val="17"/>
                <w:color w:val="auto"/>
              </w:rPr>
              <w:t>Impaired real estate</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9"/>
              <w:spacing w:after="0"/>
              <w:rPr>
                <w:sz w:val="20"/>
                <w:szCs w:val="20"/>
                <w:color w:val="auto"/>
              </w:rPr>
            </w:pPr>
            <w:r>
              <w:rPr>
                <w:rFonts w:ascii="Arial" w:cs="Arial" w:eastAsia="Arial" w:hAnsi="Arial"/>
                <w:sz w:val="17"/>
                <w:szCs w:val="17"/>
                <w:color w:val="auto"/>
              </w:rPr>
              <w:t>31,597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25"/>
              <w:spacing w:after="0"/>
              <w:rPr>
                <w:sz w:val="20"/>
                <w:szCs w:val="20"/>
                <w:color w:val="auto"/>
              </w:rPr>
            </w:pPr>
            <w:r>
              <w:rPr>
                <w:rFonts w:ascii="Arial" w:cs="Arial" w:eastAsia="Arial" w:hAnsi="Arial"/>
                <w:sz w:val="17"/>
                <w:szCs w:val="17"/>
                <w:color w:val="auto"/>
              </w:rPr>
              <w:t>7,649</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44"/>
              <w:spacing w:after="0"/>
              <w:rPr>
                <w:sz w:val="20"/>
                <w:szCs w:val="20"/>
                <w:color w:val="auto"/>
              </w:rPr>
            </w:pPr>
            <w:r>
              <w:rPr>
                <w:rFonts w:ascii="Arial" w:cs="Arial" w:eastAsia="Arial" w:hAnsi="Arial"/>
                <w:sz w:val="17"/>
                <w:szCs w:val="17"/>
                <w:color w:val="auto"/>
              </w:rPr>
              <w:t>23,948</w:t>
            </w:r>
          </w:p>
        </w:tc>
      </w:tr>
      <w:tr>
        <w:trPr>
          <w:trHeight w:val="26"/>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2011</w:t>
            </w:r>
          </w:p>
        </w:tc>
        <w:tc>
          <w:tcPr>
            <w:tcW w:w="3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Recurring basis: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Derivative liabilities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2,373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w:t>
            </w: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Non-recurring basis: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Impaired loans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271,968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271,968</w:t>
            </w:r>
          </w:p>
        </w:tc>
      </w:tr>
      <w:tr>
        <w:trPr>
          <w:trHeight w:val="222"/>
        </w:trPr>
        <w:tc>
          <w:tcPr>
            <w:tcW w:w="5120" w:type="dxa"/>
            <w:vAlign w:val="bottom"/>
          </w:tcPr>
          <w:p>
            <w:pPr>
              <w:ind w:left="140"/>
              <w:spacing w:after="0"/>
              <w:rPr>
                <w:sz w:val="20"/>
                <w:szCs w:val="20"/>
                <w:color w:val="auto"/>
              </w:rPr>
            </w:pPr>
            <w:r>
              <w:rPr>
                <w:rFonts w:ascii="Arial" w:cs="Arial" w:eastAsia="Arial" w:hAnsi="Arial"/>
                <w:sz w:val="17"/>
                <w:szCs w:val="17"/>
                <w:color w:val="auto"/>
              </w:rPr>
              <w:t>Impaired real estate</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9"/>
              <w:spacing w:after="0"/>
              <w:rPr>
                <w:sz w:val="20"/>
                <w:szCs w:val="20"/>
                <w:color w:val="auto"/>
              </w:rPr>
            </w:pPr>
            <w:r>
              <w:rPr>
                <w:rFonts w:ascii="Arial" w:cs="Arial" w:eastAsia="Arial" w:hAnsi="Arial"/>
                <w:sz w:val="17"/>
                <w:szCs w:val="17"/>
                <w:color w:val="auto"/>
              </w:rPr>
              <w:t>43,660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44"/>
              <w:spacing w:after="0"/>
              <w:rPr>
                <w:sz w:val="20"/>
                <w:szCs w:val="20"/>
                <w:color w:val="auto"/>
              </w:rPr>
            </w:pPr>
            <w:r>
              <w:rPr>
                <w:rFonts w:ascii="Arial" w:cs="Arial" w:eastAsia="Arial" w:hAnsi="Arial"/>
                <w:sz w:val="17"/>
                <w:szCs w:val="17"/>
                <w:color w:val="auto"/>
              </w:rPr>
              <w:t>43,660</w:t>
            </w:r>
          </w:p>
        </w:tc>
      </w:tr>
      <w:tr>
        <w:trPr>
          <w:trHeight w:val="645"/>
        </w:trPr>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9"/>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color w:val="auto"/>
        </w:rPr>
        <w:t>The following table provides quantitative information about Level 3 fair value measures of the Company's non-recurring financial and non-financial assets ($ in thousands):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Quantitative Information about Level 3 Fair Value Measurements</w:t>
      </w:r>
    </w:p>
    <w:p>
      <w:pPr>
        <w:spacing w:after="0" w:line="135" w:lineRule="exact"/>
        <w:rPr>
          <w:sz w:val="20"/>
          <w:szCs w:val="20"/>
          <w:color w:val="auto"/>
        </w:rPr>
      </w:pPr>
    </w:p>
    <w:tbl>
      <w:tblPr>
        <w:tblLayout w:type="fixed"/>
        <w:tblInd w:w="21"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214"/>
              <w:spacing w:after="0"/>
              <w:rPr>
                <w:sz w:val="20"/>
                <w:szCs w:val="20"/>
                <w:color w:val="auto"/>
              </w:rPr>
            </w:pPr>
            <w:r>
              <w:rPr>
                <w:rFonts w:ascii="Arial" w:cs="Arial" w:eastAsia="Arial" w:hAnsi="Arial"/>
                <w:sz w:val="13"/>
                <w:szCs w:val="13"/>
                <w:b w:val="1"/>
                <w:bCs w:val="1"/>
                <w:color w:val="auto"/>
              </w:rPr>
              <w:t>Fair Value as of</w:t>
            </w:r>
          </w:p>
        </w:tc>
        <w:tc>
          <w:tcPr>
            <w:tcW w:w="120" w:type="dxa"/>
            <w:vAlign w:val="bottom"/>
          </w:tcPr>
          <w:p>
            <w:pPr>
              <w:spacing w:after="0"/>
              <w:rPr>
                <w:sz w:val="13"/>
                <w:szCs w:val="13"/>
                <w:color w:val="auto"/>
              </w:rPr>
            </w:pPr>
          </w:p>
        </w:tc>
        <w:tc>
          <w:tcPr>
            <w:tcW w:w="2260" w:type="dxa"/>
            <w:vAlign w:val="bottom"/>
            <w:gridSpan w:val="2"/>
          </w:tcPr>
          <w:p>
            <w:pPr>
              <w:ind w:left="800"/>
              <w:spacing w:after="0"/>
              <w:rPr>
                <w:sz w:val="20"/>
                <w:szCs w:val="20"/>
                <w:color w:val="auto"/>
              </w:rPr>
            </w:pPr>
            <w:r>
              <w:rPr>
                <w:rFonts w:ascii="Arial" w:cs="Arial" w:eastAsia="Arial" w:hAnsi="Arial"/>
                <w:sz w:val="13"/>
                <w:szCs w:val="13"/>
                <w:b w:val="1"/>
                <w:bCs w:val="1"/>
                <w:color w:val="auto"/>
              </w:rPr>
              <w:t>Valuation</w:t>
            </w:r>
          </w:p>
        </w:tc>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214"/>
              <w:spacing w:after="0"/>
              <w:rPr>
                <w:sz w:val="20"/>
                <w:szCs w:val="20"/>
                <w:color w:val="auto"/>
              </w:rPr>
            </w:pPr>
            <w:r>
              <w:rPr>
                <w:rFonts w:ascii="Arial" w:cs="Arial" w:eastAsia="Arial" w:hAnsi="Arial"/>
                <w:sz w:val="13"/>
                <w:szCs w:val="13"/>
                <w:b w:val="1"/>
                <w:bCs w:val="1"/>
                <w:color w:val="auto"/>
              </w:rPr>
              <w:t>Weighted</w:t>
            </w:r>
          </w:p>
        </w:tc>
      </w:tr>
      <w:tr>
        <w:trPr>
          <w:trHeight w:val="176"/>
        </w:trPr>
        <w:tc>
          <w:tcPr>
            <w:tcW w:w="2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w w:val="93"/>
              </w:rPr>
              <w:t>December 31, 2012</w:t>
            </w:r>
          </w:p>
        </w:tc>
        <w:tc>
          <w:tcPr>
            <w:tcW w:w="12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b w:val="1"/>
                <w:bCs w:val="1"/>
                <w:color w:val="auto"/>
              </w:rPr>
              <w:t>Technique(s)</w:t>
            </w:r>
          </w:p>
        </w:tc>
        <w:tc>
          <w:tcPr>
            <w:tcW w:w="100" w:type="dxa"/>
            <w:vAlign w:val="bottom"/>
            <w:tcBorders>
              <w:bottom w:val="single" w:sz="8" w:color="CCEEFF"/>
            </w:tcBorders>
          </w:tcPr>
          <w:p>
            <w:pPr>
              <w:spacing w:after="0"/>
              <w:rPr>
                <w:sz w:val="15"/>
                <w:szCs w:val="15"/>
                <w:color w:val="auto"/>
              </w:rPr>
            </w:pPr>
          </w:p>
        </w:tc>
        <w:tc>
          <w:tcPr>
            <w:tcW w:w="4000" w:type="dxa"/>
            <w:vAlign w:val="bottom"/>
            <w:tcBorders>
              <w:bottom w:val="single" w:sz="8" w:color="auto"/>
            </w:tcBorders>
          </w:tcPr>
          <w:p>
            <w:pPr>
              <w:jc w:val="right"/>
              <w:ind w:right="1374"/>
              <w:spacing w:after="0"/>
              <w:rPr>
                <w:sz w:val="20"/>
                <w:szCs w:val="20"/>
                <w:color w:val="auto"/>
              </w:rPr>
            </w:pPr>
            <w:r>
              <w:rPr>
                <w:rFonts w:ascii="Arial" w:cs="Arial" w:eastAsia="Arial" w:hAnsi="Arial"/>
                <w:sz w:val="13"/>
                <w:szCs w:val="13"/>
                <w:b w:val="1"/>
                <w:bCs w:val="1"/>
                <w:color w:val="auto"/>
              </w:rPr>
              <w:t>Unobservable Input</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Average</w:t>
            </w:r>
          </w:p>
        </w:tc>
      </w:tr>
      <w:tr>
        <w:trPr>
          <w:trHeight w:val="234"/>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Impaired loans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57,201</w:t>
            </w: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Various(1)</w:t>
            </w: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Discount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10.9 %</w:t>
            </w:r>
          </w:p>
        </w:tc>
      </w:tr>
      <w:tr>
        <w:trPr>
          <w:trHeight w:val="242"/>
        </w:trPr>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gridSpan w:val="2"/>
          </w:tcPr>
          <w:p>
            <w:pPr>
              <w:jc w:val="right"/>
              <w:ind w:right="140"/>
              <w:spacing w:after="0"/>
              <w:rPr>
                <w:sz w:val="20"/>
                <w:szCs w:val="20"/>
                <w:color w:val="auto"/>
              </w:rPr>
            </w:pPr>
            <w:r>
              <w:rPr>
                <w:rFonts w:ascii="Arial" w:cs="Arial" w:eastAsia="Arial" w:hAnsi="Arial"/>
                <w:sz w:val="13"/>
                <w:szCs w:val="13"/>
                <w:color w:val="auto"/>
              </w:rPr>
              <w:t>Average annual revenue growth</w:t>
            </w:r>
          </w:p>
        </w:tc>
        <w:tc>
          <w:tcPr>
            <w:tcW w:w="1100" w:type="dxa"/>
            <w:vAlign w:val="bottom"/>
          </w:tcPr>
          <w:p>
            <w:pPr>
              <w:jc w:val="right"/>
              <w:spacing w:after="0"/>
              <w:rPr>
                <w:sz w:val="20"/>
                <w:szCs w:val="20"/>
                <w:color w:val="auto"/>
              </w:rPr>
            </w:pPr>
            <w:r>
              <w:rPr>
                <w:rFonts w:ascii="Arial" w:cs="Arial" w:eastAsia="Arial" w:hAnsi="Arial"/>
                <w:sz w:val="13"/>
                <w:szCs w:val="13"/>
                <w:color w:val="auto"/>
              </w:rPr>
              <w:t>1.0 %</w:t>
            </w:r>
          </w:p>
        </w:tc>
      </w:tr>
      <w:tr>
        <w:trPr>
          <w:trHeight w:val="254"/>
        </w:trPr>
        <w:tc>
          <w:tcPr>
            <w:tcW w:w="2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Capitalization rate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r>
      <w:tr>
        <w:trPr>
          <w:trHeight w:val="242"/>
        </w:trPr>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gridSpan w:val="2"/>
          </w:tcPr>
          <w:p>
            <w:pPr>
              <w:jc w:val="right"/>
              <w:ind w:right="140"/>
              <w:spacing w:after="0"/>
              <w:rPr>
                <w:sz w:val="20"/>
                <w:szCs w:val="20"/>
                <w:color w:val="auto"/>
              </w:rPr>
            </w:pPr>
            <w:r>
              <w:rPr>
                <w:rFonts w:ascii="Arial" w:cs="Arial" w:eastAsia="Arial" w:hAnsi="Arial"/>
                <w:sz w:val="13"/>
                <w:szCs w:val="13"/>
                <w:color w:val="auto"/>
              </w:rPr>
              <w:t>Average annual increase in occupancy</w:t>
            </w:r>
          </w:p>
        </w:tc>
        <w:tc>
          <w:tcPr>
            <w:tcW w:w="1100" w:type="dxa"/>
            <w:vAlign w:val="bottom"/>
          </w:tcPr>
          <w:p>
            <w:pPr>
              <w:jc w:val="right"/>
              <w:spacing w:after="0"/>
              <w:rPr>
                <w:sz w:val="20"/>
                <w:szCs w:val="20"/>
                <w:color w:val="auto"/>
              </w:rPr>
            </w:pPr>
            <w:r>
              <w:rPr>
                <w:rFonts w:ascii="Arial" w:cs="Arial" w:eastAsia="Arial" w:hAnsi="Arial"/>
                <w:sz w:val="13"/>
                <w:szCs w:val="13"/>
                <w:color w:val="auto"/>
              </w:rPr>
              <w:t>0.2 %</w:t>
            </w:r>
          </w:p>
        </w:tc>
      </w:tr>
      <w:tr>
        <w:trPr>
          <w:trHeight w:val="254"/>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Impaired real estate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23,948</w:t>
            </w:r>
          </w:p>
        </w:tc>
        <w:tc>
          <w:tcPr>
            <w:tcW w:w="12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Discounted cash flow</w:t>
            </w: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Discount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12.3 %</w:t>
            </w:r>
          </w:p>
        </w:tc>
      </w:tr>
      <w:tr>
        <w:trPr>
          <w:trHeight w:val="242"/>
        </w:trPr>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gridSpan w:val="2"/>
          </w:tcPr>
          <w:p>
            <w:pPr>
              <w:jc w:val="right"/>
              <w:ind w:right="140"/>
              <w:spacing w:after="0"/>
              <w:rPr>
                <w:sz w:val="20"/>
                <w:szCs w:val="20"/>
                <w:color w:val="auto"/>
              </w:rPr>
            </w:pPr>
            <w:r>
              <w:rPr>
                <w:rFonts w:ascii="Arial" w:cs="Arial" w:eastAsia="Arial" w:hAnsi="Arial"/>
                <w:sz w:val="13"/>
                <w:szCs w:val="13"/>
                <w:color w:val="auto"/>
              </w:rPr>
              <w:t>Capitalization rate</w:t>
            </w:r>
          </w:p>
        </w:tc>
        <w:tc>
          <w:tcPr>
            <w:tcW w:w="1100" w:type="dxa"/>
            <w:vAlign w:val="bottom"/>
          </w:tcPr>
          <w:p>
            <w:pPr>
              <w:jc w:val="right"/>
              <w:spacing w:after="0"/>
              <w:rPr>
                <w:sz w:val="20"/>
                <w:szCs w:val="20"/>
                <w:color w:val="auto"/>
              </w:rPr>
            </w:pPr>
            <w:r>
              <w:rPr>
                <w:rFonts w:ascii="Arial" w:cs="Arial" w:eastAsia="Arial" w:hAnsi="Arial"/>
                <w:sz w:val="13"/>
                <w:szCs w:val="13"/>
                <w:color w:val="auto"/>
              </w:rPr>
              <w:t>9.0 %</w:t>
            </w:r>
          </w:p>
        </w:tc>
      </w:tr>
      <w:tr>
        <w:trPr>
          <w:trHeight w:val="254"/>
        </w:trPr>
        <w:tc>
          <w:tcPr>
            <w:tcW w:w="2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Average annual revenue growth</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r>
      <w:tr>
        <w:trPr>
          <w:trHeight w:val="242"/>
        </w:trPr>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gridSpan w:val="2"/>
          </w:tcPr>
          <w:p>
            <w:pPr>
              <w:jc w:val="right"/>
              <w:ind w:right="140"/>
              <w:spacing w:after="0"/>
              <w:rPr>
                <w:sz w:val="20"/>
                <w:szCs w:val="20"/>
                <w:color w:val="auto"/>
              </w:rPr>
            </w:pPr>
            <w:r>
              <w:rPr>
                <w:rFonts w:ascii="Arial" w:cs="Arial" w:eastAsia="Arial" w:hAnsi="Arial"/>
                <w:sz w:val="13"/>
                <w:szCs w:val="13"/>
                <w:color w:val="auto"/>
              </w:rPr>
              <w:t>Remaining inventory sell out period (in years)</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5.0</w:t>
            </w:r>
          </w:p>
        </w:tc>
      </w:tr>
      <w:tr>
        <w:trPr>
          <w:trHeight w:val="248"/>
        </w:trPr>
        <w:tc>
          <w:tcPr>
            <w:tcW w:w="23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Average annual increase in occupancy</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222"/>
        </w:trPr>
        <w:tc>
          <w:tcPr>
            <w:tcW w:w="2340" w:type="dxa"/>
            <w:vAlign w:val="bottom"/>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81,149</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88" w:lineRule="exact"/>
        <w:rPr>
          <w:sz w:val="20"/>
          <w:szCs w:val="20"/>
          <w:color w:val="auto"/>
        </w:rPr>
      </w:pPr>
    </w:p>
    <w:p>
      <w:pPr>
        <w:ind w:left="1" w:hanging="1"/>
        <w:spacing w:after="0" w:line="404" w:lineRule="auto"/>
        <w:tabs>
          <w:tab w:leader="none" w:pos="751" w:val="left"/>
        </w:tabs>
        <w:numPr>
          <w:ilvl w:val="0"/>
          <w:numId w:val="47"/>
        </w:numPr>
        <w:rPr>
          <w:rFonts w:ascii="Arial" w:cs="Arial" w:eastAsia="Arial" w:hAnsi="Arial"/>
          <w:sz w:val="13"/>
          <w:szCs w:val="13"/>
          <w:color w:val="auto"/>
        </w:rPr>
      </w:pPr>
      <w:r>
        <w:rPr>
          <w:rFonts w:ascii="Arial" w:cs="Arial" w:eastAsia="Arial" w:hAnsi="Arial"/>
          <w:sz w:val="13"/>
          <w:szCs w:val="13"/>
          <w:color w:val="auto"/>
        </w:rPr>
        <w:t>One loan with a value of $19.7 million was valued using discounted cash flows. The remaining loan with a value of $37.5 million was valued based on a discounted pay-off offer provided by the borrower that the Company believes approximates fair value.</w:t>
      </w:r>
    </w:p>
    <w:p>
      <w:pPr>
        <w:spacing w:after="0" w:line="67"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b w:val="1"/>
          <w:bCs w:val="1"/>
          <w:color w:val="auto"/>
        </w:rPr>
        <w:t>Fair values of financial instruments—</w:t>
      </w:r>
      <w:r>
        <w:rPr>
          <w:rFonts w:ascii="Arial" w:cs="Arial" w:eastAsia="Arial" w:hAnsi="Arial"/>
          <w:sz w:val="17"/>
          <w:szCs w:val="17"/>
          <w:color w:val="auto"/>
        </w:rPr>
        <w:t>The Company's estimated fair values of its loans receivable and debt obligations were $1.9 billion and $4.9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as of December 31, 2012 and $2.8 billion and $5.5 billion, respectively, as of December 31, 2011.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and marketable securities are included in the previous fair value hierarchy table.</w:t>
      </w:r>
    </w:p>
    <w:p>
      <w:pPr>
        <w:spacing w:after="0" w:line="144" w:lineRule="exact"/>
        <w:rPr>
          <w:sz w:val="20"/>
          <w:szCs w:val="20"/>
          <w:color w:val="auto"/>
        </w:rPr>
      </w:pPr>
    </w:p>
    <w:p>
      <w:pPr>
        <w:jc w:val="both"/>
        <w:ind w:left="1" w:firstLine="596"/>
        <w:spacing w:after="0" w:line="249" w:lineRule="auto"/>
        <w:rPr>
          <w:sz w:val="20"/>
          <w:szCs w:val="20"/>
          <w:color w:val="auto"/>
        </w:rPr>
      </w:pPr>
      <w:r>
        <w:rPr>
          <w:rFonts w:ascii="Arial" w:cs="Arial" w:eastAsia="Arial" w:hAnsi="Arial"/>
          <w:sz w:val="17"/>
          <w:szCs w:val="17"/>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 or the liabilities were settled with third parties. The methods the Company used to estimate the fair values presented in the three tables above are described more fully below for each type of asset and liability.</w:t>
      </w:r>
    </w:p>
    <w:p>
      <w:pPr>
        <w:spacing w:after="0" w:line="140" w:lineRule="exact"/>
        <w:rPr>
          <w:sz w:val="20"/>
          <w:szCs w:val="20"/>
          <w:color w:val="auto"/>
        </w:rPr>
      </w:pPr>
    </w:p>
    <w:p>
      <w:pPr>
        <w:jc w:val="both"/>
        <w:ind w:left="1" w:firstLine="596"/>
        <w:spacing w:after="0" w:line="308" w:lineRule="auto"/>
        <w:rPr>
          <w:sz w:val="20"/>
          <w:szCs w:val="20"/>
          <w:color w:val="auto"/>
        </w:rPr>
      </w:pPr>
      <w:r>
        <w:rPr>
          <w:rFonts w:ascii="Arial" w:cs="Arial" w:eastAsia="Arial" w:hAnsi="Arial"/>
          <w:sz w:val="14"/>
          <w:szCs w:val="14"/>
          <w:b w:val="1"/>
          <w:bCs w:val="1"/>
          <w:color w:val="auto"/>
        </w:rPr>
        <w:t>Derivatives</w:t>
      </w:r>
      <w:r>
        <w:rPr>
          <w:rFonts w:ascii="Arial" w:cs="Arial" w:eastAsia="Arial" w:hAnsi="Arial"/>
          <w:sz w:val="14"/>
          <w:szCs w:val="14"/>
          <w:color w:val="auto"/>
        </w:rPr>
        <w:t>—The Company uses interest rate swaps and foreign currency derivatives to manage its interest rate and foreign currency risk. The valuation of these</w:t>
      </w:r>
      <w:r>
        <w:rPr>
          <w:rFonts w:ascii="Arial" w:cs="Arial" w:eastAsia="Arial" w:hAnsi="Arial"/>
          <w:sz w:val="14"/>
          <w:szCs w:val="14"/>
          <w:b w:val="1"/>
          <w:bCs w:val="1"/>
          <w:color w:val="auto"/>
        </w:rPr>
        <w:t xml:space="preserve"> </w:t>
      </w:r>
      <w:r>
        <w:rPr>
          <w:rFonts w:ascii="Arial" w:cs="Arial" w:eastAsia="Arial" w:hAnsi="Arial"/>
          <w:sz w:val="14"/>
          <w:szCs w:val="14"/>
          <w:color w:val="auto"/>
        </w:rPr>
        <w:t>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addition, upon adoption of ASU 2011-04, the Company made an accounting policy election to measure derivative financial instruments subject to master netting agreements on a net basis. The Company has determined that the significant inputs used to value its derivatives fall within Level 2 of the fair value hierarchy.</w:t>
      </w:r>
    </w:p>
    <w:p>
      <w:pPr>
        <w:spacing w:after="0" w:line="304" w:lineRule="exact"/>
        <w:rPr>
          <w:sz w:val="20"/>
          <w:szCs w:val="20"/>
          <w:color w:val="auto"/>
        </w:rPr>
      </w:pPr>
    </w:p>
    <w:p>
      <w:pPr>
        <w:jc w:val="both"/>
        <w:ind w:left="1" w:firstLine="596"/>
        <w:spacing w:after="0" w:line="247" w:lineRule="auto"/>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loans identified as being impaired are nearly all collateral dependent loans and are evaluated for impairment by comparing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1"/>
          </w:cols>
          <w:pgMar w:left="239" w:top="121" w:right="239" w:bottom="1440" w:gutter="0" w:footer="0" w:header="0"/>
        </w:sectPr>
      </w:pPr>
    </w:p>
    <w:bookmarkStart w:id="93" w:name="page94"/>
    <w:bookmarkEnd w:id="93"/>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are based on current observable market rates and estimates for annual revenue growth, operating costs and costs of completion and the remaining inventory sell out periods. The Company will also consider market comparables if available. In more limited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pacing w:after="0" w:line="124" w:lineRule="exact"/>
        <w:rPr>
          <w:sz w:val="20"/>
          <w:szCs w:val="20"/>
          <w:color w:val="auto"/>
        </w:rPr>
      </w:pPr>
    </w:p>
    <w:p>
      <w:pPr>
        <w:jc w:val="both"/>
        <w:ind w:firstLine="596"/>
        <w:spacing w:after="0" w:line="262" w:lineRule="auto"/>
        <w:rPr>
          <w:sz w:val="20"/>
          <w:szCs w:val="20"/>
          <w:color w:val="auto"/>
        </w:rPr>
      </w:pPr>
      <w:r>
        <w:rPr>
          <w:rFonts w:ascii="Arial" w:cs="Arial" w:eastAsia="Arial" w:hAnsi="Arial"/>
          <w:sz w:val="16"/>
          <w:szCs w:val="16"/>
          <w:b w:val="1"/>
          <w:bCs w:val="1"/>
          <w:color w:val="auto"/>
        </w:rPr>
        <w:t>Impaired real estate</w:t>
      </w:r>
      <w:r>
        <w:rPr>
          <w:rFonts w:ascii="Arial" w:cs="Arial" w:eastAsia="Arial" w:hAnsi="Arial"/>
          <w:sz w:val="16"/>
          <w:szCs w:val="16"/>
          <w:color w:val="auto"/>
        </w:rPr>
        <w:t>—If the Company determines a real estate asset available and held for sale is impaired, it records an impairment charge to adjust the asset to</w:t>
      </w:r>
      <w:r>
        <w:rPr>
          <w:rFonts w:ascii="Arial" w:cs="Arial" w:eastAsia="Arial" w:hAnsi="Arial"/>
          <w:sz w:val="16"/>
          <w:szCs w:val="16"/>
          <w:b w:val="1"/>
          <w:bCs w:val="1"/>
          <w:color w:val="auto"/>
        </w:rPr>
        <w:t xml:space="preserve"> </w:t>
      </w:r>
      <w:r>
        <w:rPr>
          <w:rFonts w:ascii="Arial" w:cs="Arial" w:eastAsia="Arial" w:hAnsi="Arial"/>
          <w:sz w:val="16"/>
          <w:szCs w:val="16"/>
          <w:color w:val="auto"/>
        </w:rPr>
        <w:t>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and costs of completion and the remaining inventory sell out periods. The Company will also consider market comparables if available. In more limited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2 input under the fair value hierarchy.</w:t>
      </w:r>
    </w:p>
    <w:p>
      <w:pPr>
        <w:spacing w:after="0" w:line="136" w:lineRule="exact"/>
        <w:rPr>
          <w:sz w:val="20"/>
          <w:szCs w:val="20"/>
          <w:color w:val="auto"/>
        </w:rPr>
      </w:pPr>
    </w:p>
    <w:p>
      <w:pPr>
        <w:jc w:val="both"/>
        <w:ind w:firstLine="596"/>
        <w:spacing w:after="0" w:line="335" w:lineRule="auto"/>
        <w:rPr>
          <w:sz w:val="20"/>
          <w:szCs w:val="20"/>
          <w:color w:val="auto"/>
        </w:rPr>
      </w:pPr>
      <w:r>
        <w:rPr>
          <w:rFonts w:ascii="Arial" w:cs="Arial" w:eastAsia="Arial" w:hAnsi="Arial"/>
          <w:sz w:val="14"/>
          <w:szCs w:val="14"/>
          <w:b w:val="1"/>
          <w:bCs w:val="1"/>
          <w:color w:val="auto"/>
        </w:rPr>
        <w:t>Loans receivable</w:t>
      </w:r>
      <w:r>
        <w:rPr>
          <w:rFonts w:ascii="Arial" w:cs="Arial" w:eastAsia="Arial" w:hAnsi="Arial"/>
          <w:sz w:val="14"/>
          <w:szCs w:val="14"/>
          <w:color w:val="auto"/>
        </w:rPr>
        <w:t>—The Company estimates the fair value of its performing loans using a discounted cash flow methodology. This method discounts estimated</w:t>
      </w:r>
      <w:r>
        <w:rPr>
          <w:rFonts w:ascii="Arial" w:cs="Arial" w:eastAsia="Arial" w:hAnsi="Arial"/>
          <w:sz w:val="14"/>
          <w:szCs w:val="14"/>
          <w:b w:val="1"/>
          <w:bCs w:val="1"/>
          <w:color w:val="auto"/>
        </w:rPr>
        <w:t xml:space="preserve"> </w:t>
      </w:r>
      <w:r>
        <w:rPr>
          <w:rFonts w:ascii="Arial" w:cs="Arial" w:eastAsia="Arial" w:hAnsi="Arial"/>
          <w:sz w:val="14"/>
          <w:szCs w:val="14"/>
          <w:color w:val="auto"/>
        </w:rPr>
        <w:t>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w:t>
      </w:r>
    </w:p>
    <w:p>
      <w:pPr>
        <w:spacing w:after="0" w:line="83" w:lineRule="exact"/>
        <w:rPr>
          <w:sz w:val="20"/>
          <w:szCs w:val="20"/>
          <w:color w:val="auto"/>
        </w:rPr>
      </w:pPr>
    </w:p>
    <w:p>
      <w:pPr>
        <w:jc w:val="both"/>
        <w:ind w:firstLine="596"/>
        <w:spacing w:after="0" w:line="322" w:lineRule="auto"/>
        <w:rPr>
          <w:sz w:val="20"/>
          <w:szCs w:val="20"/>
          <w:color w:val="auto"/>
        </w:rPr>
      </w:pPr>
      <w:r>
        <w:rPr>
          <w:rFonts w:ascii="Arial" w:cs="Arial" w:eastAsia="Arial" w:hAnsi="Arial"/>
          <w:sz w:val="14"/>
          <w:szCs w:val="14"/>
          <w:b w:val="1"/>
          <w:bCs w:val="1"/>
          <w:color w:val="auto"/>
        </w:rPr>
        <w:t>Debt obligations, net</w:t>
      </w:r>
      <w:r>
        <w:rPr>
          <w:rFonts w:ascii="Arial" w:cs="Arial" w:eastAsia="Arial" w:hAnsi="Arial"/>
          <w:sz w:val="14"/>
          <w:szCs w:val="14"/>
          <w:color w:val="auto"/>
        </w:rPr>
        <w:t>—For debt obligations traded in secondary markets, the Company uses market quotes, to the extent they are available, to determine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15—Segment Reporting</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Company has determined that it has four reportable segments based on how management reviews and manages its business. These reportable segments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include: Real Estate Finance, Net Leasing, Operating Properties and Land. The Real Estate Finance segment includes all of the Company's activities related to senior and</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mezzanine real estate loans. The Net Leasing segment includes all of the Company's activities related to the ownership and leasing of corporate facilities to single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creditworthy tenants. The Operating Properties segment includes all of the Company's activities and operations related to its commercial and residential properties.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Land segment includes the Company's activities related to its developable land portfolio.</w:t>
      </w:r>
    </w:p>
    <w:p>
      <w:pPr>
        <w:spacing w:after="0" w:line="191" w:lineRule="exact"/>
        <w:rPr>
          <w:sz w:val="20"/>
          <w:szCs w:val="20"/>
          <w:color w:val="auto"/>
        </w:rPr>
      </w:pPr>
    </w:p>
    <w:p>
      <w:pPr>
        <w:ind w:right="480" w:firstLine="662"/>
        <w:spacing w:after="0" w:line="260" w:lineRule="auto"/>
        <w:rPr>
          <w:sz w:val="20"/>
          <w:szCs w:val="20"/>
          <w:color w:val="auto"/>
        </w:rPr>
      </w:pPr>
      <w:r>
        <w:rPr>
          <w:rFonts w:ascii="Arial" w:cs="Arial" w:eastAsia="Arial" w:hAnsi="Arial"/>
          <w:sz w:val="17"/>
          <w:szCs w:val="17"/>
          <w:color w:val="auto"/>
        </w:rPr>
        <w:t>The Company evaluates performance based on the following financial measures for each segment, and has conformed the prior periods presentation for the change in composition of its business segments, ($ in thousands):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Real Estate</w:t>
            </w:r>
          </w:p>
        </w:tc>
        <w:tc>
          <w:tcPr>
            <w:tcW w:w="22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Operating</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7"/>
              </w:rPr>
              <w:t>Corporate/</w:t>
            </w:r>
          </w:p>
        </w:tc>
        <w:tc>
          <w:tcPr>
            <w:tcW w:w="220" w:type="dxa"/>
            <w:vAlign w:val="bottom"/>
          </w:tcPr>
          <w:p>
            <w:pPr>
              <w:spacing w:after="0"/>
              <w:rPr>
                <w:sz w:val="13"/>
                <w:szCs w:val="13"/>
                <w:color w:val="auto"/>
              </w:rPr>
            </w:pPr>
          </w:p>
        </w:tc>
        <w:tc>
          <w:tcPr>
            <w:tcW w:w="1000" w:type="dxa"/>
            <w:vAlign w:val="bottom"/>
          </w:tcPr>
          <w:p>
            <w:pPr>
              <w:jc w:val="right"/>
              <w:ind w:right="258"/>
              <w:spacing w:after="0"/>
              <w:rPr>
                <w:sz w:val="20"/>
                <w:szCs w:val="20"/>
                <w:color w:val="auto"/>
              </w:rPr>
            </w:pPr>
            <w:r>
              <w:rPr>
                <w:rFonts w:ascii="Arial" w:cs="Arial" w:eastAsia="Arial" w:hAnsi="Arial"/>
                <w:sz w:val="13"/>
                <w:szCs w:val="13"/>
                <w:b w:val="1"/>
                <w:bCs w:val="1"/>
                <w:color w:val="auto"/>
              </w:rPr>
              <w:t>Company</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Finance</w:t>
            </w:r>
          </w:p>
        </w:tc>
        <w:tc>
          <w:tcPr>
            <w:tcW w:w="2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Leasing</w:t>
            </w: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Property</w:t>
            </w:r>
          </w:p>
        </w:tc>
        <w:tc>
          <w:tcPr>
            <w:tcW w:w="30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Land</w:t>
            </w:r>
          </w:p>
        </w:tc>
        <w:tc>
          <w:tcPr>
            <w:tcW w:w="18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4"/>
              </w:rPr>
              <w:t>Other(1)</w:t>
            </w:r>
          </w:p>
        </w:tc>
        <w:tc>
          <w:tcPr>
            <w:tcW w:w="220" w:type="dxa"/>
            <w:vAlign w:val="bottom"/>
          </w:tcPr>
          <w:p>
            <w:pPr>
              <w:spacing w:after="0"/>
              <w:rPr>
                <w:sz w:val="15"/>
                <w:szCs w:val="15"/>
                <w:color w:val="auto"/>
              </w:rPr>
            </w:pPr>
          </w:p>
        </w:tc>
        <w:tc>
          <w:tcPr>
            <w:tcW w:w="1000" w:type="dxa"/>
            <w:vAlign w:val="bottom"/>
          </w:tcPr>
          <w:p>
            <w:pPr>
              <w:jc w:val="right"/>
              <w:ind w:right="37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6"/>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 Ended December 31, 2012</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60" w:type="dxa"/>
            <w:vAlign w:val="bottom"/>
          </w:tcPr>
          <w:p>
            <w:pPr>
              <w:ind w:left="60"/>
              <w:spacing w:after="0"/>
              <w:rPr>
                <w:sz w:val="20"/>
                <w:szCs w:val="20"/>
                <w:color w:val="auto"/>
              </w:rPr>
            </w:pPr>
            <w:r>
              <w:rPr>
                <w:rFonts w:ascii="Arial" w:cs="Arial" w:eastAsia="Arial" w:hAnsi="Arial"/>
                <w:sz w:val="17"/>
                <w:szCs w:val="17"/>
                <w:color w:val="auto"/>
              </w:rPr>
              <w:t>Operating lease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151,992</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65,500</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1,527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219,019</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Interest income</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133,410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133,410</w:t>
            </w:r>
          </w:p>
        </w:tc>
        <w:tc>
          <w:tcPr>
            <w:tcW w:w="0" w:type="dxa"/>
            <w:vAlign w:val="bottom"/>
          </w:tcPr>
          <w:p>
            <w:pPr>
              <w:spacing w:after="0"/>
              <w:rPr>
                <w:sz w:val="1"/>
                <w:szCs w:val="1"/>
                <w:color w:val="auto"/>
              </w:rPr>
            </w:pPr>
          </w:p>
        </w:tc>
      </w:tr>
      <w:tr>
        <w:trPr>
          <w:trHeight w:val="222"/>
        </w:trPr>
        <w:tc>
          <w:tcPr>
            <w:tcW w:w="3760" w:type="dxa"/>
            <w:vAlign w:val="bottom"/>
          </w:tcPr>
          <w:p>
            <w:pPr>
              <w:ind w:left="60"/>
              <w:spacing w:after="0"/>
              <w:rPr>
                <w:sz w:val="20"/>
                <w:szCs w:val="20"/>
                <w:color w:val="auto"/>
              </w:rPr>
            </w:pPr>
            <w:r>
              <w:rPr>
                <w:rFonts w:ascii="Arial" w:cs="Arial" w:eastAsia="Arial" w:hAnsi="Arial"/>
                <w:sz w:val="17"/>
                <w:szCs w:val="17"/>
                <w:color w:val="auto"/>
              </w:rPr>
              <w:t>Other income</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8,613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32,820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3,975</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48,043</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142,023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151,992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98,320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3,975</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400,472</w:t>
            </w:r>
          </w:p>
        </w:tc>
        <w:tc>
          <w:tcPr>
            <w:tcW w:w="0" w:type="dxa"/>
            <w:vAlign w:val="bottom"/>
          </w:tcPr>
          <w:p>
            <w:pPr>
              <w:spacing w:after="0"/>
              <w:rPr>
                <w:sz w:val="1"/>
                <w:szCs w:val="1"/>
                <w:color w:val="auto"/>
              </w:rPr>
            </w:pPr>
          </w:p>
        </w:tc>
      </w:tr>
      <w:tr>
        <w:trPr>
          <w:trHeight w:val="222"/>
        </w:trPr>
        <w:tc>
          <w:tcPr>
            <w:tcW w:w="3760" w:type="dxa"/>
            <w:vAlign w:val="bottom"/>
          </w:tcPr>
          <w:p>
            <w:pPr>
              <w:ind w:left="60"/>
              <w:spacing w:after="0"/>
              <w:rPr>
                <w:sz w:val="20"/>
                <w:szCs w:val="20"/>
                <w:color w:val="auto"/>
              </w:rPr>
            </w:pPr>
            <w:r>
              <w:rPr>
                <w:rFonts w:ascii="Arial" w:cs="Arial" w:eastAsia="Arial" w:hAnsi="Arial"/>
                <w:sz w:val="17"/>
                <w:szCs w:val="17"/>
                <w:color w:val="auto"/>
              </w:rPr>
              <w:t>Earnings (loss) from equity method investments</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2,632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25,142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81,373</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103,009</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Income from sales of residential property</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63,472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63,472</w:t>
            </w:r>
          </w:p>
        </w:tc>
        <w:tc>
          <w:tcPr>
            <w:tcW w:w="0" w:type="dxa"/>
            <w:vAlign w:val="bottom"/>
          </w:tcPr>
          <w:p>
            <w:pPr>
              <w:spacing w:after="0"/>
              <w:rPr>
                <w:sz w:val="1"/>
                <w:szCs w:val="1"/>
                <w:color w:val="auto"/>
              </w:rPr>
            </w:pPr>
          </w:p>
        </w:tc>
      </w:tr>
      <w:tr>
        <w:trPr>
          <w:trHeight w:val="222"/>
        </w:trPr>
        <w:tc>
          <w:tcPr>
            <w:tcW w:w="3760" w:type="dxa"/>
            <w:vAlign w:val="bottom"/>
          </w:tcPr>
          <w:p>
            <w:pPr>
              <w:ind w:left="60"/>
              <w:spacing w:after="0"/>
              <w:rPr>
                <w:sz w:val="20"/>
                <w:szCs w:val="20"/>
                <w:color w:val="auto"/>
              </w:rPr>
            </w:pPr>
            <w:r>
              <w:rPr>
                <w:rFonts w:ascii="Arial" w:cs="Arial" w:eastAsia="Arial" w:hAnsi="Arial"/>
                <w:sz w:val="17"/>
                <w:szCs w:val="17"/>
                <w:color w:val="auto"/>
                <w:w w:val="90"/>
              </w:rPr>
              <w:t>Net operating income from discontinued operations(2)</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4,725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886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5,611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Gain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27,257</w:t>
            </w:r>
          </w:p>
        </w:tc>
        <w:tc>
          <w:tcPr>
            <w:tcW w:w="0" w:type="dxa"/>
            <w:vAlign w:val="bottom"/>
          </w:tcPr>
          <w:p>
            <w:pPr>
              <w:spacing w:after="0"/>
              <w:rPr>
                <w:sz w:val="1"/>
                <w:szCs w:val="1"/>
                <w:color w:val="auto"/>
              </w:rPr>
            </w:pPr>
          </w:p>
        </w:tc>
      </w:tr>
      <w:tr>
        <w:trPr>
          <w:trHeight w:val="214"/>
        </w:trPr>
        <w:tc>
          <w:tcPr>
            <w:tcW w:w="3760" w:type="dxa"/>
            <w:vAlign w:val="bottom"/>
          </w:tcPr>
          <w:p>
            <w:pPr>
              <w:ind w:left="140"/>
              <w:spacing w:after="0"/>
              <w:rPr>
                <w:sz w:val="20"/>
                <w:szCs w:val="20"/>
                <w:color w:val="auto"/>
              </w:rPr>
            </w:pPr>
            <w:r>
              <w:rPr>
                <w:rFonts w:ascii="Arial" w:cs="Arial" w:eastAsia="Arial" w:hAnsi="Arial"/>
                <w:sz w:val="17"/>
                <w:szCs w:val="17"/>
                <w:color w:val="auto"/>
              </w:rPr>
              <w:t>Revenue and other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142,023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186,606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187,820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85,348</w:t>
            </w: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599,821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expense</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(100,258)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(151,827)</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Arial" w:cs="Arial" w:eastAsia="Arial" w:hAnsi="Arial"/>
                <w:sz w:val="17"/>
                <w:szCs w:val="17"/>
                <w:color w:val="auto"/>
              </w:rPr>
              <w:t>Other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(12,491)</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(17,266)</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Direct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(100,258)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(12,491)</w:t>
            </w:r>
          </w:p>
        </w:tc>
        <w:tc>
          <w:tcPr>
            <w:tcW w:w="24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(169,093)</w:t>
            </w:r>
          </w:p>
        </w:tc>
        <w:tc>
          <w:tcPr>
            <w:tcW w:w="0" w:type="dxa"/>
            <w:vAlign w:val="bottom"/>
          </w:tcPr>
          <w:p>
            <w:pPr>
              <w:spacing w:after="0"/>
              <w:rPr>
                <w:sz w:val="1"/>
                <w:szCs w:val="1"/>
                <w:color w:val="auto"/>
              </w:rPr>
            </w:pPr>
          </w:p>
        </w:tc>
      </w:tr>
      <w:tr>
        <w:trPr>
          <w:trHeight w:val="214"/>
        </w:trPr>
        <w:tc>
          <w:tcPr>
            <w:tcW w:w="3760" w:type="dxa"/>
            <w:vAlign w:val="bottom"/>
          </w:tcPr>
          <w:p>
            <w:pPr>
              <w:ind w:left="140"/>
              <w:spacing w:after="0"/>
              <w:rPr>
                <w:sz w:val="20"/>
                <w:szCs w:val="20"/>
                <w:color w:val="auto"/>
              </w:rPr>
            </w:pPr>
            <w:r>
              <w:rPr>
                <w:rFonts w:ascii="Arial" w:cs="Arial" w:eastAsia="Arial" w:hAnsi="Arial"/>
                <w:sz w:val="17"/>
                <w:szCs w:val="17"/>
                <w:color w:val="auto"/>
              </w:rPr>
              <w:t>Direct segment profit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137,248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162,351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87,562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(29,290)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72,857</w:t>
            </w: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430,728</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Allocated interest expense(3)</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(124,208)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(83,658)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(66,001)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(43,993)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(38,301)</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(356,161)</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Arial" w:cs="Arial" w:eastAsia="Arial" w:hAnsi="Arial"/>
                <w:sz w:val="17"/>
                <w:szCs w:val="17"/>
                <w:color w:val="auto"/>
              </w:rPr>
              <w:t>Allocated general and administrative(4)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(14,998)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(9,484)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(25,916)</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(65,563)</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Segment profit (loss)(5)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69,209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13,801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8,640</w:t>
            </w:r>
          </w:p>
        </w:tc>
        <w:tc>
          <w:tcPr>
            <w:tcW w:w="24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9,004</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Arial" w:cs="Arial" w:eastAsia="Arial" w:hAnsi="Arial"/>
                <w:sz w:val="17"/>
                <w:szCs w:val="17"/>
                <w:color w:val="auto"/>
              </w:rPr>
              <w:t>Other significant non-cash items: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Provision for loan losses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81,740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81,740</w:t>
            </w:r>
          </w:p>
        </w:tc>
        <w:tc>
          <w:tcPr>
            <w:tcW w:w="0" w:type="dxa"/>
            <w:vAlign w:val="bottom"/>
          </w:tcPr>
          <w:p>
            <w:pPr>
              <w:spacing w:after="0"/>
              <w:rPr>
                <w:sz w:val="1"/>
                <w:szCs w:val="1"/>
                <w:color w:val="auto"/>
              </w:rPr>
            </w:pPr>
          </w:p>
        </w:tc>
      </w:tr>
      <w:tr>
        <w:trPr>
          <w:trHeight w:val="222"/>
        </w:trPr>
        <w:tc>
          <w:tcPr>
            <w:tcW w:w="3760" w:type="dxa"/>
            <w:vAlign w:val="bottom"/>
          </w:tcPr>
          <w:p>
            <w:pPr>
              <w:ind w:left="180"/>
              <w:spacing w:after="0"/>
              <w:rPr>
                <w:sz w:val="20"/>
                <w:szCs w:val="20"/>
                <w:color w:val="auto"/>
              </w:rPr>
            </w:pPr>
            <w:r>
              <w:rPr>
                <w:rFonts w:ascii="Arial" w:cs="Arial" w:eastAsia="Arial" w:hAnsi="Arial"/>
                <w:sz w:val="17"/>
                <w:szCs w:val="17"/>
                <w:color w:val="auto"/>
              </w:rPr>
              <w:t>Impairment of assets(3)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6,670</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28,501</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978</w:t>
            </w:r>
          </w:p>
        </w:tc>
        <w:tc>
          <w:tcPr>
            <w:tcW w:w="240" w:type="dxa"/>
            <w:vAlign w:val="bottom"/>
            <w:tcBorders>
              <w:right w:val="single" w:sz="8" w:color="auto"/>
            </w:tcBorders>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36,354</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39,250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28,450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1,810</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70,786</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Arial" w:cs="Arial" w:eastAsia="Arial" w:hAnsi="Arial"/>
                <w:sz w:val="17"/>
                <w:szCs w:val="17"/>
                <w:color w:val="auto"/>
              </w:rPr>
              <w:t>Capitalized expenditures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10,994</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51,579</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20,497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83,070</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2012</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60" w:type="dxa"/>
            <w:vAlign w:val="bottom"/>
          </w:tcPr>
          <w:p>
            <w:pPr>
              <w:ind w:left="180"/>
              <w:spacing w:after="0"/>
              <w:rPr>
                <w:sz w:val="20"/>
                <w:szCs w:val="20"/>
                <w:color w:val="auto"/>
              </w:rPr>
            </w:pPr>
            <w:r>
              <w:rPr>
                <w:rFonts w:ascii="Arial" w:cs="Arial" w:eastAsia="Arial" w:hAnsi="Arial"/>
                <w:sz w:val="17"/>
                <w:szCs w:val="17"/>
                <w:color w:val="auto"/>
              </w:rPr>
              <w:t>Real estate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Real estate, at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1,639,320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801,214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786,114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3,226,648</w:t>
            </w:r>
          </w:p>
        </w:tc>
        <w:tc>
          <w:tcPr>
            <w:tcW w:w="0" w:type="dxa"/>
            <w:vAlign w:val="bottom"/>
          </w:tcPr>
          <w:p>
            <w:pPr>
              <w:spacing w:after="0"/>
              <w:rPr>
                <w:sz w:val="1"/>
                <w:szCs w:val="1"/>
                <w:color w:val="auto"/>
              </w:rPr>
            </w:pPr>
          </w:p>
        </w:tc>
      </w:tr>
      <w:tr>
        <w:trPr>
          <w:trHeight w:val="222"/>
        </w:trPr>
        <w:tc>
          <w:tcPr>
            <w:tcW w:w="3760" w:type="dxa"/>
            <w:vAlign w:val="bottom"/>
          </w:tcPr>
          <w:p>
            <w:pPr>
              <w:ind w:left="400"/>
              <w:spacing w:after="0"/>
              <w:rPr>
                <w:sz w:val="20"/>
                <w:szCs w:val="20"/>
                <w:color w:val="auto"/>
              </w:rPr>
            </w:pPr>
            <w:r>
              <w:rPr>
                <w:rFonts w:ascii="Arial" w:cs="Arial" w:eastAsia="Arial" w:hAnsi="Arial"/>
                <w:sz w:val="17"/>
                <w:szCs w:val="17"/>
                <w:color w:val="auto"/>
              </w:rPr>
              <w:t>Less: accumulated depreciation</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(315,699)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(109,634)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(427,625)</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Real estate,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1,323,621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691,580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783,822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2,799,023</w:t>
            </w:r>
          </w:p>
        </w:tc>
        <w:tc>
          <w:tcPr>
            <w:tcW w:w="0" w:type="dxa"/>
            <w:vAlign w:val="bottom"/>
          </w:tcPr>
          <w:p>
            <w:pPr>
              <w:spacing w:after="0"/>
              <w:rPr>
                <w:sz w:val="1"/>
                <w:szCs w:val="1"/>
                <w:color w:val="auto"/>
              </w:rPr>
            </w:pPr>
          </w:p>
        </w:tc>
      </w:tr>
      <w:tr>
        <w:trPr>
          <w:trHeight w:val="222"/>
        </w:trPr>
        <w:tc>
          <w:tcPr>
            <w:tcW w:w="3760" w:type="dxa"/>
            <w:vAlign w:val="bottom"/>
          </w:tcPr>
          <w:p>
            <w:pPr>
              <w:ind w:left="400"/>
              <w:spacing w:after="0"/>
              <w:rPr>
                <w:sz w:val="20"/>
                <w:szCs w:val="20"/>
                <w:color w:val="auto"/>
              </w:rPr>
            </w:pPr>
            <w:r>
              <w:rPr>
                <w:rFonts w:ascii="Arial" w:cs="Arial" w:eastAsia="Arial" w:hAnsi="Arial"/>
                <w:sz w:val="17"/>
                <w:szCs w:val="17"/>
                <w:color w:val="auto"/>
              </w:rPr>
              <w:t>Real estate available and held for sale</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454,587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181,278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635,865</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real estate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1,323,621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1,146,167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965,100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3,434,888</w:t>
            </w:r>
          </w:p>
        </w:tc>
        <w:tc>
          <w:tcPr>
            <w:tcW w:w="0" w:type="dxa"/>
            <w:vAlign w:val="bottom"/>
          </w:tcPr>
          <w:p>
            <w:pPr>
              <w:spacing w:after="0"/>
              <w:rPr>
                <w:sz w:val="1"/>
                <w:szCs w:val="1"/>
                <w:color w:val="auto"/>
              </w:rPr>
            </w:pPr>
          </w:p>
        </w:tc>
      </w:tr>
      <w:tr>
        <w:trPr>
          <w:trHeight w:val="222"/>
        </w:trPr>
        <w:tc>
          <w:tcPr>
            <w:tcW w:w="3760" w:type="dxa"/>
            <w:vAlign w:val="bottom"/>
          </w:tcPr>
          <w:p>
            <w:pPr>
              <w:ind w:left="180"/>
              <w:spacing w:after="0"/>
              <w:rPr>
                <w:sz w:val="20"/>
                <w:szCs w:val="20"/>
                <w:color w:val="auto"/>
              </w:rPr>
            </w:pPr>
            <w:r>
              <w:rPr>
                <w:rFonts w:ascii="Arial" w:cs="Arial" w:eastAsia="Arial" w:hAnsi="Arial"/>
                <w:sz w:val="17"/>
                <w:szCs w:val="17"/>
                <w:color w:val="auto"/>
              </w:rPr>
              <w:t>Loans receivable, net</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1,829,985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1,829,985</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351,225</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398,843</w:t>
            </w:r>
          </w:p>
        </w:tc>
        <w:tc>
          <w:tcPr>
            <w:tcW w:w="0" w:type="dxa"/>
            <w:vAlign w:val="bottom"/>
          </w:tcPr>
          <w:p>
            <w:pPr>
              <w:spacing w:after="0"/>
              <w:rPr>
                <w:sz w:val="1"/>
                <w:szCs w:val="1"/>
                <w:color w:val="auto"/>
              </w:rPr>
            </w:pPr>
          </w:p>
        </w:tc>
      </w:tr>
      <w:tr>
        <w:trPr>
          <w:trHeight w:val="214"/>
        </w:trPr>
        <w:tc>
          <w:tcPr>
            <w:tcW w:w="3760" w:type="dxa"/>
            <w:vAlign w:val="bottom"/>
          </w:tcPr>
          <w:p>
            <w:pPr>
              <w:ind w:left="60"/>
              <w:spacing w:after="0"/>
              <w:rPr>
                <w:sz w:val="20"/>
                <w:szCs w:val="20"/>
                <w:color w:val="auto"/>
              </w:rPr>
            </w:pPr>
            <w:r>
              <w:rPr>
                <w:rFonts w:ascii="Arial" w:cs="Arial" w:eastAsia="Arial" w:hAnsi="Arial"/>
                <w:sz w:val="17"/>
                <w:szCs w:val="17"/>
                <w:color w:val="auto"/>
              </w:rPr>
              <w:t>Total portfolio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1,829,985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1,340,001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1,171,912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970,593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351,225</w:t>
            </w: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5,663,716</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9,832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105,595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60,500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301,508</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487,073</w:t>
            </w:r>
          </w:p>
        </w:tc>
        <w:tc>
          <w:tcPr>
            <w:tcW w:w="0" w:type="dxa"/>
            <w:vAlign w:val="bottom"/>
          </w:tcPr>
          <w:p>
            <w:pPr>
              <w:spacing w:after="0"/>
              <w:rPr>
                <w:sz w:val="1"/>
                <w:szCs w:val="1"/>
                <w:color w:val="auto"/>
              </w:rPr>
            </w:pPr>
          </w:p>
        </w:tc>
      </w:tr>
      <w:tr>
        <w:trPr>
          <w:trHeight w:val="241"/>
        </w:trPr>
        <w:tc>
          <w:tcPr>
            <w:tcW w:w="3760" w:type="dxa"/>
            <w:vAlign w:val="bottom"/>
          </w:tcPr>
          <w:p>
            <w:pPr>
              <w:ind w:left="220"/>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1,839,817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1,445,596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1,232,412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980,231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652,733</w:t>
            </w:r>
          </w:p>
        </w:tc>
        <w:tc>
          <w:tcPr>
            <w:tcW w:w="240" w:type="dxa"/>
            <w:vAlign w:val="bottom"/>
            <w:tcBorders>
              <w:right w:val="single" w:sz="8" w:color="auto"/>
            </w:tcBorders>
          </w:tcPr>
          <w:p>
            <w:pPr>
              <w:spacing w:after="0"/>
              <w:rPr>
                <w:sz w:val="20"/>
                <w:szCs w:val="20"/>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6,150,789</w:t>
            </w:r>
          </w:p>
        </w:tc>
        <w:tc>
          <w:tcPr>
            <w:tcW w:w="0" w:type="dxa"/>
            <w:vAlign w:val="bottom"/>
          </w:tcPr>
          <w:p>
            <w:pPr>
              <w:spacing w:after="0"/>
              <w:rPr>
                <w:sz w:val="1"/>
                <w:szCs w:val="1"/>
                <w:color w:val="auto"/>
              </w:rPr>
            </w:pPr>
          </w:p>
        </w:tc>
      </w:tr>
      <w:tr>
        <w:trPr>
          <w:trHeight w:val="420"/>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38"/>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 Ended December 31, 2011</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Real Estate</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78"/>
              <w:spacing w:after="0"/>
              <w:rPr>
                <w:sz w:val="20"/>
                <w:szCs w:val="20"/>
                <w:color w:val="auto"/>
              </w:rPr>
            </w:pPr>
            <w:r>
              <w:rPr>
                <w:rFonts w:ascii="Arial" w:cs="Arial" w:eastAsia="Arial" w:hAnsi="Arial"/>
                <w:sz w:val="13"/>
                <w:szCs w:val="13"/>
                <w:b w:val="1"/>
                <w:bCs w:val="1"/>
                <w:color w:val="auto"/>
              </w:rPr>
              <w:t>Net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Operating</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Corporate/</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Company</w:t>
            </w:r>
          </w:p>
        </w:tc>
        <w:tc>
          <w:tcPr>
            <w:tcW w:w="0" w:type="dxa"/>
            <w:vAlign w:val="bottom"/>
          </w:tcPr>
          <w:p>
            <w:pPr>
              <w:spacing w:after="0"/>
              <w:rPr>
                <w:sz w:val="1"/>
                <w:szCs w:val="1"/>
                <w:color w:val="auto"/>
              </w:rPr>
            </w:pPr>
          </w:p>
        </w:tc>
      </w:tr>
      <w:tr>
        <w:trPr>
          <w:trHeight w:val="176"/>
        </w:trPr>
        <w:tc>
          <w:tcPr>
            <w:tcW w:w="330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Finance</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Leasing</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3"/>
                <w:szCs w:val="13"/>
                <w:b w:val="1"/>
                <w:bCs w:val="1"/>
                <w:color w:val="auto"/>
              </w:rPr>
              <w:t>Property</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Land</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Other(1)</w:t>
            </w:r>
          </w:p>
        </w:tc>
        <w:tc>
          <w:tcPr>
            <w:tcW w:w="980" w:type="dxa"/>
            <w:vAlign w:val="bottom"/>
            <w:tcBorders>
              <w:right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0"/>
        </w:trPr>
        <w:tc>
          <w:tcPr>
            <w:tcW w:w="3300" w:type="dxa"/>
            <w:vAlign w:val="bottom"/>
          </w:tcPr>
          <w:p>
            <w:pPr>
              <w:ind w:left="60"/>
              <w:spacing w:after="0"/>
              <w:rPr>
                <w:sz w:val="20"/>
                <w:szCs w:val="20"/>
                <w:color w:val="auto"/>
              </w:rPr>
            </w:pPr>
            <w:r>
              <w:rPr>
                <w:rFonts w:ascii="Arial" w:cs="Arial" w:eastAsia="Arial" w:hAnsi="Arial"/>
                <w:sz w:val="17"/>
                <w:szCs w:val="17"/>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147,151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51,153</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right w:val="single" w:sz="8" w:color="auto"/>
            </w:tcBorders>
            <w:gridSpan w:val="2"/>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198,478</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Interest income</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226,871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226,871</w:t>
            </w:r>
          </w:p>
        </w:tc>
        <w:tc>
          <w:tcPr>
            <w:tcW w:w="0" w:type="dxa"/>
            <w:vAlign w:val="bottom"/>
          </w:tcPr>
          <w:p>
            <w:pPr>
              <w:spacing w:after="0"/>
              <w:rPr>
                <w:sz w:val="1"/>
                <w:szCs w:val="1"/>
                <w:color w:val="auto"/>
              </w:rPr>
            </w:pPr>
          </w:p>
        </w:tc>
      </w:tr>
      <w:tr>
        <w:trPr>
          <w:trHeight w:val="222"/>
        </w:trPr>
        <w:tc>
          <w:tcPr>
            <w:tcW w:w="3300" w:type="dxa"/>
            <w:vAlign w:val="bottom"/>
          </w:tcPr>
          <w:p>
            <w:pPr>
              <w:ind w:left="60"/>
              <w:spacing w:after="0"/>
              <w:rPr>
                <w:sz w:val="20"/>
                <w:szCs w:val="20"/>
                <w:color w:val="auto"/>
              </w:rPr>
            </w:pPr>
            <w:r>
              <w:rPr>
                <w:rFonts w:ascii="Arial" w:cs="Arial" w:eastAsia="Arial" w:hAnsi="Arial"/>
                <w:sz w:val="17"/>
                <w:szCs w:val="17"/>
                <w:color w:val="auto"/>
              </w:rPr>
              <w:t>Other income</w:t>
            </w:r>
          </w:p>
        </w:tc>
        <w:tc>
          <w:tcPr>
            <w:tcW w:w="16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3,176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32,538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2,371</w:t>
            </w:r>
          </w:p>
        </w:tc>
        <w:tc>
          <w:tcPr>
            <w:tcW w:w="9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39,720</w:t>
            </w:r>
          </w:p>
        </w:tc>
        <w:tc>
          <w:tcPr>
            <w:tcW w:w="0" w:type="dxa"/>
            <w:vAlign w:val="bottom"/>
          </w:tcPr>
          <w:p>
            <w:pPr>
              <w:spacing w:after="0"/>
              <w:rPr>
                <w:sz w:val="1"/>
                <w:szCs w:val="1"/>
                <w:color w:val="auto"/>
              </w:rPr>
            </w:pPr>
          </w:p>
        </w:tc>
      </w:tr>
      <w:tr>
        <w:trPr>
          <w:trHeight w:val="26"/>
        </w:trPr>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230,047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147,151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83,691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2,371</w:t>
            </w:r>
          </w:p>
        </w:tc>
        <w:tc>
          <w:tcPr>
            <w:tcW w:w="98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465,069</w:t>
            </w:r>
          </w:p>
        </w:tc>
        <w:tc>
          <w:tcPr>
            <w:tcW w:w="0" w:type="dxa"/>
            <w:vAlign w:val="bottom"/>
          </w:tcPr>
          <w:p>
            <w:pPr>
              <w:spacing w:after="0"/>
              <w:rPr>
                <w:sz w:val="1"/>
                <w:szCs w:val="1"/>
                <w:color w:val="auto"/>
              </w:rPr>
            </w:pPr>
          </w:p>
        </w:tc>
      </w:tr>
      <w:tr>
        <w:trPr>
          <w:trHeight w:val="222"/>
        </w:trPr>
        <w:tc>
          <w:tcPr>
            <w:tcW w:w="3300" w:type="dxa"/>
            <w:vAlign w:val="bottom"/>
          </w:tcPr>
          <w:p>
            <w:pPr>
              <w:ind w:left="60"/>
              <w:spacing w:after="0"/>
              <w:rPr>
                <w:sz w:val="20"/>
                <w:szCs w:val="20"/>
                <w:color w:val="auto"/>
              </w:rPr>
            </w:pPr>
            <w:r>
              <w:rPr>
                <w:rFonts w:ascii="Arial" w:cs="Arial" w:eastAsia="Arial" w:hAnsi="Arial"/>
                <w:sz w:val="17"/>
                <w:szCs w:val="17"/>
                <w:color w:val="auto"/>
                <w:w w:val="89"/>
              </w:rPr>
              <w:t>Earnings (loss) from equity method investments</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2,566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100,364</w:t>
            </w:r>
          </w:p>
        </w:tc>
        <w:tc>
          <w:tcPr>
            <w:tcW w:w="9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95,091</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Income from sales of residential property</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5,721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5,721</w:t>
            </w:r>
          </w:p>
        </w:tc>
        <w:tc>
          <w:tcPr>
            <w:tcW w:w="0" w:type="dxa"/>
            <w:vAlign w:val="bottom"/>
          </w:tcPr>
          <w:p>
            <w:pPr>
              <w:spacing w:after="0"/>
              <w:rPr>
                <w:sz w:val="1"/>
                <w:szCs w:val="1"/>
                <w:color w:val="auto"/>
              </w:rPr>
            </w:pPr>
          </w:p>
        </w:tc>
      </w:tr>
      <w:tr>
        <w:trPr>
          <w:trHeight w:val="211"/>
        </w:trPr>
        <w:tc>
          <w:tcPr>
            <w:tcW w:w="3300" w:type="dxa"/>
            <w:vAlign w:val="bottom"/>
          </w:tcPr>
          <w:p>
            <w:pPr>
              <w:ind w:left="60"/>
              <w:spacing w:after="0"/>
              <w:rPr>
                <w:sz w:val="20"/>
                <w:szCs w:val="20"/>
                <w:color w:val="auto"/>
              </w:rPr>
            </w:pPr>
            <w:r>
              <w:rPr>
                <w:rFonts w:ascii="Arial" w:cs="Arial" w:eastAsia="Arial" w:hAnsi="Arial"/>
                <w:sz w:val="17"/>
                <w:szCs w:val="17"/>
                <w:color w:val="auto"/>
              </w:rPr>
              <w:t>Net operating income from discontinued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7"/>
                <w:szCs w:val="17"/>
                <w:color w:val="auto"/>
              </w:rPr>
              <w:t>operations(2)</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11,760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10,823</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Gain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25,110</w:t>
            </w:r>
          </w:p>
        </w:tc>
        <w:tc>
          <w:tcPr>
            <w:tcW w:w="0" w:type="dxa"/>
            <w:vAlign w:val="bottom"/>
          </w:tcPr>
          <w:p>
            <w:pPr>
              <w:spacing w:after="0"/>
              <w:rPr>
                <w:sz w:val="1"/>
                <w:szCs w:val="1"/>
                <w:color w:val="auto"/>
              </w:rPr>
            </w:pPr>
          </w:p>
        </w:tc>
      </w:tr>
      <w:tr>
        <w:trPr>
          <w:trHeight w:val="214"/>
        </w:trPr>
        <w:tc>
          <w:tcPr>
            <w:tcW w:w="3300" w:type="dxa"/>
            <w:vAlign w:val="bottom"/>
          </w:tcPr>
          <w:p>
            <w:pPr>
              <w:ind w:left="140"/>
              <w:spacing w:after="0"/>
              <w:rPr>
                <w:sz w:val="20"/>
                <w:szCs w:val="20"/>
                <w:color w:val="auto"/>
              </w:rPr>
            </w:pPr>
            <w:r>
              <w:rPr>
                <w:rFonts w:ascii="Arial" w:cs="Arial" w:eastAsia="Arial" w:hAnsi="Arial"/>
                <w:sz w:val="17"/>
                <w:szCs w:val="17"/>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230,047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186,587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87,849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(5,404)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102,735</w:t>
            </w:r>
          </w:p>
        </w:tc>
        <w:tc>
          <w:tcPr>
            <w:tcW w:w="98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601,814</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expense</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(92,012)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(138,943)</w:t>
            </w:r>
          </w:p>
        </w:tc>
        <w:tc>
          <w:tcPr>
            <w:tcW w:w="0" w:type="dxa"/>
            <w:vAlign w:val="bottom"/>
          </w:tcPr>
          <w:p>
            <w:pPr>
              <w:spacing w:after="0"/>
              <w:rPr>
                <w:sz w:val="1"/>
                <w:szCs w:val="1"/>
                <w:color w:val="auto"/>
              </w:rPr>
            </w:pPr>
          </w:p>
        </w:tc>
      </w:tr>
      <w:tr>
        <w:trPr>
          <w:trHeight w:val="222"/>
        </w:trPr>
        <w:tc>
          <w:tcPr>
            <w:tcW w:w="3300" w:type="dxa"/>
            <w:vAlign w:val="bottom"/>
          </w:tcPr>
          <w:p>
            <w:pPr>
              <w:ind w:left="20"/>
              <w:spacing w:after="0"/>
              <w:rPr>
                <w:sz w:val="20"/>
                <w:szCs w:val="20"/>
                <w:color w:val="auto"/>
              </w:rPr>
            </w:pPr>
            <w:r>
              <w:rPr>
                <w:rFonts w:ascii="Arial" w:cs="Arial" w:eastAsia="Arial" w:hAnsi="Arial"/>
                <w:sz w:val="17"/>
                <w:szCs w:val="17"/>
                <w:color w:val="auto"/>
              </w:rPr>
              <w:t>Other expense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(8,204)</w:t>
            </w:r>
          </w:p>
        </w:tc>
        <w:tc>
          <w:tcPr>
            <w:tcW w:w="9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(11,070)</w:t>
            </w:r>
          </w:p>
        </w:tc>
        <w:tc>
          <w:tcPr>
            <w:tcW w:w="0" w:type="dxa"/>
            <w:vAlign w:val="bottom"/>
          </w:tcPr>
          <w:p>
            <w:pPr>
              <w:spacing w:after="0"/>
              <w:rPr>
                <w:sz w:val="1"/>
                <w:szCs w:val="1"/>
                <w:color w:val="auto"/>
              </w:rPr>
            </w:pPr>
          </w:p>
        </w:tc>
      </w:tr>
      <w:tr>
        <w:trPr>
          <w:trHeight w:val="26"/>
        </w:trPr>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Direct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(92,012)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(8,204)</w:t>
            </w:r>
          </w:p>
        </w:tc>
        <w:tc>
          <w:tcPr>
            <w:tcW w:w="98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(150,013)</w:t>
            </w:r>
          </w:p>
        </w:tc>
        <w:tc>
          <w:tcPr>
            <w:tcW w:w="0" w:type="dxa"/>
            <w:vAlign w:val="bottom"/>
          </w:tcPr>
          <w:p>
            <w:pPr>
              <w:spacing w:after="0"/>
              <w:rPr>
                <w:sz w:val="1"/>
                <w:szCs w:val="1"/>
                <w:color w:val="auto"/>
              </w:rPr>
            </w:pPr>
          </w:p>
        </w:tc>
      </w:tr>
      <w:tr>
        <w:trPr>
          <w:trHeight w:val="214"/>
        </w:trPr>
        <w:tc>
          <w:tcPr>
            <w:tcW w:w="3300" w:type="dxa"/>
            <w:vAlign w:val="bottom"/>
          </w:tcPr>
          <w:p>
            <w:pPr>
              <w:ind w:left="140"/>
              <w:spacing w:after="0"/>
              <w:rPr>
                <w:sz w:val="20"/>
                <w:szCs w:val="20"/>
                <w:color w:val="auto"/>
              </w:rPr>
            </w:pPr>
            <w:r>
              <w:rPr>
                <w:rFonts w:ascii="Arial" w:cs="Arial" w:eastAsia="Arial" w:hAnsi="Arial"/>
                <w:sz w:val="17"/>
                <w:szCs w:val="17"/>
                <w:color w:val="auto"/>
              </w:rPr>
              <w:t>Direct segment profit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227,181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161,305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(4,163)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(27,053)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94,531</w:t>
            </w:r>
          </w:p>
        </w:tc>
        <w:tc>
          <w:tcPr>
            <w:tcW w:w="98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451,801</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Allocated interest expense(3)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(161,025)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(67,338)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(53,598)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(21,616)</w:t>
            </w:r>
          </w:p>
        </w:tc>
        <w:tc>
          <w:tcPr>
            <w:tcW w:w="98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(345,914)</w:t>
            </w:r>
          </w:p>
        </w:tc>
        <w:tc>
          <w:tcPr>
            <w:tcW w:w="0" w:type="dxa"/>
            <w:vAlign w:val="bottom"/>
          </w:tcPr>
          <w:p>
            <w:pPr>
              <w:spacing w:after="0"/>
              <w:rPr>
                <w:sz w:val="1"/>
                <w:szCs w:val="1"/>
                <w:color w:val="auto"/>
              </w:rPr>
            </w:pPr>
          </w:p>
        </w:tc>
      </w:tr>
      <w:tr>
        <w:trPr>
          <w:trHeight w:val="222"/>
        </w:trPr>
        <w:tc>
          <w:tcPr>
            <w:tcW w:w="3300" w:type="dxa"/>
            <w:vAlign w:val="bottom"/>
          </w:tcPr>
          <w:p>
            <w:pPr>
              <w:ind w:left="20"/>
              <w:spacing w:after="0"/>
              <w:rPr>
                <w:sz w:val="20"/>
                <w:szCs w:val="20"/>
                <w:color w:val="auto"/>
              </w:rPr>
            </w:pPr>
            <w:r>
              <w:rPr>
                <w:rFonts w:ascii="Arial" w:cs="Arial" w:eastAsia="Arial" w:hAnsi="Arial"/>
                <w:sz w:val="17"/>
                <w:szCs w:val="17"/>
                <w:color w:val="auto"/>
              </w:rPr>
              <w:t>Allocated general and administrative(4)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(32,166)</w:t>
            </w:r>
          </w:p>
        </w:tc>
        <w:tc>
          <w:tcPr>
            <w:tcW w:w="9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(75,337)</w:t>
            </w:r>
          </w:p>
        </w:tc>
        <w:tc>
          <w:tcPr>
            <w:tcW w:w="0" w:type="dxa"/>
            <w:vAlign w:val="bottom"/>
          </w:tcPr>
          <w:p>
            <w:pPr>
              <w:spacing w:after="0"/>
              <w:rPr>
                <w:sz w:val="1"/>
                <w:szCs w:val="1"/>
                <w:color w:val="auto"/>
              </w:rPr>
            </w:pPr>
          </w:p>
        </w:tc>
      </w:tr>
      <w:tr>
        <w:trPr>
          <w:trHeight w:val="26"/>
        </w:trPr>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Segment profit (loss)(5)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45,476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85,319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(64,645)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40,749</w:t>
            </w:r>
          </w:p>
        </w:tc>
        <w:tc>
          <w:tcPr>
            <w:tcW w:w="98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30,550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significant non-cash items: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46,412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46,412</w:t>
            </w:r>
          </w:p>
        </w:tc>
        <w:tc>
          <w:tcPr>
            <w:tcW w:w="0" w:type="dxa"/>
            <w:vAlign w:val="bottom"/>
          </w:tcPr>
          <w:p>
            <w:pPr>
              <w:spacing w:after="0"/>
              <w:rPr>
                <w:sz w:val="1"/>
                <w:szCs w:val="1"/>
                <w:color w:val="auto"/>
              </w:rPr>
            </w:pPr>
          </w:p>
        </w:tc>
      </w:tr>
      <w:tr>
        <w:trPr>
          <w:trHeight w:val="222"/>
        </w:trPr>
        <w:tc>
          <w:tcPr>
            <w:tcW w:w="3300" w:type="dxa"/>
            <w:vAlign w:val="bottom"/>
          </w:tcPr>
          <w:p>
            <w:pPr>
              <w:ind w:left="180"/>
              <w:spacing w:after="0"/>
              <w:rPr>
                <w:sz w:val="20"/>
                <w:szCs w:val="20"/>
                <w:color w:val="auto"/>
              </w:rPr>
            </w:pPr>
            <w:r>
              <w:rPr>
                <w:rFonts w:ascii="Arial" w:cs="Arial" w:eastAsia="Arial" w:hAnsi="Arial"/>
                <w:sz w:val="17"/>
                <w:szCs w:val="17"/>
                <w:color w:val="auto"/>
              </w:rPr>
              <w:t>Impairment of assets(3)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668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21,030</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872</w:t>
            </w:r>
          </w:p>
        </w:tc>
        <w:tc>
          <w:tcPr>
            <w:tcW w:w="980" w:type="dxa"/>
            <w:vAlign w:val="bottom"/>
            <w:tcBorders>
              <w:right w:val="single" w:sz="8" w:color="auto"/>
            </w:tcBorders>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22,386</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42,080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18,169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2,145</w:t>
            </w:r>
          </w:p>
        </w:tc>
        <w:tc>
          <w:tcPr>
            <w:tcW w:w="98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63,928</w:t>
            </w:r>
          </w:p>
        </w:tc>
        <w:tc>
          <w:tcPr>
            <w:tcW w:w="0" w:type="dxa"/>
            <w:vAlign w:val="bottom"/>
          </w:tcPr>
          <w:p>
            <w:pPr>
              <w:spacing w:after="0"/>
              <w:rPr>
                <w:sz w:val="1"/>
                <w:szCs w:val="1"/>
                <w:color w:val="auto"/>
              </w:rPr>
            </w:pPr>
          </w:p>
        </w:tc>
      </w:tr>
      <w:tr>
        <w:trPr>
          <w:trHeight w:val="222"/>
        </w:trPr>
        <w:tc>
          <w:tcPr>
            <w:tcW w:w="3300" w:type="dxa"/>
            <w:vAlign w:val="bottom"/>
          </w:tcPr>
          <w:p>
            <w:pPr>
              <w:ind w:left="20"/>
              <w:spacing w:after="0"/>
              <w:rPr>
                <w:sz w:val="20"/>
                <w:szCs w:val="20"/>
                <w:color w:val="auto"/>
              </w:rPr>
            </w:pPr>
            <w:r>
              <w:rPr>
                <w:rFonts w:ascii="Arial" w:cs="Arial" w:eastAsia="Arial" w:hAnsi="Arial"/>
                <w:sz w:val="17"/>
                <w:szCs w:val="17"/>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8,699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38,477</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16,993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right w:val="single" w:sz="8" w:color="auto"/>
            </w:tcBorders>
            <w:gridSpan w:val="2"/>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64,169</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2011</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180"/>
              <w:spacing w:after="0"/>
              <w:rPr>
                <w:sz w:val="20"/>
                <w:szCs w:val="20"/>
                <w:color w:val="auto"/>
              </w:rPr>
            </w:pPr>
            <w:r>
              <w:rPr>
                <w:rFonts w:ascii="Arial" w:cs="Arial" w:eastAsia="Arial" w:hAnsi="Arial"/>
                <w:sz w:val="17"/>
                <w:szCs w:val="17"/>
                <w:color w:val="auto"/>
              </w:rPr>
              <w:t>Real estate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7"/>
              </w:rPr>
              <w:t>1,773,149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720,251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851,272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3,344,672</w:t>
            </w:r>
          </w:p>
        </w:tc>
        <w:tc>
          <w:tcPr>
            <w:tcW w:w="0" w:type="dxa"/>
            <w:vAlign w:val="bottom"/>
          </w:tcPr>
          <w:p>
            <w:pPr>
              <w:spacing w:after="0"/>
              <w:rPr>
                <w:sz w:val="1"/>
                <w:szCs w:val="1"/>
                <w:color w:val="auto"/>
              </w:rPr>
            </w:pPr>
          </w:p>
        </w:tc>
      </w:tr>
      <w:tr>
        <w:trPr>
          <w:trHeight w:val="222"/>
        </w:trPr>
        <w:tc>
          <w:tcPr>
            <w:tcW w:w="3300" w:type="dxa"/>
            <w:vAlign w:val="bottom"/>
          </w:tcPr>
          <w:p>
            <w:pPr>
              <w:ind w:left="400"/>
              <w:spacing w:after="0"/>
              <w:rPr>
                <w:sz w:val="20"/>
                <w:szCs w:val="20"/>
                <w:color w:val="auto"/>
              </w:rPr>
            </w:pPr>
            <w:r>
              <w:rPr>
                <w:rFonts w:ascii="Arial" w:cs="Arial" w:eastAsia="Arial" w:hAnsi="Arial"/>
                <w:sz w:val="17"/>
                <w:szCs w:val="17"/>
                <w:color w:val="auto"/>
              </w:rPr>
              <w:t>Less: accumulated depreciation</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(302,851)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Borders>
              <w:right w:val="single" w:sz="8" w:color="auto"/>
            </w:tcBorders>
            <w:gridSpan w:val="2"/>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(396,761)</w:t>
            </w:r>
          </w:p>
        </w:tc>
        <w:tc>
          <w:tcPr>
            <w:tcW w:w="0" w:type="dxa"/>
            <w:vAlign w:val="bottom"/>
          </w:tcPr>
          <w:p>
            <w:pPr>
              <w:spacing w:after="0"/>
              <w:rPr>
                <w:sz w:val="1"/>
                <w:szCs w:val="1"/>
                <w:color w:val="auto"/>
              </w:rPr>
            </w:pPr>
          </w:p>
        </w:tc>
      </w:tr>
      <w:tr>
        <w:trPr>
          <w:trHeight w:val="26"/>
        </w:trPr>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7"/>
              </w:rPr>
              <w:t>1,470,298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629,868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847,745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2,947,911</w:t>
            </w:r>
          </w:p>
        </w:tc>
        <w:tc>
          <w:tcPr>
            <w:tcW w:w="0" w:type="dxa"/>
            <w:vAlign w:val="bottom"/>
          </w:tcPr>
          <w:p>
            <w:pPr>
              <w:spacing w:after="0"/>
              <w:rPr>
                <w:sz w:val="1"/>
                <w:szCs w:val="1"/>
                <w:color w:val="auto"/>
              </w:rPr>
            </w:pPr>
          </w:p>
        </w:tc>
      </w:tr>
      <w:tr>
        <w:trPr>
          <w:trHeight w:val="222"/>
        </w:trPr>
        <w:tc>
          <w:tcPr>
            <w:tcW w:w="3300" w:type="dxa"/>
            <w:vAlign w:val="bottom"/>
          </w:tcPr>
          <w:p>
            <w:pPr>
              <w:ind w:left="400"/>
              <w:spacing w:after="0"/>
              <w:rPr>
                <w:sz w:val="20"/>
                <w:szCs w:val="20"/>
                <w:color w:val="auto"/>
              </w:rPr>
            </w:pPr>
            <w:r>
              <w:rPr>
                <w:rFonts w:ascii="Arial" w:cs="Arial" w:eastAsia="Arial" w:hAnsi="Arial"/>
                <w:sz w:val="17"/>
                <w:szCs w:val="17"/>
                <w:color w:val="auto"/>
                <w:w w:val="99"/>
              </w:rPr>
              <w:t>Real estate available and held for sale</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551,998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125,460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Borders>
              <w:right w:val="single" w:sz="8" w:color="auto"/>
            </w:tcBorders>
            <w:gridSpan w:val="2"/>
          </w:tcPr>
          <w:p>
            <w:pPr>
              <w:ind w:left="640"/>
              <w:spacing w:after="0"/>
              <w:rPr>
                <w:sz w:val="20"/>
                <w:szCs w:val="20"/>
                <w:color w:val="auto"/>
              </w:rPr>
            </w:pPr>
            <w:r>
              <w:rPr>
                <w:rFonts w:ascii="Arial" w:cs="Arial" w:eastAsia="Arial" w:hAnsi="Arial"/>
                <w:sz w:val="17"/>
                <w:szCs w:val="17"/>
                <w:color w:val="auto"/>
                <w:w w:val="99"/>
              </w:rPr>
              <w:t>—  677,458,000</w:t>
            </w:r>
          </w:p>
        </w:tc>
        <w:tc>
          <w:tcPr>
            <w:tcW w:w="22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677,458</w:t>
            </w:r>
          </w:p>
        </w:tc>
        <w:tc>
          <w:tcPr>
            <w:tcW w:w="0" w:type="dxa"/>
            <w:vAlign w:val="bottom"/>
          </w:tcPr>
          <w:p>
            <w:pPr>
              <w:spacing w:after="0"/>
              <w:rPr>
                <w:sz w:val="1"/>
                <w:szCs w:val="1"/>
                <w:color w:val="auto"/>
              </w:rPr>
            </w:pPr>
          </w:p>
        </w:tc>
      </w:tr>
      <w:tr>
        <w:trPr>
          <w:trHeight w:val="26"/>
        </w:trPr>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7"/>
              </w:rPr>
              <w:t>1,470,298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1,181,866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973,205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right w:val="single" w:sz="8" w:color="auto"/>
            </w:tcBorders>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3,625,369</w:t>
            </w:r>
          </w:p>
        </w:tc>
        <w:tc>
          <w:tcPr>
            <w:tcW w:w="0" w:type="dxa"/>
            <w:vAlign w:val="bottom"/>
          </w:tcPr>
          <w:p>
            <w:pPr>
              <w:spacing w:after="0"/>
              <w:rPr>
                <w:sz w:val="1"/>
                <w:szCs w:val="1"/>
                <w:color w:val="auto"/>
              </w:rPr>
            </w:pPr>
          </w:p>
        </w:tc>
      </w:tr>
      <w:tr>
        <w:trPr>
          <w:trHeight w:val="222"/>
        </w:trPr>
        <w:tc>
          <w:tcPr>
            <w:tcW w:w="3300" w:type="dxa"/>
            <w:vAlign w:val="bottom"/>
          </w:tcPr>
          <w:p>
            <w:pPr>
              <w:ind w:left="180"/>
              <w:spacing w:after="0"/>
              <w:rPr>
                <w:sz w:val="20"/>
                <w:szCs w:val="20"/>
                <w:color w:val="auto"/>
              </w:rPr>
            </w:pPr>
            <w:r>
              <w:rPr>
                <w:rFonts w:ascii="Arial" w:cs="Arial" w:eastAsia="Arial" w:hAnsi="Arial"/>
                <w:sz w:val="17"/>
                <w:szCs w:val="17"/>
                <w:color w:val="auto"/>
              </w:rPr>
              <w:t>Loans receivable, net</w:t>
            </w:r>
          </w:p>
        </w:tc>
        <w:tc>
          <w:tcPr>
            <w:tcW w:w="16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2,860,762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880" w:type="dxa"/>
            <w:vAlign w:val="bottom"/>
            <w:tcBorders>
              <w:right w:val="single" w:sz="8" w:color="auto"/>
            </w:tcBorders>
            <w:gridSpan w:val="2"/>
          </w:tcPr>
          <w:p>
            <w:pPr>
              <w:jc w:val="right"/>
              <w:ind w:right="10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2,860,762</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37,957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388,736</w:t>
            </w: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457,835</w:t>
            </w:r>
          </w:p>
        </w:tc>
        <w:tc>
          <w:tcPr>
            <w:tcW w:w="0" w:type="dxa"/>
            <w:vAlign w:val="bottom"/>
          </w:tcPr>
          <w:p>
            <w:pPr>
              <w:spacing w:after="0"/>
              <w:rPr>
                <w:sz w:val="1"/>
                <w:szCs w:val="1"/>
                <w:color w:val="auto"/>
              </w:rPr>
            </w:pPr>
          </w:p>
        </w:tc>
      </w:tr>
      <w:tr>
        <w:trPr>
          <w:trHeight w:val="214"/>
        </w:trPr>
        <w:tc>
          <w:tcPr>
            <w:tcW w:w="3300" w:type="dxa"/>
            <w:vAlign w:val="bottom"/>
          </w:tcPr>
          <w:p>
            <w:pPr>
              <w:ind w:left="60"/>
              <w:spacing w:after="0"/>
              <w:rPr>
                <w:sz w:val="20"/>
                <w:szCs w:val="20"/>
                <w:color w:val="auto"/>
              </w:rPr>
            </w:pPr>
            <w:r>
              <w:rPr>
                <w:rFonts w:ascii="Arial" w:cs="Arial" w:eastAsia="Arial" w:hAnsi="Arial"/>
                <w:sz w:val="17"/>
                <w:szCs w:val="17"/>
                <w:color w:val="auto"/>
              </w:rPr>
              <w:t>Total portfolio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2,860,762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97"/>
              </w:rPr>
              <w:t>1,486,595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1,219,823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988,050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388,736</w:t>
            </w:r>
          </w:p>
        </w:tc>
        <w:tc>
          <w:tcPr>
            <w:tcW w:w="98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6,943,966</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87,673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437,907</w:t>
            </w: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573,871</w:t>
            </w:r>
          </w:p>
        </w:tc>
        <w:tc>
          <w:tcPr>
            <w:tcW w:w="0" w:type="dxa"/>
            <w:vAlign w:val="bottom"/>
          </w:tcPr>
          <w:p>
            <w:pPr>
              <w:spacing w:after="0"/>
              <w:rPr>
                <w:sz w:val="1"/>
                <w:szCs w:val="1"/>
                <w:color w:val="auto"/>
              </w:rPr>
            </w:pPr>
          </w:p>
        </w:tc>
      </w:tr>
      <w:tr>
        <w:trPr>
          <w:trHeight w:val="241"/>
        </w:trPr>
        <w:tc>
          <w:tcPr>
            <w:tcW w:w="3300" w:type="dxa"/>
            <w:vAlign w:val="bottom"/>
          </w:tcPr>
          <w:p>
            <w:pPr>
              <w:ind w:left="22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2,874,102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97"/>
              </w:rPr>
              <w:t>1,574,268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1,253,040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989,784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826,643</w:t>
            </w:r>
          </w:p>
        </w:tc>
        <w:tc>
          <w:tcPr>
            <w:tcW w:w="980" w:type="dxa"/>
            <w:vAlign w:val="bottom"/>
            <w:tcBorders>
              <w:right w:val="single" w:sz="8" w:color="auto"/>
            </w:tcBorders>
          </w:tcPr>
          <w:p>
            <w:pPr>
              <w:spacing w:after="0"/>
              <w:rPr>
                <w:sz w:val="20"/>
                <w:szCs w:val="20"/>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7,517,837</w:t>
            </w:r>
          </w:p>
        </w:tc>
        <w:tc>
          <w:tcPr>
            <w:tcW w:w="0" w:type="dxa"/>
            <w:vAlign w:val="bottom"/>
          </w:tcPr>
          <w:p>
            <w:pPr>
              <w:spacing w:after="0"/>
              <w:rPr>
                <w:sz w:val="1"/>
                <w:szCs w:val="1"/>
                <w:color w:val="auto"/>
              </w:rPr>
            </w:pPr>
          </w:p>
        </w:tc>
      </w:tr>
      <w:tr>
        <w:trPr>
          <w:trHeight w:val="420"/>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w w:val="94"/>
              </w:rPr>
              <w:t>95</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6" w:name="page97"/>
    <w:bookmarkEnd w:id="96"/>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760" w:type="dxa"/>
            <w:vAlign w:val="bottom"/>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 Ended December 31, 2010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Real Estate</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Net</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Operating</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Corporate/</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3"/>
                <w:szCs w:val="13"/>
                <w:b w:val="1"/>
                <w:bCs w:val="1"/>
                <w:color w:val="auto"/>
              </w:rPr>
              <w:t>Company</w:t>
            </w:r>
          </w:p>
        </w:tc>
        <w:tc>
          <w:tcPr>
            <w:tcW w:w="0" w:type="dxa"/>
            <w:vAlign w:val="bottom"/>
          </w:tcPr>
          <w:p>
            <w:pPr>
              <w:spacing w:after="0"/>
              <w:rPr>
                <w:sz w:val="1"/>
                <w:szCs w:val="1"/>
                <w:color w:val="auto"/>
              </w:rPr>
            </w:pPr>
          </w:p>
        </w:tc>
      </w:tr>
      <w:tr>
        <w:trPr>
          <w:trHeight w:val="176"/>
        </w:trPr>
        <w:tc>
          <w:tcPr>
            <w:tcW w:w="376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3"/>
                <w:szCs w:val="13"/>
                <w:b w:val="1"/>
                <w:bCs w:val="1"/>
                <w:color w:val="auto"/>
              </w:rPr>
              <w:t>Finance</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3"/>
                <w:szCs w:val="13"/>
                <w:b w:val="1"/>
                <w:bCs w:val="1"/>
                <w:color w:val="auto"/>
              </w:rPr>
              <w:t>Leasing</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Property</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3"/>
                <w:szCs w:val="13"/>
                <w:b w:val="1"/>
                <w:bCs w:val="1"/>
                <w:color w:val="auto"/>
              </w:rPr>
              <w:t>Land</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Other(1)</w:t>
            </w:r>
          </w:p>
        </w:tc>
        <w:tc>
          <w:tcPr>
            <w:tcW w:w="240" w:type="dxa"/>
            <w:vAlign w:val="bottom"/>
            <w:tcBorders>
              <w:right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0"/>
        </w:trPr>
        <w:tc>
          <w:tcPr>
            <w:tcW w:w="3760" w:type="dxa"/>
            <w:vAlign w:val="bottom"/>
          </w:tcPr>
          <w:p>
            <w:pPr>
              <w:ind w:left="60"/>
              <w:spacing w:after="0"/>
              <w:rPr>
                <w:sz w:val="20"/>
                <w:szCs w:val="20"/>
                <w:color w:val="auto"/>
              </w:rPr>
            </w:pPr>
            <w:r>
              <w:rPr>
                <w:rFonts w:ascii="Arial" w:cs="Arial" w:eastAsia="Arial" w:hAnsi="Arial"/>
                <w:sz w:val="17"/>
                <w:szCs w:val="17"/>
                <w:color w:val="auto"/>
              </w:rPr>
              <w:t>Operating lease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146,599</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39,623</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186,630</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Interest income</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364,094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364,094</w:t>
            </w:r>
          </w:p>
        </w:tc>
        <w:tc>
          <w:tcPr>
            <w:tcW w:w="0" w:type="dxa"/>
            <w:vAlign w:val="bottom"/>
          </w:tcPr>
          <w:p>
            <w:pPr>
              <w:spacing w:after="0"/>
              <w:rPr>
                <w:sz w:val="1"/>
                <w:szCs w:val="1"/>
                <w:color w:val="auto"/>
              </w:rPr>
            </w:pPr>
          </w:p>
        </w:tc>
      </w:tr>
      <w:tr>
        <w:trPr>
          <w:trHeight w:val="222"/>
        </w:trPr>
        <w:tc>
          <w:tcPr>
            <w:tcW w:w="3760" w:type="dxa"/>
            <w:vAlign w:val="bottom"/>
          </w:tcPr>
          <w:p>
            <w:pPr>
              <w:ind w:left="60"/>
              <w:spacing w:after="0"/>
              <w:rPr>
                <w:sz w:val="20"/>
                <w:szCs w:val="20"/>
                <w:color w:val="auto"/>
              </w:rPr>
            </w:pPr>
            <w:r>
              <w:rPr>
                <w:rFonts w:ascii="Arial" w:cs="Arial" w:eastAsia="Arial" w:hAnsi="Arial"/>
                <w:sz w:val="17"/>
                <w:szCs w:val="17"/>
                <w:color w:val="auto"/>
              </w:rPr>
              <w:t>Other income</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13,750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33,403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643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2,937</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50,733</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377,844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146,599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73,026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2,937</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601,457</w:t>
            </w:r>
          </w:p>
        </w:tc>
        <w:tc>
          <w:tcPr>
            <w:tcW w:w="0" w:type="dxa"/>
            <w:vAlign w:val="bottom"/>
          </w:tcPr>
          <w:p>
            <w:pPr>
              <w:spacing w:after="0"/>
              <w:rPr>
                <w:sz w:val="1"/>
                <w:szCs w:val="1"/>
                <w:color w:val="auto"/>
              </w:rPr>
            </w:pPr>
          </w:p>
        </w:tc>
      </w:tr>
      <w:tr>
        <w:trPr>
          <w:trHeight w:val="222"/>
        </w:trPr>
        <w:tc>
          <w:tcPr>
            <w:tcW w:w="3760" w:type="dxa"/>
            <w:vAlign w:val="bottom"/>
          </w:tcPr>
          <w:p>
            <w:pPr>
              <w:ind w:left="60"/>
              <w:spacing w:after="0"/>
              <w:rPr>
                <w:sz w:val="20"/>
                <w:szCs w:val="20"/>
                <w:color w:val="auto"/>
              </w:rPr>
            </w:pPr>
            <w:r>
              <w:rPr>
                <w:rFonts w:ascii="Arial" w:cs="Arial" w:eastAsia="Arial" w:hAnsi="Arial"/>
                <w:sz w:val="17"/>
                <w:szCs w:val="17"/>
                <w:color w:val="auto"/>
              </w:rPr>
              <w:t>Earnings (loss) from equity method investments</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2,522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49,386</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51,908</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Income from sales of residential property</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Arial" w:cs="Arial" w:eastAsia="Arial" w:hAnsi="Arial"/>
                <w:sz w:val="17"/>
                <w:szCs w:val="17"/>
                <w:color w:val="auto"/>
                <w:w w:val="91"/>
              </w:rPr>
              <w:t>Net operating income from discontinued operations(2)</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73,233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72,692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Gain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270,382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270,382</w:t>
            </w:r>
          </w:p>
        </w:tc>
        <w:tc>
          <w:tcPr>
            <w:tcW w:w="0" w:type="dxa"/>
            <w:vAlign w:val="bottom"/>
          </w:tcPr>
          <w:p>
            <w:pPr>
              <w:spacing w:after="0"/>
              <w:rPr>
                <w:sz w:val="1"/>
                <w:szCs w:val="1"/>
                <w:color w:val="auto"/>
              </w:rPr>
            </w:pPr>
          </w:p>
        </w:tc>
      </w:tr>
      <w:tr>
        <w:trPr>
          <w:trHeight w:val="214"/>
        </w:trPr>
        <w:tc>
          <w:tcPr>
            <w:tcW w:w="3760" w:type="dxa"/>
            <w:vAlign w:val="bottom"/>
          </w:tcPr>
          <w:p>
            <w:pPr>
              <w:ind w:left="20"/>
              <w:spacing w:after="0"/>
              <w:rPr>
                <w:sz w:val="20"/>
                <w:szCs w:val="20"/>
                <w:color w:val="auto"/>
              </w:rPr>
            </w:pPr>
            <w:r>
              <w:rPr>
                <w:rFonts w:ascii="Arial" w:cs="Arial" w:eastAsia="Arial" w:hAnsi="Arial"/>
                <w:sz w:val="17"/>
                <w:szCs w:val="17"/>
                <w:color w:val="auto"/>
              </w:rPr>
              <w:t>Revenue and other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377,844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492,736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72,485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1,051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52,323</w:t>
            </w: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996,439</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expense</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(121,399)</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Arial" w:cs="Arial" w:eastAsia="Arial" w:hAnsi="Arial"/>
                <w:sz w:val="17"/>
                <w:szCs w:val="17"/>
                <w:color w:val="auto"/>
              </w:rPr>
              <w:t>Other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(5,948)</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(16,055)</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Direct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(5,948)</w:t>
            </w:r>
          </w:p>
        </w:tc>
        <w:tc>
          <w:tcPr>
            <w:tcW w:w="24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(137,454)</w:t>
            </w:r>
          </w:p>
        </w:tc>
        <w:tc>
          <w:tcPr>
            <w:tcW w:w="0" w:type="dxa"/>
            <w:vAlign w:val="bottom"/>
          </w:tcPr>
          <w:p>
            <w:pPr>
              <w:spacing w:after="0"/>
              <w:rPr>
                <w:sz w:val="1"/>
                <w:szCs w:val="1"/>
                <w:color w:val="auto"/>
              </w:rPr>
            </w:pPr>
          </w:p>
        </w:tc>
      </w:tr>
      <w:tr>
        <w:trPr>
          <w:trHeight w:val="214"/>
        </w:trPr>
        <w:tc>
          <w:tcPr>
            <w:tcW w:w="3760" w:type="dxa"/>
            <w:vAlign w:val="bottom"/>
          </w:tcPr>
          <w:p>
            <w:pPr>
              <w:ind w:left="140"/>
              <w:spacing w:after="0"/>
              <w:rPr>
                <w:sz w:val="20"/>
                <w:szCs w:val="20"/>
                <w:color w:val="auto"/>
              </w:rPr>
            </w:pPr>
            <w:r>
              <w:rPr>
                <w:rFonts w:ascii="Arial" w:cs="Arial" w:eastAsia="Arial" w:hAnsi="Arial"/>
                <w:sz w:val="17"/>
                <w:szCs w:val="17"/>
                <w:color w:val="auto"/>
              </w:rPr>
              <w:t>Direct segment profit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367,737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471,513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(12,612)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(14,028)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46,375</w:t>
            </w: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858,985</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Allocated interest expense(3)</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(174,074)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(62,094)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(39,930)</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(346,500)</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Arial" w:cs="Arial" w:eastAsia="Arial" w:hAnsi="Arial"/>
                <w:sz w:val="17"/>
                <w:szCs w:val="17"/>
                <w:color w:val="auto"/>
              </w:rPr>
              <w:t>Allocated general and administrative(4)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(28,833)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(39,173)</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(90,170)</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profit (loss)(5)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164,830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399,134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(32,728)</w:t>
            </w:r>
          </w:p>
        </w:tc>
        <w:tc>
          <w:tcPr>
            <w:tcW w:w="240" w:type="dxa"/>
            <w:vAlign w:val="bottom"/>
            <w:tcBorders>
              <w:bottom w:val="single" w:sz="8" w:color="CCEEFF"/>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422,315</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Arial" w:cs="Arial" w:eastAsia="Arial" w:hAnsi="Arial"/>
                <w:sz w:val="17"/>
                <w:szCs w:val="17"/>
                <w:color w:val="auto"/>
              </w:rPr>
              <w:t>Other significant non-cash items: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Provision for loan losses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331,487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331,487</w:t>
            </w:r>
          </w:p>
        </w:tc>
        <w:tc>
          <w:tcPr>
            <w:tcW w:w="0" w:type="dxa"/>
            <w:vAlign w:val="bottom"/>
          </w:tcPr>
          <w:p>
            <w:pPr>
              <w:spacing w:after="0"/>
              <w:rPr>
                <w:sz w:val="1"/>
                <w:szCs w:val="1"/>
                <w:color w:val="auto"/>
              </w:rPr>
            </w:pPr>
          </w:p>
        </w:tc>
      </w:tr>
      <w:tr>
        <w:trPr>
          <w:trHeight w:val="222"/>
        </w:trPr>
        <w:tc>
          <w:tcPr>
            <w:tcW w:w="3760" w:type="dxa"/>
            <w:vAlign w:val="bottom"/>
          </w:tcPr>
          <w:p>
            <w:pPr>
              <w:ind w:left="180"/>
              <w:spacing w:after="0"/>
              <w:rPr>
                <w:sz w:val="20"/>
                <w:szCs w:val="20"/>
                <w:color w:val="auto"/>
              </w:rPr>
            </w:pPr>
            <w:r>
              <w:rPr>
                <w:rFonts w:ascii="Arial" w:cs="Arial" w:eastAsia="Arial" w:hAnsi="Arial"/>
                <w:sz w:val="17"/>
                <w:szCs w:val="17"/>
                <w:color w:val="auto"/>
              </w:rPr>
              <w:t>Impairment of assets(3)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6,063</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18,988</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(2,770)</w:t>
            </w:r>
          </w:p>
        </w:tc>
        <w:tc>
          <w:tcPr>
            <w:tcW w:w="240" w:type="dxa"/>
            <w:vAlign w:val="bottom"/>
            <w:tcBorders>
              <w:right w:val="single" w:sz="8" w:color="auto"/>
            </w:tcBorders>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22,381</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48,973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17,050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3,726</w:t>
            </w: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70,786</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Arial" w:cs="Arial" w:eastAsia="Arial" w:hAnsi="Arial"/>
                <w:sz w:val="17"/>
                <w:szCs w:val="17"/>
                <w:color w:val="auto"/>
              </w:rPr>
              <w:t>Capitalized expenditures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13,475</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18,894</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10,494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42,863</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2010</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60" w:type="dxa"/>
            <w:vAlign w:val="bottom"/>
          </w:tcPr>
          <w:p>
            <w:pPr>
              <w:ind w:left="180"/>
              <w:spacing w:after="0"/>
              <w:rPr>
                <w:sz w:val="20"/>
                <w:szCs w:val="20"/>
                <w:color w:val="auto"/>
              </w:rPr>
            </w:pPr>
            <w:r>
              <w:rPr>
                <w:rFonts w:ascii="Arial" w:cs="Arial" w:eastAsia="Arial" w:hAnsi="Arial"/>
                <w:sz w:val="17"/>
                <w:szCs w:val="17"/>
                <w:color w:val="auto"/>
              </w:rPr>
              <w:t>Real estate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Real estate, at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1,834,172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470,989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693,477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2,998,638</w:t>
            </w:r>
          </w:p>
        </w:tc>
        <w:tc>
          <w:tcPr>
            <w:tcW w:w="0" w:type="dxa"/>
            <w:vAlign w:val="bottom"/>
          </w:tcPr>
          <w:p>
            <w:pPr>
              <w:spacing w:after="0"/>
              <w:rPr>
                <w:sz w:val="1"/>
                <w:szCs w:val="1"/>
                <w:color w:val="auto"/>
              </w:rPr>
            </w:pPr>
          </w:p>
        </w:tc>
      </w:tr>
      <w:tr>
        <w:trPr>
          <w:trHeight w:val="222"/>
        </w:trPr>
        <w:tc>
          <w:tcPr>
            <w:tcW w:w="3760" w:type="dxa"/>
            <w:vAlign w:val="bottom"/>
          </w:tcPr>
          <w:p>
            <w:pPr>
              <w:ind w:left="400"/>
              <w:spacing w:after="0"/>
              <w:rPr>
                <w:sz w:val="20"/>
                <w:szCs w:val="20"/>
                <w:color w:val="auto"/>
              </w:rPr>
            </w:pPr>
            <w:r>
              <w:rPr>
                <w:rFonts w:ascii="Arial" w:cs="Arial" w:eastAsia="Arial" w:hAnsi="Arial"/>
                <w:sz w:val="17"/>
                <w:szCs w:val="17"/>
                <w:color w:val="auto"/>
              </w:rPr>
              <w:t>Less: accumulated depreciation</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(284,489)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(356,600)</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Real estate,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1,549,683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400,915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691,440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2,642,038</w:t>
            </w:r>
          </w:p>
        </w:tc>
        <w:tc>
          <w:tcPr>
            <w:tcW w:w="0" w:type="dxa"/>
            <w:vAlign w:val="bottom"/>
          </w:tcPr>
          <w:p>
            <w:pPr>
              <w:spacing w:after="0"/>
              <w:rPr>
                <w:sz w:val="1"/>
                <w:szCs w:val="1"/>
                <w:color w:val="auto"/>
              </w:rPr>
            </w:pPr>
          </w:p>
        </w:tc>
      </w:tr>
      <w:tr>
        <w:trPr>
          <w:trHeight w:val="222"/>
        </w:trPr>
        <w:tc>
          <w:tcPr>
            <w:tcW w:w="3760" w:type="dxa"/>
            <w:vAlign w:val="bottom"/>
          </w:tcPr>
          <w:p>
            <w:pPr>
              <w:ind w:left="400"/>
              <w:spacing w:after="0"/>
              <w:rPr>
                <w:sz w:val="20"/>
                <w:szCs w:val="20"/>
                <w:color w:val="auto"/>
              </w:rPr>
            </w:pPr>
            <w:r>
              <w:rPr>
                <w:rFonts w:ascii="Arial" w:cs="Arial" w:eastAsia="Arial" w:hAnsi="Arial"/>
                <w:sz w:val="17"/>
                <w:szCs w:val="17"/>
                <w:color w:val="auto"/>
              </w:rPr>
              <w:t>Real estate available and held for sale</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631,920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114,161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746,081</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real estate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1,549,683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1,032,835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805,601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3,388,119</w:t>
            </w:r>
          </w:p>
        </w:tc>
        <w:tc>
          <w:tcPr>
            <w:tcW w:w="0" w:type="dxa"/>
            <w:vAlign w:val="bottom"/>
          </w:tcPr>
          <w:p>
            <w:pPr>
              <w:spacing w:after="0"/>
              <w:rPr>
                <w:sz w:val="1"/>
                <w:szCs w:val="1"/>
                <w:color w:val="auto"/>
              </w:rPr>
            </w:pPr>
          </w:p>
        </w:tc>
      </w:tr>
      <w:tr>
        <w:trPr>
          <w:trHeight w:val="222"/>
        </w:trPr>
        <w:tc>
          <w:tcPr>
            <w:tcW w:w="3760" w:type="dxa"/>
            <w:vAlign w:val="bottom"/>
          </w:tcPr>
          <w:p>
            <w:pPr>
              <w:ind w:left="180"/>
              <w:spacing w:after="0"/>
              <w:rPr>
                <w:sz w:val="20"/>
                <w:szCs w:val="20"/>
                <w:color w:val="auto"/>
              </w:rPr>
            </w:pPr>
            <w:r>
              <w:rPr>
                <w:rFonts w:ascii="Arial" w:cs="Arial" w:eastAsia="Arial" w:hAnsi="Arial"/>
                <w:sz w:val="17"/>
                <w:szCs w:val="17"/>
                <w:color w:val="auto"/>
              </w:rPr>
              <w:t>Loans receivable, net</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4,587,352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4,587,352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516,230</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532,358</w:t>
            </w:r>
          </w:p>
        </w:tc>
        <w:tc>
          <w:tcPr>
            <w:tcW w:w="0" w:type="dxa"/>
            <w:vAlign w:val="bottom"/>
          </w:tcPr>
          <w:p>
            <w:pPr>
              <w:spacing w:after="0"/>
              <w:rPr>
                <w:sz w:val="1"/>
                <w:szCs w:val="1"/>
                <w:color w:val="auto"/>
              </w:rPr>
            </w:pPr>
          </w:p>
        </w:tc>
      </w:tr>
      <w:tr>
        <w:trPr>
          <w:trHeight w:val="214"/>
        </w:trPr>
        <w:tc>
          <w:tcPr>
            <w:tcW w:w="3760" w:type="dxa"/>
            <w:vAlign w:val="bottom"/>
          </w:tcPr>
          <w:p>
            <w:pPr>
              <w:ind w:left="60"/>
              <w:spacing w:after="0"/>
              <w:rPr>
                <w:sz w:val="20"/>
                <w:szCs w:val="20"/>
                <w:color w:val="auto"/>
              </w:rPr>
            </w:pPr>
            <w:r>
              <w:rPr>
                <w:rFonts w:ascii="Arial" w:cs="Arial" w:eastAsia="Arial" w:hAnsi="Arial"/>
                <w:sz w:val="17"/>
                <w:szCs w:val="17"/>
                <w:color w:val="auto"/>
              </w:rPr>
              <w:t>Total portfolio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4,587,352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1,565,811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1,032,835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805,601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516,230</w:t>
            </w: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8,507,829</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21,710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541,016</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666,685</w:t>
            </w:r>
          </w:p>
        </w:tc>
        <w:tc>
          <w:tcPr>
            <w:tcW w:w="0" w:type="dxa"/>
            <w:vAlign w:val="bottom"/>
          </w:tcPr>
          <w:p>
            <w:pPr>
              <w:spacing w:after="0"/>
              <w:rPr>
                <w:sz w:val="1"/>
                <w:szCs w:val="1"/>
                <w:color w:val="auto"/>
              </w:rPr>
            </w:pPr>
          </w:p>
        </w:tc>
      </w:tr>
      <w:tr>
        <w:trPr>
          <w:trHeight w:val="214"/>
        </w:trPr>
        <w:tc>
          <w:tcPr>
            <w:tcW w:w="3760" w:type="dxa"/>
            <w:vAlign w:val="bottom"/>
          </w:tcPr>
          <w:p>
            <w:pPr>
              <w:ind w:left="220"/>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4,609,062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1,644,148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1,057,957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806,101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1,057,246</w:t>
            </w: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9,174,514</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601" w:hanging="601"/>
        <w:spacing w:after="0" w:line="275" w:lineRule="auto"/>
        <w:tabs>
          <w:tab w:leader="none" w:pos="601"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equity investment in LNR of $205.8 million and $159.8 million, as of December 31, 2012 and 2011, respectively, and the Company's share of equity in earnings from LNR of $60.7 million, $53.9 million and $1.8 million for the years ended December 31, 2012, 2011 and 2010, respectively. See Note 6 for further details on the Company's investment in LNR and summarized financial information of LNR.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1"/>
          </w:cols>
          <w:pgMar w:left="239" w:top="121" w:right="239" w:bottom="1440" w:gutter="0" w:footer="0" w:header="0"/>
        </w:sectPr>
      </w:pPr>
    </w:p>
    <w:bookmarkStart w:id="97" w:name="page98"/>
    <w:bookmarkEnd w:id="97"/>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6" w:lineRule="exact"/>
        <w:rPr>
          <w:sz w:val="20"/>
          <w:szCs w:val="20"/>
          <w:color w:val="auto"/>
        </w:rPr>
      </w:pPr>
    </w:p>
    <w:p>
      <w:pPr>
        <w:ind w:left="601" w:hanging="601"/>
        <w:spacing w:after="0"/>
        <w:tabs>
          <w:tab w:leader="none" w:pos="601"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revenue and real estate expense reclassified to discontinued operations on the Company's Consolidated Statements of Operations.</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related amounts reclassified to discontinued operations on the Company's Consolidated Statements of Operations.</w:t>
      </w:r>
    </w:p>
    <w:p>
      <w:pPr>
        <w:ind w:left="601" w:hanging="601"/>
        <w:spacing w:after="0"/>
        <w:tabs>
          <w:tab w:leader="none" w:pos="601" w:val="left"/>
        </w:tabs>
        <w:numPr>
          <w:ilvl w:val="0"/>
          <w:numId w:val="49"/>
        </w:numPr>
        <w:rPr>
          <w:rFonts w:ascii="Arial" w:cs="Arial" w:eastAsia="Arial" w:hAnsi="Arial"/>
          <w:sz w:val="12"/>
          <w:szCs w:val="12"/>
          <w:color w:val="auto"/>
        </w:rPr>
      </w:pPr>
      <w:r>
        <w:rPr>
          <w:rFonts w:ascii="Arial" w:cs="Arial" w:eastAsia="Arial" w:hAnsi="Arial"/>
          <w:sz w:val="12"/>
          <w:szCs w:val="12"/>
          <w:color w:val="auto"/>
        </w:rPr>
        <w:t>General and administrative excludes stock-based compensation expense of $15.3 million, $29.7 million and $19.4 million for the years ended December 31, 2012, 2011 and 2010, respectively.</w:t>
      </w:r>
    </w:p>
    <w:p>
      <w:pPr>
        <w:spacing w:after="0" w:line="10" w:lineRule="exact"/>
        <w:rPr>
          <w:rFonts w:ascii="Arial" w:cs="Arial" w:eastAsia="Arial" w:hAnsi="Arial"/>
          <w:sz w:val="12"/>
          <w:szCs w:val="12"/>
          <w:color w:val="auto"/>
        </w:rPr>
      </w:pPr>
    </w:p>
    <w:p>
      <w:pPr>
        <w:ind w:left="601" w:hanging="601"/>
        <w:spacing w:after="0"/>
        <w:tabs>
          <w:tab w:leader="none" w:pos="60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following is a reconciliation of segment profit (loss) to net income (loss) ($ in thousands):</w:t>
      </w:r>
    </w:p>
    <w:p>
      <w:pPr>
        <w:spacing w:after="0" w:line="283"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3"/>
                <w:szCs w:val="13"/>
                <w:b w:val="1"/>
                <w:bCs w:val="1"/>
                <w:color w:val="auto"/>
              </w:rPr>
              <w:t>For the Years Ended December 31,</w:t>
            </w:r>
          </w:p>
        </w:tc>
        <w:tc>
          <w:tcPr>
            <w:tcW w:w="980" w:type="dxa"/>
            <w:vAlign w:val="bottom"/>
            <w:tcBorders>
              <w:bottom w:val="single" w:sz="8" w:color="auto"/>
            </w:tcBorders>
          </w:tcPr>
          <w:p>
            <w:pPr>
              <w:spacing w:after="0"/>
              <w:rPr>
                <w:sz w:val="15"/>
                <w:szCs w:val="15"/>
                <w:color w:val="auto"/>
              </w:rPr>
            </w:pPr>
          </w:p>
        </w:tc>
      </w:tr>
      <w:tr>
        <w:trPr>
          <w:trHeight w:val="241"/>
        </w:trPr>
        <w:tc>
          <w:tcPr>
            <w:tcW w:w="7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2010</w:t>
            </w:r>
          </w:p>
        </w:tc>
      </w:tr>
      <w:tr>
        <w:trPr>
          <w:trHeight w:val="234"/>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profit (loss)</w:t>
            </w:r>
          </w:p>
        </w:tc>
        <w:tc>
          <w:tcPr>
            <w:tcW w:w="3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9,004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30,550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422,315</w:t>
            </w:r>
          </w:p>
        </w:tc>
      </w:tr>
      <w:tr>
        <w:trPr>
          <w:trHeight w:val="242"/>
        </w:trPr>
        <w:tc>
          <w:tcPr>
            <w:tcW w:w="7100" w:type="dxa"/>
            <w:vAlign w:val="bottom"/>
          </w:tcPr>
          <w:p>
            <w:pPr>
              <w:ind w:left="20"/>
              <w:spacing w:after="0"/>
              <w:rPr>
                <w:sz w:val="20"/>
                <w:szCs w:val="20"/>
                <w:color w:val="auto"/>
              </w:rPr>
            </w:pPr>
            <w:r>
              <w:rPr>
                <w:rFonts w:ascii="Arial" w:cs="Arial" w:eastAsia="Arial" w:hAnsi="Arial"/>
                <w:sz w:val="13"/>
                <w:szCs w:val="13"/>
                <w:color w:val="auto"/>
              </w:rPr>
              <w:t>Less: Provision for loan losses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(81,740)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(46,412)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(331,487)</w:t>
            </w:r>
          </w:p>
        </w:tc>
      </w:tr>
      <w:tr>
        <w:trPr>
          <w:trHeight w:val="254"/>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Impairment of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(36,354)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(22,386)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(22,381)</w:t>
            </w:r>
          </w:p>
        </w:tc>
      </w:tr>
      <w:tr>
        <w:trPr>
          <w:trHeight w:val="242"/>
        </w:trPr>
        <w:tc>
          <w:tcPr>
            <w:tcW w:w="7100" w:type="dxa"/>
            <w:vAlign w:val="bottom"/>
          </w:tcPr>
          <w:p>
            <w:pPr>
              <w:ind w:left="20"/>
              <w:spacing w:after="0"/>
              <w:rPr>
                <w:sz w:val="20"/>
                <w:szCs w:val="20"/>
                <w:color w:val="auto"/>
              </w:rPr>
            </w:pPr>
            <w:r>
              <w:rPr>
                <w:rFonts w:ascii="Arial" w:cs="Arial" w:eastAsia="Arial" w:hAnsi="Arial"/>
                <w:sz w:val="13"/>
                <w:szCs w:val="13"/>
                <w:color w:val="auto"/>
              </w:rPr>
              <w:t>Less: Stock-based compensation expense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(15,293)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(29,702)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(19,355)</w:t>
            </w:r>
          </w:p>
        </w:tc>
      </w:tr>
      <w:tr>
        <w:trPr>
          <w:trHeight w:val="254"/>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Depreciation and amortization</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(70,786)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(63,928)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(70,786)</w:t>
            </w:r>
          </w:p>
        </w:tc>
      </w:tr>
      <w:tr>
        <w:trPr>
          <w:trHeight w:val="242"/>
        </w:trPr>
        <w:tc>
          <w:tcPr>
            <w:tcW w:w="7100" w:type="dxa"/>
            <w:vAlign w:val="bottom"/>
          </w:tcPr>
          <w:p>
            <w:pPr>
              <w:ind w:left="20"/>
              <w:spacing w:after="0"/>
              <w:rPr>
                <w:sz w:val="20"/>
                <w:szCs w:val="20"/>
                <w:color w:val="auto"/>
              </w:rPr>
            </w:pPr>
            <w:r>
              <w:rPr>
                <w:rFonts w:ascii="Arial" w:cs="Arial" w:eastAsia="Arial" w:hAnsi="Arial"/>
                <w:sz w:val="13"/>
                <w:szCs w:val="13"/>
                <w:color w:val="auto"/>
              </w:rPr>
              <w:t>Less: Income tax (expense) benefit</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3"/>
                <w:szCs w:val="13"/>
                <w:color w:val="auto"/>
              </w:rPr>
              <w:t>(8,445)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3"/>
                <w:szCs w:val="13"/>
                <w:color w:val="auto"/>
              </w:rPr>
              <w:t>4,719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(7,023)</w:t>
            </w: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Gain (loss) on early extinguishment of debt, net</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(37,816)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101,466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108,923</w:t>
            </w:r>
          </w:p>
        </w:tc>
      </w:tr>
      <w:tr>
        <w:trPr>
          <w:trHeight w:val="222"/>
        </w:trPr>
        <w:tc>
          <w:tcPr>
            <w:tcW w:w="71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(241,430)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(25,693)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80,206</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1"/>
          </w:cols>
          <w:pgMar w:left="239" w:top="121" w:right="239" w:bottom="1440" w:gutter="0" w:footer="0" w:header="0"/>
        </w:sectPr>
      </w:pPr>
    </w:p>
    <w:bookmarkStart w:id="98" w:name="page99"/>
    <w:bookmarkEnd w:id="98"/>
    <w:p>
      <w:pPr>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16—Quarterly Financial Information (Unaudited)</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selected quarterly financial data for the Company ($ in thousands, except per share amounts).</w:t>
      </w:r>
    </w:p>
    <w:p>
      <w:pPr>
        <w:spacing w:after="0" w:line="342"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For the Quarters Ended</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41"/>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20"/>
                <w:szCs w:val="20"/>
                <w:color w:val="auto"/>
              </w:rPr>
            </w:pPr>
          </w:p>
        </w:tc>
        <w:tc>
          <w:tcPr>
            <w:tcW w:w="860" w:type="dxa"/>
            <w:vAlign w:val="bottom"/>
          </w:tcPr>
          <w:p>
            <w:pPr>
              <w:jc w:val="right"/>
              <w:ind w:right="158"/>
              <w:spacing w:after="0"/>
              <w:rPr>
                <w:sz w:val="20"/>
                <w:szCs w:val="20"/>
                <w:color w:val="auto"/>
              </w:rPr>
            </w:pPr>
            <w:r>
              <w:rPr>
                <w:rFonts w:ascii="Arial" w:cs="Arial" w:eastAsia="Arial" w:hAnsi="Arial"/>
                <w:sz w:val="13"/>
                <w:szCs w:val="13"/>
                <w:b w:val="1"/>
                <w:bCs w:val="1"/>
                <w:color w:val="auto"/>
                <w:w w:val="99"/>
              </w:rPr>
              <w:t>March 31,</w:t>
            </w:r>
          </w:p>
        </w:tc>
      </w:tr>
      <w:tr>
        <w:trPr>
          <w:trHeight w:val="226"/>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2012(1):</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93,713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95,159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108,647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102,953</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(79,948)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(64,306)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(46,048)</w:t>
            </w: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Earnings per common share data:</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1"/>
        </w:trPr>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iStar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Financial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(87,424)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(71,784)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(58,996)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(54,792)</w:t>
            </w:r>
          </w:p>
        </w:tc>
      </w:tr>
      <w:tr>
        <w:trPr>
          <w:trHeight w:val="222"/>
        </w:trPr>
        <w:tc>
          <w:tcPr>
            <w:tcW w:w="3360" w:type="dxa"/>
            <w:vAlign w:val="bottom"/>
          </w:tcPr>
          <w:p>
            <w:pPr>
              <w:ind w:left="340"/>
              <w:spacing w:after="0"/>
              <w:rPr>
                <w:sz w:val="20"/>
                <w:szCs w:val="20"/>
                <w:color w:val="auto"/>
              </w:rPr>
            </w:pPr>
            <w:r>
              <w:rPr>
                <w:rFonts w:ascii="Arial" w:cs="Arial" w:eastAsia="Arial" w:hAnsi="Arial"/>
                <w:sz w:val="17"/>
                <w:szCs w:val="17"/>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(0.66)</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(0.66)</w:t>
            </w:r>
          </w:p>
        </w:tc>
      </w:tr>
      <w:tr>
        <w:trPr>
          <w:trHeight w:val="211"/>
        </w:trPr>
        <w:tc>
          <w:tcPr>
            <w:tcW w:w="3360" w:type="dxa"/>
            <w:vAlign w:val="bottom"/>
          </w:tcPr>
          <w:p>
            <w:pPr>
              <w:ind w:left="140"/>
              <w:spacing w:after="0"/>
              <w:rPr>
                <w:sz w:val="20"/>
                <w:szCs w:val="20"/>
                <w:color w:val="auto"/>
              </w:rPr>
            </w:pPr>
            <w:r>
              <w:rPr>
                <w:rFonts w:ascii="Arial" w:cs="Arial" w:eastAsia="Arial" w:hAnsi="Arial"/>
                <w:sz w:val="17"/>
                <w:szCs w:val="17"/>
                <w:color w:val="auto"/>
                <w:w w:val="92"/>
              </w:rPr>
              <w:t>Weighted average number of common shares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3360" w:type="dxa"/>
            <w:vAlign w:val="bottom"/>
          </w:tcPr>
          <w:p>
            <w:pPr>
              <w:ind w:left="14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83,674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83,629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84,113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83,556</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1"/>
        </w:trPr>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Weighted average number of common shares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83,674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83,629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84,113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83,556</w:t>
            </w: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Earnings per HPU share data:</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1"/>
        </w:trPr>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iStar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Financial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(1,861)</w:t>
            </w:r>
          </w:p>
        </w:tc>
      </w:tr>
      <w:tr>
        <w:trPr>
          <w:trHeight w:val="222"/>
        </w:trPr>
        <w:tc>
          <w:tcPr>
            <w:tcW w:w="3360" w:type="dxa"/>
            <w:vAlign w:val="bottom"/>
          </w:tcPr>
          <w:p>
            <w:pPr>
              <w:ind w:left="340"/>
              <w:spacing w:after="0"/>
              <w:rPr>
                <w:sz w:val="20"/>
                <w:szCs w:val="20"/>
                <w:color w:val="auto"/>
              </w:rPr>
            </w:pPr>
            <w:r>
              <w:rPr>
                <w:rFonts w:ascii="Arial" w:cs="Arial" w:eastAsia="Arial" w:hAnsi="Arial"/>
                <w:sz w:val="17"/>
                <w:szCs w:val="17"/>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(197.73)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(162.40)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(132.73)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(124.07)</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(124.07)</w:t>
            </w:r>
          </w:p>
        </w:tc>
      </w:tr>
      <w:tr>
        <w:trPr>
          <w:trHeight w:val="211"/>
        </w:trPr>
        <w:tc>
          <w:tcPr>
            <w:tcW w:w="3360" w:type="dxa"/>
            <w:vAlign w:val="bottom"/>
          </w:tcPr>
          <w:p>
            <w:pPr>
              <w:ind w:left="140"/>
              <w:spacing w:after="0"/>
              <w:rPr>
                <w:sz w:val="20"/>
                <w:szCs w:val="20"/>
                <w:color w:val="auto"/>
              </w:rPr>
            </w:pPr>
            <w:r>
              <w:rPr>
                <w:rFonts w:ascii="Arial" w:cs="Arial" w:eastAsia="Arial" w:hAnsi="Arial"/>
                <w:sz w:val="17"/>
                <w:szCs w:val="17"/>
                <w:color w:val="auto"/>
                <w:w w:val="96"/>
              </w:rPr>
              <w:t>Weighted average number of HPU shares—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336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16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15</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2011(2):</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104,731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105,841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136,610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117,887</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(54,661)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83,902</w:t>
            </w: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Earnings per common share data:</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1"/>
        </w:trPr>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iStar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Financial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67,420</w:t>
            </w:r>
          </w:p>
        </w:tc>
      </w:tr>
      <w:tr>
        <w:trPr>
          <w:trHeight w:val="222"/>
        </w:trPr>
        <w:tc>
          <w:tcPr>
            <w:tcW w:w="3360" w:type="dxa"/>
            <w:vAlign w:val="bottom"/>
          </w:tcPr>
          <w:p>
            <w:pPr>
              <w:ind w:left="340"/>
              <w:spacing w:after="0"/>
              <w:rPr>
                <w:sz w:val="20"/>
                <w:szCs w:val="20"/>
                <w:color w:val="auto"/>
              </w:rPr>
            </w:pPr>
            <w:r>
              <w:rPr>
                <w:rFonts w:ascii="Arial" w:cs="Arial" w:eastAsia="Arial" w:hAnsi="Arial"/>
                <w:sz w:val="17"/>
                <w:szCs w:val="17"/>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0.73</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0.71</w:t>
            </w:r>
          </w:p>
        </w:tc>
      </w:tr>
      <w:tr>
        <w:trPr>
          <w:trHeight w:val="211"/>
        </w:trPr>
        <w:tc>
          <w:tcPr>
            <w:tcW w:w="3360" w:type="dxa"/>
            <w:vAlign w:val="bottom"/>
          </w:tcPr>
          <w:p>
            <w:pPr>
              <w:ind w:left="140"/>
              <w:spacing w:after="0"/>
              <w:rPr>
                <w:sz w:val="20"/>
                <w:szCs w:val="20"/>
                <w:color w:val="auto"/>
              </w:rPr>
            </w:pPr>
            <w:r>
              <w:rPr>
                <w:rFonts w:ascii="Arial" w:cs="Arial" w:eastAsia="Arial" w:hAnsi="Arial"/>
                <w:sz w:val="17"/>
                <w:szCs w:val="17"/>
                <w:color w:val="auto"/>
                <w:w w:val="92"/>
              </w:rPr>
              <w:t>Weighted average number of common shares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3360" w:type="dxa"/>
            <w:vAlign w:val="bottom"/>
          </w:tcPr>
          <w:p>
            <w:pPr>
              <w:ind w:left="14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81,769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87,951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92,621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92,458</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1"/>
        </w:trPr>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Weighted average number of common shares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81,769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87,951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92,621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94,609</w:t>
            </w: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Earnings per HPU share data:</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1"/>
        </w:trPr>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iStar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Financial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2,070</w:t>
            </w:r>
          </w:p>
        </w:tc>
      </w:tr>
      <w:tr>
        <w:trPr>
          <w:trHeight w:val="222"/>
        </w:trPr>
        <w:tc>
          <w:tcPr>
            <w:tcW w:w="3360" w:type="dxa"/>
            <w:vAlign w:val="bottom"/>
          </w:tcPr>
          <w:p>
            <w:pPr>
              <w:ind w:left="340"/>
              <w:spacing w:after="0"/>
              <w:rPr>
                <w:sz w:val="20"/>
                <w:szCs w:val="20"/>
                <w:color w:val="auto"/>
              </w:rPr>
            </w:pPr>
            <w:r>
              <w:rPr>
                <w:rFonts w:ascii="Arial" w:cs="Arial" w:eastAsia="Arial" w:hAnsi="Arial"/>
                <w:sz w:val="17"/>
                <w:szCs w:val="17"/>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(133.87)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(72.60)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138.00</w:t>
            </w:r>
          </w:p>
        </w:tc>
      </w:tr>
      <w:tr>
        <w:trPr>
          <w:trHeight w:val="26"/>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135.07</w:t>
            </w:r>
          </w:p>
        </w:tc>
      </w:tr>
      <w:tr>
        <w:trPr>
          <w:trHeight w:val="211"/>
        </w:trPr>
        <w:tc>
          <w:tcPr>
            <w:tcW w:w="3360" w:type="dxa"/>
            <w:vAlign w:val="bottom"/>
          </w:tcPr>
          <w:p>
            <w:pPr>
              <w:ind w:left="140"/>
              <w:spacing w:after="0"/>
              <w:rPr>
                <w:sz w:val="20"/>
                <w:szCs w:val="20"/>
                <w:color w:val="auto"/>
              </w:rPr>
            </w:pPr>
            <w:r>
              <w:rPr>
                <w:rFonts w:ascii="Arial" w:cs="Arial" w:eastAsia="Arial" w:hAnsi="Arial"/>
                <w:sz w:val="17"/>
                <w:szCs w:val="17"/>
                <w:color w:val="auto"/>
                <w:w w:val="96"/>
              </w:rPr>
              <w:t>Weighted average number of HPU shares—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336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16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15</w:t>
            </w:r>
          </w:p>
        </w:tc>
      </w:tr>
      <w:tr>
        <w:trPr>
          <w:trHeight w:val="745"/>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18"/>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121" w:right="1440" w:bottom="1440" w:gutter="0" w:footer="0" w:header="0"/>
        </w:sectPr>
      </w:pPr>
    </w:p>
    <w:bookmarkStart w:id="99" w:name="page100"/>
    <w:bookmarkEnd w:id="99"/>
    <w:p>
      <w:pPr>
        <w:ind w:left="1"/>
        <w:spacing w:after="0"/>
        <w:rPr>
          <w:rFonts w:ascii="Arial" w:cs="Arial" w:eastAsia="Arial" w:hAnsi="Arial"/>
          <w:sz w:val="13"/>
          <w:szCs w:val="13"/>
          <w:u w:val="single" w:color="auto"/>
          <w:color w:val="0000FF"/>
        </w:rPr>
      </w:pPr>
      <w:hyperlink w:anchor="page48">
        <w:r>
          <w:rPr>
            <w:rFonts w:ascii="Arial" w:cs="Arial" w:eastAsia="Arial" w:hAnsi="Arial"/>
            <w:sz w:val="13"/>
            <w:szCs w:val="13"/>
            <w:u w:val="single" w:color="auto"/>
            <w:color w:val="0000FF"/>
          </w:rPr>
          <w:t>Table of Contents</w:t>
        </w:r>
      </w:hyperlink>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7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601" w:hanging="601"/>
        <w:spacing w:after="0" w:line="243" w:lineRule="auto"/>
        <w:tabs>
          <w:tab w:leader="none" w:pos="601" w:val="left"/>
        </w:tabs>
        <w:numPr>
          <w:ilvl w:val="0"/>
          <w:numId w:val="50"/>
        </w:numPr>
        <w:rPr>
          <w:rFonts w:ascii="Arial" w:cs="Arial" w:eastAsia="Arial" w:hAnsi="Arial"/>
          <w:sz w:val="13"/>
          <w:szCs w:val="13"/>
          <w:color w:val="auto"/>
        </w:rPr>
      </w:pPr>
      <w:r>
        <w:rPr>
          <w:rFonts w:ascii="Arial" w:cs="Arial" w:eastAsia="Arial" w:hAnsi="Arial"/>
          <w:sz w:val="13"/>
          <w:szCs w:val="13"/>
          <w:color w:val="auto"/>
        </w:rPr>
        <w:t>During the quarter ended December 31, 2012, the Company recorded a loss on early extinguishment of debt of $31.0 million primarily related to a prepayment penalty on the early repayment of 8.625% Senior Notes, as well as a loss due to the acceleration of unamortized fees and discounts related to the refinancing of the 2011 Secured Credit Facilities (see Note 8). The Company also recorded $27.9 million related to Income from sales of residential property. During the quarter ended March 31, 2012, the Madison Funds recorded a significant gain related to the sale of an investment for which the Company recorded its $13.7 million proportionate share.</w:t>
      </w:r>
    </w:p>
    <w:p>
      <w:pPr>
        <w:jc w:val="both"/>
        <w:ind w:left="601" w:hanging="601"/>
        <w:spacing w:after="0" w:line="242" w:lineRule="auto"/>
        <w:tabs>
          <w:tab w:leader="none" w:pos="601" w:val="left"/>
        </w:tabs>
        <w:numPr>
          <w:ilvl w:val="0"/>
          <w:numId w:val="50"/>
        </w:numPr>
        <w:rPr>
          <w:rFonts w:ascii="Arial" w:cs="Arial" w:eastAsia="Arial" w:hAnsi="Arial"/>
          <w:sz w:val="13"/>
          <w:szCs w:val="13"/>
          <w:color w:val="auto"/>
        </w:rPr>
      </w:pPr>
      <w:r>
        <w:rPr>
          <w:rFonts w:ascii="Arial" w:cs="Arial" w:eastAsia="Arial" w:hAnsi="Arial"/>
          <w:sz w:val="13"/>
          <w:szCs w:val="13"/>
          <w:color w:val="auto"/>
        </w:rPr>
        <w:t>During the quarter ended December 31, 2011, the Company sold a substantial portion of its interests in Oak Hill Advisors, L.P. and related entities which resulted in a net gain of $30.3 million (see Note 6). During the quarter ended June 30, 2011, the Company recorded interest income of $26.3 million related to certain non-performing loans that were resolved, including interest not previously recorded due to the loans being on non-accrual status. During the quarter ended March 31, 2011, the Company recorded a gain on early extinguishment of debt of $109.0 million for the redemption of its $312.3 million remaining principal amount of 10% senior secured notes due June 2014.</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17—Subsequent Events</w:t>
      </w:r>
    </w:p>
    <w:p>
      <w:pPr>
        <w:spacing w:after="0" w:line="168" w:lineRule="exact"/>
        <w:rPr>
          <w:sz w:val="20"/>
          <w:szCs w:val="20"/>
          <w:color w:val="auto"/>
        </w:rPr>
      </w:pPr>
    </w:p>
    <w:p>
      <w:pPr>
        <w:jc w:val="both"/>
        <w:ind w:left="1" w:firstLine="596"/>
        <w:spacing w:after="0" w:line="292" w:lineRule="auto"/>
        <w:rPr>
          <w:sz w:val="20"/>
          <w:szCs w:val="20"/>
          <w:color w:val="auto"/>
        </w:rPr>
      </w:pPr>
      <w:r>
        <w:rPr>
          <w:rFonts w:ascii="Arial" w:cs="Arial" w:eastAsia="Arial" w:hAnsi="Arial"/>
          <w:sz w:val="16"/>
          <w:szCs w:val="16"/>
          <w:color w:val="auto"/>
        </w:rPr>
        <w:t>On January 24, 2013, the Company signed a definitive agreement to sell LNR Property LLC, for approximately $220.0 million in net proceeds after closing costs and LNR management incentives. This transaction is expected to close during the second quarter of 2013, subject to customary closing conditions.</w:t>
      </w:r>
    </w:p>
    <w:p>
      <w:pPr>
        <w:spacing w:after="0" w:line="111" w:lineRule="exact"/>
        <w:rPr>
          <w:sz w:val="20"/>
          <w:szCs w:val="20"/>
          <w:color w:val="auto"/>
        </w:rPr>
      </w:pPr>
    </w:p>
    <w:p>
      <w:pPr>
        <w:jc w:val="both"/>
        <w:ind w:left="1" w:firstLine="596"/>
        <w:spacing w:after="0" w:line="320" w:lineRule="auto"/>
        <w:rPr>
          <w:sz w:val="20"/>
          <w:szCs w:val="20"/>
          <w:color w:val="auto"/>
        </w:rPr>
      </w:pPr>
      <w:r>
        <w:rPr>
          <w:rFonts w:ascii="Arial" w:cs="Arial" w:eastAsia="Arial" w:hAnsi="Arial"/>
          <w:sz w:val="14"/>
          <w:szCs w:val="14"/>
          <w:color w:val="auto"/>
        </w:rPr>
        <w:t>On February 11, 2013, the Company entered into a $1.71 billion senior secured credit facility due October 15, 2017 that amends and restates its October 2012 Secured Credit Facility. In connection with the repricing, the Company paid the original lenders a prepayment fee of approximately $17.1 million. The new facility amends the October 2012 Secured Credit Facility by (i) reducing the annual interest rate from LIBOR + 4.50%, with a 1.25% LIBOR floor to LIBOR + 3.50%, with a 1.00% LIBOR floor; and (ii) extending the call protection period for lenders from October 15, 2013 to December 31, 2013. All other terms of the credit facility remained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1"/>
          </w:cols>
          <w:pgMar w:left="239" w:top="121" w:right="239" w:bottom="1440" w:gutter="0" w:footer="0" w:header="0"/>
        </w:sectPr>
      </w:pPr>
    </w:p>
    <w:bookmarkStart w:id="100" w:name="page101"/>
    <w:bookmarkEnd w:id="100"/>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ind w:left="5041"/>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ind w:left="3501"/>
        <w:spacing w:after="0"/>
        <w:rPr>
          <w:sz w:val="20"/>
          <w:szCs w:val="20"/>
          <w:color w:val="auto"/>
        </w:rPr>
      </w:pPr>
      <w:r>
        <w:rPr>
          <w:rFonts w:ascii="Arial" w:cs="Arial" w:eastAsia="Arial" w:hAnsi="Arial"/>
          <w:sz w:val="17"/>
          <w:szCs w:val="17"/>
          <w:b w:val="1"/>
          <w:bCs w:val="1"/>
          <w:color w:val="auto"/>
        </w:rPr>
        <w:t>Schedule II—Valuation and Qualifying Accounts and Reserves</w:t>
      </w:r>
    </w:p>
    <w:p>
      <w:pPr>
        <w:spacing w:after="0" w:line="251" w:lineRule="exact"/>
        <w:rPr>
          <w:sz w:val="20"/>
          <w:szCs w:val="20"/>
          <w:color w:val="auto"/>
        </w:rPr>
      </w:pPr>
    </w:p>
    <w:p>
      <w:pPr>
        <w:ind w:left="5141"/>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521"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Balance at</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Charged to</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Adjustments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81"/>
              <w:spacing w:after="0"/>
              <w:rPr>
                <w:sz w:val="20"/>
                <w:szCs w:val="20"/>
                <w:color w:val="auto"/>
              </w:rPr>
            </w:pPr>
            <w:r>
              <w:rPr>
                <w:rFonts w:ascii="Arial" w:cs="Arial" w:eastAsia="Arial" w:hAnsi="Arial"/>
                <w:sz w:val="13"/>
                <w:szCs w:val="13"/>
                <w:b w:val="1"/>
                <w:bCs w:val="1"/>
                <w:color w:val="auto"/>
                <w:w w:val="92"/>
              </w:rPr>
              <w:t>Balance at</w:t>
            </w:r>
          </w:p>
        </w:tc>
      </w:tr>
      <w:tr>
        <w:trPr>
          <w:trHeight w:val="13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1"/>
              </w:rPr>
              <w:t>Beginning</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9"/>
              </w:rPr>
              <w:t>Costs and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1"/>
              </w:rPr>
              <w:t>to Valuation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81"/>
              <w:spacing w:after="0" w:line="137" w:lineRule="exact"/>
              <w:rPr>
                <w:sz w:val="20"/>
                <w:szCs w:val="20"/>
                <w:color w:val="auto"/>
              </w:rPr>
            </w:pPr>
            <w:r>
              <w:rPr>
                <w:rFonts w:ascii="Arial" w:cs="Arial" w:eastAsia="Arial" w:hAnsi="Arial"/>
                <w:sz w:val="13"/>
                <w:szCs w:val="13"/>
                <w:b w:val="1"/>
                <w:bCs w:val="1"/>
                <w:color w:val="auto"/>
                <w:w w:val="97"/>
              </w:rPr>
              <w:t>End</w:t>
            </w:r>
          </w:p>
        </w:tc>
      </w:tr>
      <w:tr>
        <w:trPr>
          <w:trHeight w:val="176"/>
        </w:trPr>
        <w:tc>
          <w:tcPr>
            <w:tcW w:w="334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of Period</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Expenses</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Accounts</w:t>
            </w: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Deductions</w:t>
            </w:r>
          </w:p>
        </w:tc>
        <w:tc>
          <w:tcPr>
            <w:tcW w:w="140" w:type="dxa"/>
            <w:vAlign w:val="bottom"/>
          </w:tcPr>
          <w:p>
            <w:pPr>
              <w:spacing w:after="0"/>
              <w:rPr>
                <w:sz w:val="15"/>
                <w:szCs w:val="15"/>
                <w:color w:val="auto"/>
              </w:rPr>
            </w:pPr>
          </w:p>
        </w:tc>
        <w:tc>
          <w:tcPr>
            <w:tcW w:w="800" w:type="dxa"/>
            <w:vAlign w:val="bottom"/>
          </w:tcPr>
          <w:p>
            <w:pPr>
              <w:jc w:val="center"/>
              <w:ind w:right="81"/>
              <w:spacing w:after="0"/>
              <w:rPr>
                <w:sz w:val="20"/>
                <w:szCs w:val="20"/>
                <w:color w:val="auto"/>
              </w:rPr>
            </w:pPr>
            <w:r>
              <w:rPr>
                <w:rFonts w:ascii="Arial" w:cs="Arial" w:eastAsia="Arial" w:hAnsi="Arial"/>
                <w:sz w:val="13"/>
                <w:szCs w:val="13"/>
                <w:b w:val="1"/>
                <w:bCs w:val="1"/>
                <w:color w:val="auto"/>
                <w:w w:val="92"/>
              </w:rPr>
              <w:t>of Period</w:t>
            </w:r>
          </w:p>
        </w:tc>
      </w:tr>
      <w:tr>
        <w:trPr>
          <w:trHeight w:val="226"/>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 Ended December 31, 2010</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2"/>
        </w:trPr>
        <w:tc>
          <w:tcPr>
            <w:tcW w:w="3340" w:type="dxa"/>
            <w:vAlign w:val="bottom"/>
          </w:tcPr>
          <w:p>
            <w:pPr>
              <w:ind w:left="140"/>
              <w:spacing w:after="0"/>
              <w:rPr>
                <w:sz w:val="20"/>
                <w:szCs w:val="20"/>
                <w:color w:val="auto"/>
              </w:rPr>
            </w:pPr>
            <w:r>
              <w:rPr>
                <w:rFonts w:ascii="Arial" w:cs="Arial" w:eastAsia="Arial" w:hAnsi="Arial"/>
                <w:sz w:val="17"/>
                <w:szCs w:val="17"/>
                <w:color w:val="auto"/>
              </w:rPr>
              <w:t>Reserve for loan losses(1)(2)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1,417,949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
              <w:spacing w:after="0"/>
              <w:rPr>
                <w:sz w:val="20"/>
                <w:szCs w:val="20"/>
                <w:color w:val="auto"/>
              </w:rPr>
            </w:pPr>
            <w:r>
              <w:rPr>
                <w:rFonts w:ascii="Arial" w:cs="Arial" w:eastAsia="Arial" w:hAnsi="Arial"/>
                <w:sz w:val="17"/>
                <w:szCs w:val="17"/>
                <w:color w:val="auto"/>
              </w:rPr>
              <w:t>331,487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8"/>
              </w:rPr>
              <w:t>(934,811)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814,625</w:t>
            </w:r>
          </w:p>
        </w:tc>
      </w:tr>
      <w:tr>
        <w:trPr>
          <w:trHeight w:val="26"/>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Allowance for doubtful accounts(2)</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687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1,376</w:t>
            </w:r>
          </w:p>
        </w:tc>
      </w:tr>
      <w:tr>
        <w:trPr>
          <w:trHeight w:val="222"/>
        </w:trPr>
        <w:tc>
          <w:tcPr>
            <w:tcW w:w="3340" w:type="dxa"/>
            <w:vAlign w:val="bottom"/>
          </w:tcPr>
          <w:p>
            <w:pPr>
              <w:ind w:left="140"/>
              <w:spacing w:after="0"/>
              <w:rPr>
                <w:sz w:val="20"/>
                <w:szCs w:val="20"/>
                <w:color w:val="auto"/>
              </w:rPr>
            </w:pPr>
            <w:r>
              <w:rPr>
                <w:rFonts w:ascii="Arial" w:cs="Arial" w:eastAsia="Arial" w:hAnsi="Arial"/>
                <w:sz w:val="17"/>
                <w:szCs w:val="17"/>
                <w:color w:val="auto"/>
              </w:rPr>
              <w:t>Allowance for deferred tax assets(2)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10,964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29,921</w:t>
            </w:r>
          </w:p>
        </w:tc>
      </w:tr>
      <w:tr>
        <w:trPr>
          <w:trHeight w:val="26"/>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3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1,439,694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332,174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10,964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(936,910)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845,922</w:t>
            </w:r>
          </w:p>
        </w:tc>
      </w:tr>
      <w:tr>
        <w:trPr>
          <w:trHeight w:val="222"/>
        </w:trPr>
        <w:tc>
          <w:tcPr>
            <w:tcW w:w="3340" w:type="dxa"/>
            <w:vAlign w:val="bottom"/>
          </w:tcPr>
          <w:p>
            <w:pPr>
              <w:ind w:left="20"/>
              <w:spacing w:after="0"/>
              <w:rPr>
                <w:sz w:val="20"/>
                <w:szCs w:val="20"/>
                <w:color w:val="auto"/>
              </w:rPr>
            </w:pPr>
            <w:r>
              <w:rPr>
                <w:rFonts w:ascii="Arial" w:cs="Arial" w:eastAsia="Arial" w:hAnsi="Arial"/>
                <w:sz w:val="17"/>
                <w:szCs w:val="17"/>
                <w:b w:val="1"/>
                <w:bCs w:val="1"/>
                <w:color w:val="auto"/>
              </w:rPr>
              <w:t>For the Year Ended December 31, 2011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Reserve for loan losses(1)(2)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814,625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46,412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(214,413)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646,624</w:t>
            </w:r>
          </w:p>
        </w:tc>
      </w:tr>
      <w:tr>
        <w:trPr>
          <w:trHeight w:val="222"/>
        </w:trPr>
        <w:tc>
          <w:tcPr>
            <w:tcW w:w="3340" w:type="dxa"/>
            <w:vAlign w:val="bottom"/>
          </w:tcPr>
          <w:p>
            <w:pPr>
              <w:ind w:left="140"/>
              <w:spacing w:after="0"/>
              <w:rPr>
                <w:sz w:val="20"/>
                <w:szCs w:val="20"/>
                <w:color w:val="auto"/>
              </w:rPr>
            </w:pPr>
            <w:r>
              <w:rPr>
                <w:rFonts w:ascii="Arial" w:cs="Arial" w:eastAsia="Arial" w:hAnsi="Arial"/>
                <w:sz w:val="17"/>
                <w:szCs w:val="17"/>
                <w:color w:val="auto"/>
              </w:rPr>
              <w:t>Allowance for doubtful accounts(2)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7"/>
                <w:szCs w:val="17"/>
                <w:color w:val="auto"/>
              </w:rPr>
              <w:t>2,292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3,668</w:t>
            </w:r>
          </w:p>
        </w:tc>
      </w:tr>
      <w:tr>
        <w:trPr>
          <w:trHeight w:val="26"/>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Allowance for deferred tax assets(2)</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40,936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50,889</w:t>
            </w:r>
          </w:p>
        </w:tc>
      </w:tr>
      <w:tr>
        <w:trPr>
          <w:trHeight w:val="214"/>
        </w:trPr>
        <w:tc>
          <w:tcPr>
            <w:tcW w:w="3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845,922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rPr>
              <w:t>28,736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rPr>
              <w:t>40,936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(214,413)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701,181</w:t>
            </w:r>
          </w:p>
        </w:tc>
      </w:tr>
      <w:tr>
        <w:trPr>
          <w:trHeight w:val="26"/>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 Ended December 31, 2012</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22"/>
        </w:trPr>
        <w:tc>
          <w:tcPr>
            <w:tcW w:w="3340" w:type="dxa"/>
            <w:vAlign w:val="bottom"/>
          </w:tcPr>
          <w:p>
            <w:pPr>
              <w:ind w:left="140"/>
              <w:spacing w:after="0"/>
              <w:rPr>
                <w:sz w:val="20"/>
                <w:szCs w:val="20"/>
                <w:color w:val="auto"/>
              </w:rPr>
            </w:pPr>
            <w:r>
              <w:rPr>
                <w:rFonts w:ascii="Arial" w:cs="Arial" w:eastAsia="Arial" w:hAnsi="Arial"/>
                <w:sz w:val="17"/>
                <w:szCs w:val="17"/>
                <w:color w:val="auto"/>
              </w:rPr>
              <w:t>Reserve for loan losses(1)(2)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646,624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
              <w:spacing w:after="0"/>
              <w:rPr>
                <w:sz w:val="20"/>
                <w:szCs w:val="20"/>
                <w:color w:val="auto"/>
              </w:rPr>
            </w:pPr>
            <w:r>
              <w:rPr>
                <w:rFonts w:ascii="Arial" w:cs="Arial" w:eastAsia="Arial" w:hAnsi="Arial"/>
                <w:sz w:val="17"/>
                <w:szCs w:val="17"/>
                <w:color w:val="auto"/>
              </w:rPr>
              <w:t>81,740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8"/>
              </w:rPr>
              <w:t>(203,865)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524,499</w:t>
            </w:r>
          </w:p>
        </w:tc>
      </w:tr>
      <w:tr>
        <w:trPr>
          <w:trHeight w:val="26"/>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Allowance for doubtful accounts(2)</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1,928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5,596</w:t>
            </w:r>
          </w:p>
        </w:tc>
      </w:tr>
      <w:tr>
        <w:trPr>
          <w:trHeight w:val="222"/>
        </w:trPr>
        <w:tc>
          <w:tcPr>
            <w:tcW w:w="3340" w:type="dxa"/>
            <w:vAlign w:val="bottom"/>
          </w:tcPr>
          <w:p>
            <w:pPr>
              <w:ind w:left="140"/>
              <w:spacing w:after="0"/>
              <w:rPr>
                <w:sz w:val="20"/>
                <w:szCs w:val="20"/>
                <w:color w:val="auto"/>
              </w:rPr>
            </w:pPr>
            <w:r>
              <w:rPr>
                <w:rFonts w:ascii="Arial" w:cs="Arial" w:eastAsia="Arial" w:hAnsi="Arial"/>
                <w:sz w:val="17"/>
                <w:szCs w:val="17"/>
                <w:color w:val="auto"/>
              </w:rPr>
              <w:t>Allowance for deferred tax assets(2)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40,880</w:t>
            </w:r>
          </w:p>
        </w:tc>
      </w:tr>
      <w:tr>
        <w:trPr>
          <w:trHeight w:val="26"/>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6"/>
        </w:trPr>
        <w:tc>
          <w:tcPr>
            <w:tcW w:w="3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701,181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73,835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(203,865)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570,975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See Note 5 to the Company's Consolidated Financial Statements.</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51"/>
        </w:numPr>
        <w:rPr>
          <w:rFonts w:ascii="Arial" w:cs="Arial" w:eastAsia="Arial" w:hAnsi="Arial"/>
          <w:sz w:val="13"/>
          <w:szCs w:val="13"/>
          <w:color w:val="auto"/>
        </w:rPr>
      </w:pPr>
      <w:r>
        <w:rPr>
          <w:rFonts w:ascii="Arial" w:cs="Arial" w:eastAsia="Arial" w:hAnsi="Arial"/>
          <w:sz w:val="13"/>
          <w:szCs w:val="13"/>
          <w:color w:val="auto"/>
        </w:rPr>
        <w:t>See Note 3 to the Company's Consolidated Financial Statements.</w:t>
      </w:r>
    </w:p>
    <w:p>
      <w:pPr>
        <w:spacing w:after="0" w:line="217" w:lineRule="exact"/>
        <w:rPr>
          <w:sz w:val="20"/>
          <w:szCs w:val="20"/>
          <w:color w:val="auto"/>
        </w:rPr>
      </w:pPr>
    </w:p>
    <w:p>
      <w:pPr>
        <w:ind w:left="5601"/>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220"/>
          </w:cols>
          <w:pgMar w:left="239" w:top="120" w:right="1440" w:bottom="1440" w:gutter="0" w:footer="0" w:header="0"/>
        </w:sectPr>
      </w:pPr>
    </w:p>
    <w:bookmarkStart w:id="101" w:name="page102"/>
    <w:bookmarkEnd w:id="101"/>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0" w:type="dxa"/>
            <w:vAlign w:val="bottom"/>
            <w:gridSpan w:val="6"/>
          </w:tcPr>
          <w:p>
            <w:pPr>
              <w:jc w:val="right"/>
              <w:ind w:right="14"/>
              <w:spacing w:after="0"/>
              <w:rPr>
                <w:sz w:val="20"/>
                <w:szCs w:val="20"/>
                <w:color w:val="auto"/>
              </w:rPr>
            </w:pPr>
            <w:r>
              <w:rPr>
                <w:rFonts w:ascii="Arial" w:cs="Arial" w:eastAsia="Arial" w:hAnsi="Arial"/>
                <w:sz w:val="13"/>
                <w:szCs w:val="13"/>
                <w:b w:val="1"/>
                <w:bCs w:val="1"/>
                <w:color w:val="auto"/>
                <w:w w:val="93"/>
              </w:rPr>
              <w:t>Gross Amount Carried</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2"/>
        </w:trPr>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Initial Cost to Company</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Cost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at Close of Period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21"/>
        </w:trPr>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Capitalized</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9"/>
              </w:rPr>
              <w:t>Depreciable</w:t>
            </w:r>
          </w:p>
        </w:tc>
      </w:tr>
      <w:tr>
        <w:trPr>
          <w:trHeight w:val="137"/>
        </w:trPr>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91"/>
              </w:rPr>
              <w:t>Building and</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88"/>
              </w:rPr>
              <w:t>Subsequent to</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93"/>
              </w:rPr>
              <w:t>Building and</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9"/>
              </w:rPr>
              <w:t>Date</w:t>
            </w:r>
          </w:p>
        </w:tc>
        <w:tc>
          <w:tcPr>
            <w:tcW w:w="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Life</w:t>
            </w:r>
          </w:p>
        </w:tc>
      </w:tr>
      <w:tr>
        <w:trPr>
          <w:trHeight w:val="176"/>
        </w:trPr>
        <w:tc>
          <w:tcPr>
            <w:tcW w:w="920" w:type="dxa"/>
            <w:vAlign w:val="bottom"/>
          </w:tcPr>
          <w:p>
            <w:pPr>
              <w:ind w:left="20"/>
              <w:spacing w:after="0"/>
              <w:rPr>
                <w:sz w:val="20"/>
                <w:szCs w:val="20"/>
                <w:color w:val="auto"/>
              </w:rPr>
            </w:pPr>
            <w:r>
              <w:rPr>
                <w:rFonts w:ascii="Arial" w:cs="Arial" w:eastAsia="Arial" w:hAnsi="Arial"/>
                <w:sz w:val="13"/>
                <w:szCs w:val="13"/>
                <w:b w:val="1"/>
                <w:bCs w:val="1"/>
                <w:color w:val="auto"/>
              </w:rPr>
              <w:t>State</w:t>
            </w:r>
          </w:p>
        </w:tc>
        <w:tc>
          <w:tcPr>
            <w:tcW w:w="760" w:type="dxa"/>
            <w:vAlign w:val="bottom"/>
          </w:tcPr>
          <w:p>
            <w:pPr>
              <w:spacing w:after="0"/>
              <w:rPr>
                <w:sz w:val="15"/>
                <w:szCs w:val="15"/>
                <w:color w:val="auto"/>
              </w:rPr>
            </w:pPr>
          </w:p>
        </w:tc>
        <w:tc>
          <w:tcPr>
            <w:tcW w:w="8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w w:val="97"/>
              </w:rPr>
              <w:t>Encumbrances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Land</w:t>
            </w:r>
          </w:p>
        </w:tc>
        <w:tc>
          <w:tcPr>
            <w:tcW w:w="10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Improvements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Acquisition</w:t>
            </w:r>
          </w:p>
        </w:tc>
        <w:tc>
          <w:tcPr>
            <w:tcW w:w="18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auto"/>
              </w:rPr>
              <w:t>Land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Improvements</w:t>
            </w: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w w:val="98"/>
              </w:rPr>
              <w:t>Depreciation</w:t>
            </w:r>
          </w:p>
        </w:tc>
        <w:tc>
          <w:tcPr>
            <w:tcW w:w="10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Acquired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(Years)</w:t>
            </w:r>
          </w:p>
        </w:tc>
      </w:tr>
      <w:tr>
        <w:trPr>
          <w:trHeight w:val="234"/>
        </w:trPr>
        <w:tc>
          <w:tcPr>
            <w:tcW w:w="1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OFFICE FACILITIES:</w:t>
            </w:r>
          </w:p>
        </w:tc>
        <w:tc>
          <w:tcPr>
            <w:tcW w:w="2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tcPr>
          <w:p>
            <w:pPr>
              <w:ind w:left="120"/>
              <w:spacing w:after="0"/>
              <w:rPr>
                <w:sz w:val="20"/>
                <w:szCs w:val="20"/>
                <w:color w:val="auto"/>
              </w:rPr>
            </w:pPr>
            <w:r>
              <w:rPr>
                <w:rFonts w:ascii="Arial" w:cs="Arial" w:eastAsia="Arial" w:hAnsi="Arial"/>
                <w:sz w:val="13"/>
                <w:szCs w:val="13"/>
                <w:color w:val="auto"/>
              </w:rPr>
              <w:t>OAZ006</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10,780</w:t>
            </w:r>
          </w:p>
        </w:tc>
        <w:tc>
          <w:tcPr>
            <w:tcW w:w="10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43,120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10,780</w:t>
            </w:r>
          </w:p>
        </w:tc>
        <w:tc>
          <w:tcPr>
            <w:tcW w:w="240" w:type="dxa"/>
            <w:vAlign w:val="bottom"/>
            <w:gridSpan w:val="3"/>
          </w:tcPr>
          <w:p>
            <w:pPr>
              <w:ind w:left="16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43,120</w:t>
            </w:r>
          </w:p>
        </w:tc>
        <w:tc>
          <w:tcPr>
            <w:tcW w:w="100" w:type="dxa"/>
            <w:vAlign w:val="bottom"/>
          </w:tcPr>
          <w:p>
            <w:pPr>
              <w:spacing w:after="0"/>
              <w:rPr>
                <w:sz w:val="21"/>
                <w:szCs w:val="21"/>
                <w:color w:val="auto"/>
              </w:rPr>
            </w:pP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53,900</w:t>
            </w:r>
          </w:p>
        </w:tc>
        <w:tc>
          <w:tcPr>
            <w:tcW w:w="240" w:type="dxa"/>
            <w:vAlign w:val="bottom"/>
          </w:tcPr>
          <w:p>
            <w:pPr>
              <w:spacing w:after="0"/>
              <w:rPr>
                <w:sz w:val="21"/>
                <w:szCs w:val="21"/>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4,901</w:t>
            </w:r>
          </w:p>
        </w:tc>
        <w:tc>
          <w:tcPr>
            <w:tcW w:w="740" w:type="dxa"/>
            <w:vAlign w:val="bottom"/>
            <w:gridSpan w:val="2"/>
          </w:tcPr>
          <w:p>
            <w:pPr>
              <w:jc w:val="center"/>
              <w:ind w:left="54"/>
              <w:spacing w:after="0"/>
              <w:rPr>
                <w:sz w:val="20"/>
                <w:szCs w:val="20"/>
                <w:color w:val="auto"/>
              </w:rPr>
            </w:pPr>
            <w:r>
              <w:rPr>
                <w:rFonts w:ascii="Arial" w:cs="Arial" w:eastAsia="Arial" w:hAnsi="Arial"/>
                <w:sz w:val="13"/>
                <w:szCs w:val="13"/>
                <w:color w:val="auto"/>
                <w:w w:val="89"/>
              </w:rPr>
              <w:t>2011</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OAZ001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12,188</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3,746</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tcPr>
          <w:p>
            <w:pPr>
              <w:ind w:left="120"/>
              <w:spacing w:after="0"/>
              <w:rPr>
                <w:sz w:val="20"/>
                <w:szCs w:val="20"/>
                <w:color w:val="auto"/>
              </w:rPr>
            </w:pPr>
            <w:r>
              <w:rPr>
                <w:rFonts w:ascii="Arial" w:cs="Arial" w:eastAsia="Arial" w:hAnsi="Arial"/>
                <w:sz w:val="13"/>
                <w:szCs w:val="13"/>
                <w:color w:val="auto"/>
              </w:rPr>
              <w:t>OAZ002</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8,636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2,210</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OAZ003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7,890</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2,245</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tcPr>
          <w:p>
            <w:pPr>
              <w:ind w:left="120"/>
              <w:spacing w:after="0"/>
              <w:rPr>
                <w:sz w:val="20"/>
                <w:szCs w:val="20"/>
                <w:color w:val="auto"/>
              </w:rPr>
            </w:pPr>
            <w:r>
              <w:rPr>
                <w:rFonts w:ascii="Arial" w:cs="Arial" w:eastAsia="Arial" w:hAnsi="Arial"/>
                <w:sz w:val="13"/>
                <w:szCs w:val="13"/>
                <w:color w:val="auto"/>
              </w:rPr>
              <w:t>OAZ004</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10,154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4,473</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OAZ005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5,040</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60" w:type="dxa"/>
            <w:vAlign w:val="bottom"/>
          </w:tcPr>
          <w:p>
            <w:pPr>
              <w:ind w:left="120"/>
              <w:spacing w:after="0"/>
              <w:rPr>
                <w:sz w:val="20"/>
                <w:szCs w:val="20"/>
                <w:color w:val="auto"/>
              </w:rPr>
            </w:pPr>
            <w:r>
              <w:rPr>
                <w:rFonts w:ascii="Arial" w:cs="Arial" w:eastAsia="Arial" w:hAnsi="Arial"/>
                <w:sz w:val="13"/>
                <w:szCs w:val="13"/>
                <w:color w:val="auto"/>
              </w:rPr>
              <w:t>OCA002</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10,799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1,663</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2002</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OCO001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24,193</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6,852</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Colorado</w:t>
            </w:r>
          </w:p>
        </w:tc>
        <w:tc>
          <w:tcPr>
            <w:tcW w:w="760" w:type="dxa"/>
            <w:vAlign w:val="bottom"/>
          </w:tcPr>
          <w:p>
            <w:pPr>
              <w:ind w:left="120"/>
              <w:spacing w:after="0"/>
              <w:rPr>
                <w:sz w:val="20"/>
                <w:szCs w:val="20"/>
                <w:color w:val="auto"/>
              </w:rPr>
            </w:pPr>
            <w:r>
              <w:rPr>
                <w:rFonts w:ascii="Arial" w:cs="Arial" w:eastAsia="Arial" w:hAnsi="Arial"/>
                <w:sz w:val="13"/>
                <w:szCs w:val="13"/>
                <w:color w:val="auto"/>
              </w:rPr>
              <w:t>OCO002</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6,657</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16,800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4,515</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2002</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OFL001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18,706</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2010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Georgia</w:t>
            </w:r>
          </w:p>
        </w:tc>
        <w:tc>
          <w:tcPr>
            <w:tcW w:w="760" w:type="dxa"/>
            <w:vAlign w:val="bottom"/>
          </w:tcPr>
          <w:p>
            <w:pPr>
              <w:ind w:left="120"/>
              <w:spacing w:after="0"/>
              <w:rPr>
                <w:sz w:val="20"/>
                <w:szCs w:val="20"/>
                <w:color w:val="auto"/>
              </w:rPr>
            </w:pPr>
            <w:r>
              <w:rPr>
                <w:rFonts w:ascii="Arial" w:cs="Arial" w:eastAsia="Arial" w:hAnsi="Arial"/>
                <w:sz w:val="13"/>
                <w:szCs w:val="13"/>
                <w:color w:val="auto"/>
              </w:rPr>
              <w:t>OGA001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7,681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2,479</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Georgia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OGA002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49,091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79,624</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23,200</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Illinois</w:t>
            </w:r>
          </w:p>
        </w:tc>
        <w:tc>
          <w:tcPr>
            <w:tcW w:w="760" w:type="dxa"/>
            <w:vAlign w:val="bottom"/>
          </w:tcPr>
          <w:p>
            <w:pPr>
              <w:ind w:left="120"/>
              <w:spacing w:after="0"/>
              <w:rPr>
                <w:sz w:val="20"/>
                <w:szCs w:val="20"/>
                <w:color w:val="auto"/>
              </w:rPr>
            </w:pPr>
            <w:r>
              <w:rPr>
                <w:rFonts w:ascii="Arial" w:cs="Arial" w:eastAsia="Arial" w:hAnsi="Arial"/>
                <w:sz w:val="13"/>
                <w:szCs w:val="13"/>
                <w:color w:val="auto"/>
              </w:rPr>
              <w:t>OIL001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8,811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OMD001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20,963</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5,027</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2002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Massachusetts</w:t>
            </w:r>
          </w:p>
        </w:tc>
        <w:tc>
          <w:tcPr>
            <w:tcW w:w="760" w:type="dxa"/>
            <w:vAlign w:val="bottom"/>
          </w:tcPr>
          <w:p>
            <w:pPr>
              <w:ind w:left="120"/>
              <w:spacing w:after="0"/>
              <w:rPr>
                <w:sz w:val="20"/>
                <w:szCs w:val="20"/>
                <w:color w:val="auto"/>
              </w:rPr>
            </w:pPr>
            <w:r>
              <w:rPr>
                <w:rFonts w:ascii="Arial" w:cs="Arial" w:eastAsia="Arial" w:hAnsi="Arial"/>
                <w:sz w:val="13"/>
                <w:szCs w:val="13"/>
                <w:color w:val="auto"/>
              </w:rPr>
              <w:t>OMA001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14,203</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21,947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23,823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5,971</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2002</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OMI001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148,866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173,181</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45,419</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2007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New Jersey</w:t>
            </w:r>
          </w:p>
        </w:tc>
        <w:tc>
          <w:tcPr>
            <w:tcW w:w="760" w:type="dxa"/>
            <w:vAlign w:val="bottom"/>
          </w:tcPr>
          <w:p>
            <w:pPr>
              <w:ind w:left="120"/>
              <w:spacing w:after="0"/>
              <w:rPr>
                <w:sz w:val="20"/>
                <w:szCs w:val="20"/>
                <w:color w:val="auto"/>
              </w:rPr>
            </w:pPr>
            <w:r>
              <w:rPr>
                <w:rFonts w:ascii="Arial" w:cs="Arial" w:eastAsia="Arial" w:hAnsi="Arial"/>
                <w:sz w:val="13"/>
                <w:szCs w:val="13"/>
                <w:color w:val="auto"/>
              </w:rPr>
              <w:t>ONJ001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54,312</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74,429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82,165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18,725</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2002</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Jersey</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ONJ002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17,744</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4,189</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2004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New Jersey</w:t>
            </w:r>
          </w:p>
        </w:tc>
        <w:tc>
          <w:tcPr>
            <w:tcW w:w="760" w:type="dxa"/>
            <w:vAlign w:val="bottom"/>
          </w:tcPr>
          <w:p>
            <w:pPr>
              <w:ind w:left="120"/>
              <w:spacing w:after="0"/>
              <w:rPr>
                <w:sz w:val="20"/>
                <w:szCs w:val="20"/>
                <w:color w:val="auto"/>
              </w:rPr>
            </w:pPr>
            <w:r>
              <w:rPr>
                <w:rFonts w:ascii="Arial" w:cs="Arial" w:eastAsia="Arial" w:hAnsi="Arial"/>
                <w:sz w:val="13"/>
                <w:szCs w:val="13"/>
                <w:color w:val="auto"/>
              </w:rPr>
              <w:t>ONJ003</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18,740</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34,935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37,896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8,732</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2004</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OPA001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26,739</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7,354</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2001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Tennessee</w:t>
            </w:r>
          </w:p>
        </w:tc>
        <w:tc>
          <w:tcPr>
            <w:tcW w:w="760" w:type="dxa"/>
            <w:vAlign w:val="bottom"/>
          </w:tcPr>
          <w:p>
            <w:pPr>
              <w:ind w:left="120"/>
              <w:spacing w:after="0"/>
              <w:rPr>
                <w:sz w:val="20"/>
                <w:szCs w:val="20"/>
                <w:color w:val="auto"/>
              </w:rPr>
            </w:pPr>
            <w:r>
              <w:rPr>
                <w:rFonts w:ascii="Arial" w:cs="Arial" w:eastAsia="Arial" w:hAnsi="Arial"/>
                <w:sz w:val="13"/>
                <w:szCs w:val="13"/>
                <w:color w:val="auto"/>
              </w:rPr>
              <w:t>OTN001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25,129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10,767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7,878</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OTX001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17,641</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4,485</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Texas</w:t>
            </w:r>
          </w:p>
        </w:tc>
        <w:tc>
          <w:tcPr>
            <w:tcW w:w="760" w:type="dxa"/>
            <w:vAlign w:val="bottom"/>
          </w:tcPr>
          <w:p>
            <w:pPr>
              <w:ind w:left="120"/>
              <w:spacing w:after="0"/>
              <w:rPr>
                <w:sz w:val="20"/>
                <w:szCs w:val="20"/>
                <w:color w:val="auto"/>
              </w:rPr>
            </w:pPr>
            <w:r>
              <w:rPr>
                <w:rFonts w:ascii="Arial" w:cs="Arial" w:eastAsia="Arial" w:hAnsi="Arial"/>
                <w:sz w:val="13"/>
                <w:szCs w:val="13"/>
                <w:color w:val="auto"/>
              </w:rPr>
              <w:t>OTX002</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15,160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16,429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4,716</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OTX003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42,124</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12,982</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Texas</w:t>
            </w:r>
          </w:p>
        </w:tc>
        <w:tc>
          <w:tcPr>
            <w:tcW w:w="760" w:type="dxa"/>
            <w:vAlign w:val="bottom"/>
          </w:tcPr>
          <w:p>
            <w:pPr>
              <w:ind w:left="120"/>
              <w:spacing w:after="0"/>
              <w:rPr>
                <w:sz w:val="20"/>
                <w:szCs w:val="20"/>
                <w:color w:val="auto"/>
              </w:rPr>
            </w:pPr>
            <w:r>
              <w:rPr>
                <w:rFonts w:ascii="Arial" w:cs="Arial" w:eastAsia="Arial" w:hAnsi="Arial"/>
                <w:sz w:val="13"/>
                <w:szCs w:val="13"/>
                <w:color w:val="auto"/>
              </w:rPr>
              <w:t>OTX004</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7,373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1,983</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48"/>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Wisconsin</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OWI001</w:t>
            </w: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13,914</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9,642</w:t>
            </w: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4,450</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28"/>
        </w:trPr>
        <w:tc>
          <w:tcPr>
            <w:tcW w:w="920" w:type="dxa"/>
            <w:vAlign w:val="bottom"/>
          </w:tcPr>
          <w:p>
            <w:pPr>
              <w:ind w:left="20"/>
              <w:spacing w:after="0"/>
              <w:rPr>
                <w:sz w:val="20"/>
                <w:szCs w:val="20"/>
                <w:color w:val="auto"/>
              </w:rPr>
            </w:pPr>
            <w:r>
              <w:rPr>
                <w:rFonts w:ascii="Arial" w:cs="Arial" w:eastAsia="Arial" w:hAnsi="Arial"/>
                <w:sz w:val="13"/>
                <w:szCs w:val="13"/>
                <w:color w:val="auto"/>
              </w:rPr>
              <w:t>Subtotal</w:t>
            </w:r>
          </w:p>
        </w:tc>
        <w:tc>
          <w:tcPr>
            <w:tcW w:w="76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118,924</w:t>
            </w:r>
          </w:p>
        </w:tc>
        <w:tc>
          <w:tcPr>
            <w:tcW w:w="420" w:type="dxa"/>
            <w:vAlign w:val="bottom"/>
          </w:tcPr>
          <w:p>
            <w:pPr>
              <w:spacing w:after="0"/>
              <w:rPr>
                <w:sz w:val="19"/>
                <w:szCs w:val="19"/>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69,262</w:t>
            </w:r>
          </w:p>
        </w:tc>
        <w:tc>
          <w:tcPr>
            <w:tcW w:w="10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644,729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36,918</w:t>
            </w:r>
          </w:p>
        </w:tc>
        <w:tc>
          <w:tcPr>
            <w:tcW w:w="10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70,269</w:t>
            </w:r>
          </w:p>
        </w:tc>
        <w:tc>
          <w:tcPr>
            <w:tcW w:w="240" w:type="dxa"/>
            <w:vAlign w:val="bottom"/>
            <w:gridSpan w:val="3"/>
          </w:tcPr>
          <w:p>
            <w:pPr>
              <w:ind w:left="16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680,640</w:t>
            </w:r>
          </w:p>
        </w:tc>
        <w:tc>
          <w:tcPr>
            <w:tcW w:w="10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750,909</w:t>
            </w:r>
          </w:p>
        </w:tc>
        <w:tc>
          <w:tcPr>
            <w:tcW w:w="240" w:type="dxa"/>
            <w:vAlign w:val="bottom"/>
          </w:tcPr>
          <w:p>
            <w:pPr>
              <w:spacing w:after="0"/>
              <w:rPr>
                <w:sz w:val="19"/>
                <w:szCs w:val="19"/>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190,629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1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INDUSTRIAL FACILITIES:</w:t>
            </w:r>
          </w:p>
        </w:tc>
        <w:tc>
          <w:tcPr>
            <w:tcW w:w="2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tcPr>
          <w:p>
            <w:pPr>
              <w:ind w:left="120"/>
              <w:spacing w:after="0"/>
              <w:rPr>
                <w:sz w:val="20"/>
                <w:szCs w:val="20"/>
                <w:color w:val="auto"/>
              </w:rPr>
            </w:pPr>
            <w:r>
              <w:rPr>
                <w:rFonts w:ascii="Arial" w:cs="Arial" w:eastAsia="Arial" w:hAnsi="Arial"/>
                <w:sz w:val="13"/>
                <w:szCs w:val="13"/>
                <w:color w:val="auto"/>
              </w:rPr>
              <w:t>IAZ001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10,607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597</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2009</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IAZ002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9,529</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2009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60" w:type="dxa"/>
            <w:vAlign w:val="bottom"/>
          </w:tcPr>
          <w:p>
            <w:pPr>
              <w:ind w:left="120"/>
              <w:spacing w:after="0"/>
              <w:rPr>
                <w:sz w:val="20"/>
                <w:szCs w:val="20"/>
                <w:color w:val="auto"/>
              </w:rPr>
            </w:pPr>
            <w:r>
              <w:rPr>
                <w:rFonts w:ascii="Arial" w:cs="Arial" w:eastAsia="Arial" w:hAnsi="Arial"/>
                <w:sz w:val="13"/>
                <w:szCs w:val="13"/>
                <w:color w:val="auto"/>
              </w:rPr>
              <w:t>ICA001</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18,312</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11,635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19,515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11,635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37,093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3,224</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2007</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ICA003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2006</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2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60" w:type="dxa"/>
            <w:vAlign w:val="bottom"/>
          </w:tcPr>
          <w:p>
            <w:pPr>
              <w:ind w:left="120"/>
              <w:spacing w:after="0"/>
              <w:rPr>
                <w:sz w:val="20"/>
                <w:szCs w:val="20"/>
                <w:color w:val="auto"/>
              </w:rPr>
            </w:pPr>
            <w:r>
              <w:rPr>
                <w:rFonts w:ascii="Arial" w:cs="Arial" w:eastAsia="Arial" w:hAnsi="Arial"/>
                <w:sz w:val="13"/>
                <w:szCs w:val="13"/>
                <w:color w:val="auto"/>
              </w:rPr>
              <w:t>ICA004</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2,752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158</w:t>
            </w:r>
          </w:p>
        </w:tc>
        <w:tc>
          <w:tcPr>
            <w:tcW w:w="740" w:type="dxa"/>
            <w:vAlign w:val="bottom"/>
            <w:gridSpan w:val="2"/>
          </w:tcPr>
          <w:p>
            <w:pPr>
              <w:jc w:val="center"/>
              <w:ind w:left="34"/>
              <w:spacing w:after="0"/>
              <w:rPr>
                <w:sz w:val="20"/>
                <w:szCs w:val="20"/>
                <w:color w:val="auto"/>
              </w:rPr>
            </w:pPr>
            <w:r>
              <w:rPr>
                <w:rFonts w:ascii="Arial" w:cs="Arial" w:eastAsia="Arial" w:hAnsi="Arial"/>
                <w:sz w:val="13"/>
                <w:szCs w:val="13"/>
                <w:color w:val="auto"/>
                <w:w w:val="96"/>
              </w:rPr>
              <w:t>2006</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ICA005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7,289</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w:t>
            </w:r>
          </w:p>
        </w:tc>
        <w:tc>
          <w:tcPr>
            <w:tcW w:w="7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w w:val="96"/>
              </w:rPr>
              <w:t>1999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520"/>
          </w:cols>
          <w:pgMar w:left="240" w:top="247" w:right="139" w:bottom="1440" w:gutter="0" w:footer="0" w:header="0"/>
        </w:sectPr>
      </w:pPr>
    </w:p>
    <w:bookmarkStart w:id="102" w:name="page103"/>
    <w:bookmarkEnd w:id="102"/>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ICA006</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11,926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3,566</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ICA007</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20,797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ICA008</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6,856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16,878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2,626</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2002</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ICA009</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3,181</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ICA010</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11,580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1,964</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2002</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ICA011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8,462</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2002</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ICA012</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9,636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1,609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2002</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ICA013</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6,142</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2002</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ICA014</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12,133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2,002</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2002</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ICA015</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17,995</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5,116</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2002</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ICA016</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28,000</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52,499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12,982</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ICA017</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Colorado</w:t>
            </w:r>
          </w:p>
        </w:tc>
        <w:tc>
          <w:tcPr>
            <w:tcW w:w="780" w:type="dxa"/>
            <w:vAlign w:val="bottom"/>
          </w:tcPr>
          <w:p>
            <w:pPr>
              <w:ind w:left="120"/>
              <w:spacing w:after="0"/>
              <w:rPr>
                <w:sz w:val="20"/>
                <w:szCs w:val="20"/>
                <w:color w:val="auto"/>
              </w:rPr>
            </w:pPr>
            <w:r>
              <w:rPr>
                <w:rFonts w:ascii="Arial" w:cs="Arial" w:eastAsia="Arial" w:hAnsi="Arial"/>
                <w:sz w:val="13"/>
                <w:szCs w:val="13"/>
                <w:color w:val="auto"/>
              </w:rPr>
              <w:t>ICO001</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2,211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220</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2006</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IFL001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2006</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Florida</w:t>
            </w:r>
          </w:p>
        </w:tc>
        <w:tc>
          <w:tcPr>
            <w:tcW w:w="780" w:type="dxa"/>
            <w:vAlign w:val="bottom"/>
          </w:tcPr>
          <w:p>
            <w:pPr>
              <w:ind w:left="120"/>
              <w:spacing w:after="0"/>
              <w:rPr>
                <w:sz w:val="20"/>
                <w:szCs w:val="20"/>
                <w:color w:val="auto"/>
              </w:rPr>
            </w:pPr>
            <w:r>
              <w:rPr>
                <w:rFonts w:ascii="Arial" w:cs="Arial" w:eastAsia="Arial" w:hAnsi="Arial"/>
                <w:sz w:val="13"/>
                <w:szCs w:val="13"/>
                <w:color w:val="auto"/>
              </w:rPr>
              <w:t>IFL002</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15,864</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32,635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3,339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IFL004</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2,856</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Florida</w:t>
            </w:r>
          </w:p>
        </w:tc>
        <w:tc>
          <w:tcPr>
            <w:tcW w:w="780" w:type="dxa"/>
            <w:vAlign w:val="bottom"/>
          </w:tcPr>
          <w:p>
            <w:pPr>
              <w:ind w:left="120"/>
              <w:spacing w:after="0"/>
              <w:rPr>
                <w:sz w:val="20"/>
                <w:szCs w:val="20"/>
                <w:color w:val="auto"/>
              </w:rPr>
            </w:pPr>
            <w:r>
              <w:rPr>
                <w:rFonts w:ascii="Arial" w:cs="Arial" w:eastAsia="Arial" w:hAnsi="Arial"/>
                <w:sz w:val="13"/>
                <w:szCs w:val="13"/>
                <w:color w:val="auto"/>
              </w:rPr>
              <w:t>IFL005</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4,790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570</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IFL006</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Georgia</w:t>
            </w:r>
          </w:p>
        </w:tc>
        <w:tc>
          <w:tcPr>
            <w:tcW w:w="780" w:type="dxa"/>
            <w:vAlign w:val="bottom"/>
          </w:tcPr>
          <w:p>
            <w:pPr>
              <w:ind w:left="120"/>
              <w:spacing w:after="0"/>
              <w:rPr>
                <w:sz w:val="20"/>
                <w:szCs w:val="20"/>
                <w:color w:val="auto"/>
              </w:rPr>
            </w:pPr>
            <w:r>
              <w:rPr>
                <w:rFonts w:ascii="Arial" w:cs="Arial" w:eastAsia="Arial" w:hAnsi="Arial"/>
                <w:sz w:val="13"/>
                <w:szCs w:val="13"/>
                <w:color w:val="auto"/>
              </w:rPr>
              <w:t>IGA001</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13,807</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27,777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3,239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Hawaii</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IHI001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31,306</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Indiana</w:t>
            </w:r>
          </w:p>
        </w:tc>
        <w:tc>
          <w:tcPr>
            <w:tcW w:w="780" w:type="dxa"/>
            <w:vAlign w:val="bottom"/>
          </w:tcPr>
          <w:p>
            <w:pPr>
              <w:ind w:left="120"/>
              <w:spacing w:after="0"/>
              <w:rPr>
                <w:sz w:val="20"/>
                <w:szCs w:val="20"/>
                <w:color w:val="auto"/>
              </w:rPr>
            </w:pPr>
            <w:r>
              <w:rPr>
                <w:rFonts w:ascii="Arial" w:cs="Arial" w:eastAsia="Arial" w:hAnsi="Arial"/>
                <w:sz w:val="13"/>
                <w:szCs w:val="13"/>
                <w:color w:val="auto"/>
              </w:rPr>
              <w:t>IIN001</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9,686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1,719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Massachusetts</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IMA001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40,192</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Michigan</w:t>
            </w:r>
          </w:p>
        </w:tc>
        <w:tc>
          <w:tcPr>
            <w:tcW w:w="780" w:type="dxa"/>
            <w:vAlign w:val="bottom"/>
          </w:tcPr>
          <w:p>
            <w:pPr>
              <w:ind w:left="120"/>
              <w:spacing w:after="0"/>
              <w:rPr>
                <w:sz w:val="20"/>
                <w:szCs w:val="20"/>
                <w:color w:val="auto"/>
              </w:rPr>
            </w:pPr>
            <w:r>
              <w:rPr>
                <w:rFonts w:ascii="Arial" w:cs="Arial" w:eastAsia="Arial" w:hAnsi="Arial"/>
                <w:sz w:val="13"/>
                <w:szCs w:val="13"/>
                <w:color w:val="auto"/>
              </w:rPr>
              <w:t>IMI001</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10,413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1,848</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Minnesota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IMN001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Minnesota</w:t>
            </w:r>
          </w:p>
        </w:tc>
        <w:tc>
          <w:tcPr>
            <w:tcW w:w="780" w:type="dxa"/>
            <w:vAlign w:val="bottom"/>
          </w:tcPr>
          <w:p>
            <w:pPr>
              <w:ind w:left="120"/>
              <w:spacing w:after="0"/>
              <w:rPr>
                <w:sz w:val="20"/>
                <w:szCs w:val="20"/>
                <w:color w:val="auto"/>
              </w:rPr>
            </w:pPr>
            <w:r>
              <w:rPr>
                <w:rFonts w:ascii="Arial" w:cs="Arial" w:eastAsia="Arial" w:hAnsi="Arial"/>
                <w:sz w:val="13"/>
                <w:szCs w:val="13"/>
                <w:color w:val="auto"/>
              </w:rPr>
              <w:t>IMN002</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17,690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24,395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3,594</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2005</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INC001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Jersey</w:t>
            </w:r>
          </w:p>
        </w:tc>
        <w:tc>
          <w:tcPr>
            <w:tcW w:w="780" w:type="dxa"/>
            <w:vAlign w:val="bottom"/>
          </w:tcPr>
          <w:p>
            <w:pPr>
              <w:ind w:left="120"/>
              <w:spacing w:after="0"/>
              <w:rPr>
                <w:sz w:val="20"/>
                <w:szCs w:val="20"/>
                <w:color w:val="auto"/>
              </w:rPr>
            </w:pPr>
            <w:r>
              <w:rPr>
                <w:rFonts w:ascii="Arial" w:cs="Arial" w:eastAsia="Arial" w:hAnsi="Arial"/>
                <w:sz w:val="13"/>
                <w:szCs w:val="13"/>
                <w:color w:val="auto"/>
              </w:rPr>
              <w:t>INJ001</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22,033</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44,885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4,259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Nevada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INV001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2006</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780" w:type="dxa"/>
            <w:vAlign w:val="bottom"/>
          </w:tcPr>
          <w:p>
            <w:pPr>
              <w:ind w:left="120"/>
              <w:spacing w:after="0"/>
              <w:rPr>
                <w:sz w:val="20"/>
                <w:szCs w:val="20"/>
                <w:color w:val="auto"/>
              </w:rPr>
            </w:pPr>
            <w:r>
              <w:rPr>
                <w:rFonts w:ascii="Arial" w:cs="Arial" w:eastAsia="Arial" w:hAnsi="Arial"/>
                <w:sz w:val="13"/>
                <w:szCs w:val="13"/>
                <w:color w:val="auto"/>
              </w:rPr>
              <w:t>INY001</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6,908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1,683</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ITX001</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2006</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780" w:type="dxa"/>
            <w:vAlign w:val="bottom"/>
          </w:tcPr>
          <w:p>
            <w:pPr>
              <w:ind w:left="120"/>
              <w:spacing w:after="0"/>
              <w:rPr>
                <w:sz w:val="20"/>
                <w:szCs w:val="20"/>
                <w:color w:val="auto"/>
              </w:rPr>
            </w:pPr>
            <w:r>
              <w:rPr>
                <w:rFonts w:ascii="Arial" w:cs="Arial" w:eastAsia="Arial" w:hAnsi="Arial"/>
                <w:sz w:val="13"/>
                <w:szCs w:val="13"/>
                <w:color w:val="auto"/>
              </w:rPr>
              <w:t>ITX002</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2006</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ITX003</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2006</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780" w:type="dxa"/>
            <w:vAlign w:val="bottom"/>
          </w:tcPr>
          <w:p>
            <w:pPr>
              <w:ind w:left="120"/>
              <w:spacing w:after="0"/>
              <w:rPr>
                <w:sz w:val="20"/>
                <w:szCs w:val="20"/>
                <w:color w:val="auto"/>
              </w:rPr>
            </w:pPr>
            <w:r>
              <w:rPr>
                <w:rFonts w:ascii="Arial" w:cs="Arial" w:eastAsia="Arial" w:hAnsi="Arial"/>
                <w:sz w:val="13"/>
                <w:szCs w:val="13"/>
                <w:color w:val="auto"/>
              </w:rPr>
              <w:t>ITX004</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13,709</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29,073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3,500</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ITX005</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2,942</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Virginia</w:t>
            </w:r>
          </w:p>
        </w:tc>
        <w:tc>
          <w:tcPr>
            <w:tcW w:w="7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IVA001</w:t>
            </w: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14,786</w:t>
            </w:r>
          </w:p>
        </w:tc>
        <w:tc>
          <w:tcPr>
            <w:tcW w:w="420" w:type="dxa"/>
            <w:vAlign w:val="bottom"/>
            <w:tcBorders>
              <w:bottom w:val="single" w:sz="8" w:color="CCEEFF"/>
            </w:tcBorders>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28,481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31,242</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3,708</w:t>
            </w:r>
          </w:p>
        </w:tc>
        <w:tc>
          <w:tcPr>
            <w:tcW w:w="820" w:type="dxa"/>
            <w:vAlign w:val="bottom"/>
            <w:tcBorders>
              <w:bottom w:val="single" w:sz="8" w:color="CCEEFF"/>
            </w:tcBorders>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6"/>
              </w:rPr>
              <w:t>40.0</w:t>
            </w:r>
          </w:p>
        </w:tc>
      </w:tr>
      <w:tr>
        <w:trPr>
          <w:trHeight w:val="23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Subtotal</w:t>
            </w:r>
          </w:p>
        </w:tc>
        <w:tc>
          <w:tcPr>
            <w:tcW w:w="7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145,508</w:t>
            </w:r>
          </w:p>
        </w:tc>
        <w:tc>
          <w:tcPr>
            <w:tcW w:w="4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138,814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391,224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73,752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137,741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466,049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603,790</w:t>
            </w:r>
          </w:p>
        </w:tc>
        <w:tc>
          <w:tcPr>
            <w:tcW w:w="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92,557</w:t>
            </w: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2"/>
        </w:trPr>
        <w:tc>
          <w:tcPr>
            <w:tcW w:w="960" w:type="dxa"/>
            <w:vAlign w:val="bottom"/>
          </w:tcPr>
          <w:p>
            <w:pPr>
              <w:ind w:left="20"/>
              <w:spacing w:after="0"/>
              <w:rPr>
                <w:sz w:val="20"/>
                <w:szCs w:val="20"/>
                <w:color w:val="auto"/>
              </w:rPr>
            </w:pPr>
            <w:r>
              <w:rPr>
                <w:rFonts w:ascii="Arial" w:cs="Arial" w:eastAsia="Arial" w:hAnsi="Arial"/>
                <w:sz w:val="13"/>
                <w:szCs w:val="13"/>
                <w:b w:val="1"/>
                <w:bCs w:val="1"/>
                <w:color w:val="auto"/>
              </w:rPr>
              <w:t>LAND:</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LAZ002</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18,315</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2011</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Arizona</w:t>
            </w:r>
          </w:p>
        </w:tc>
        <w:tc>
          <w:tcPr>
            <w:tcW w:w="780" w:type="dxa"/>
            <w:vAlign w:val="bottom"/>
          </w:tcPr>
          <w:p>
            <w:pPr>
              <w:ind w:left="120"/>
              <w:spacing w:after="0"/>
              <w:rPr>
                <w:sz w:val="20"/>
                <w:szCs w:val="20"/>
                <w:color w:val="auto"/>
              </w:rPr>
            </w:pPr>
            <w:r>
              <w:rPr>
                <w:rFonts w:ascii="Arial" w:cs="Arial" w:eastAsia="Arial" w:hAnsi="Arial"/>
                <w:sz w:val="13"/>
                <w:szCs w:val="13"/>
                <w:color w:val="auto"/>
              </w:rPr>
              <w:t>LAZ001</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96,700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LCA002</w:t>
            </w: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31,300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520"/>
          </w:cols>
          <w:pgMar w:left="240" w:top="247" w:right="139" w:bottom="1440" w:gutter="0" w:footer="0" w:header="0"/>
        </w:sectPr>
      </w:pPr>
    </w:p>
    <w:bookmarkStart w:id="103" w:name="page104"/>
    <w:bookmarkEnd w:id="103"/>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tcPr>
          <w:p>
            <w:pPr>
              <w:ind w:left="220"/>
              <w:spacing w:after="0"/>
              <w:rPr>
                <w:sz w:val="20"/>
                <w:szCs w:val="20"/>
                <w:color w:val="auto"/>
              </w:rPr>
            </w:pPr>
            <w:r>
              <w:rPr>
                <w:rFonts w:ascii="Arial" w:cs="Arial" w:eastAsia="Arial" w:hAnsi="Arial"/>
                <w:sz w:val="13"/>
                <w:szCs w:val="13"/>
                <w:color w:val="auto"/>
              </w:rPr>
              <w:t>LCA008</w:t>
            </w:r>
          </w:p>
        </w:tc>
        <w:tc>
          <w:tcPr>
            <w:tcW w:w="34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30,500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30,500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30,500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2011</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LCA003</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8,433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95,733</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tcPr>
          <w:p>
            <w:pPr>
              <w:ind w:left="220"/>
              <w:spacing w:after="0"/>
              <w:rPr>
                <w:sz w:val="20"/>
                <w:szCs w:val="20"/>
                <w:color w:val="auto"/>
              </w:rPr>
            </w:pPr>
            <w:r>
              <w:rPr>
                <w:rFonts w:ascii="Arial" w:cs="Arial" w:eastAsia="Arial" w:hAnsi="Arial"/>
                <w:sz w:val="13"/>
                <w:szCs w:val="13"/>
                <w:color w:val="auto"/>
              </w:rPr>
              <w:t>LCA004</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68,155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46,750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2000</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LCA005</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84,102</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tcPr>
          <w:p>
            <w:pPr>
              <w:ind w:left="220"/>
              <w:spacing w:after="0"/>
              <w:rPr>
                <w:sz w:val="20"/>
                <w:szCs w:val="20"/>
                <w:color w:val="auto"/>
              </w:rPr>
            </w:pPr>
            <w:r>
              <w:rPr>
                <w:rFonts w:ascii="Arial" w:cs="Arial" w:eastAsia="Arial" w:hAnsi="Arial"/>
                <w:sz w:val="13"/>
                <w:szCs w:val="13"/>
                <w:color w:val="auto"/>
              </w:rPr>
              <w:t>LCA006</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59,100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LFA001</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Florida</w:t>
            </w:r>
          </w:p>
        </w:tc>
        <w:tc>
          <w:tcPr>
            <w:tcW w:w="900" w:type="dxa"/>
            <w:vAlign w:val="bottom"/>
          </w:tcPr>
          <w:p>
            <w:pPr>
              <w:ind w:left="220"/>
              <w:spacing w:after="0"/>
              <w:rPr>
                <w:sz w:val="20"/>
                <w:szCs w:val="20"/>
                <w:color w:val="auto"/>
              </w:rPr>
            </w:pPr>
            <w:r>
              <w:rPr>
                <w:rFonts w:ascii="Arial" w:cs="Arial" w:eastAsia="Arial" w:hAnsi="Arial"/>
                <w:sz w:val="13"/>
                <w:szCs w:val="13"/>
                <w:color w:val="auto"/>
              </w:rPr>
              <w:t>LFA002</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8,100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LFA006</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2012</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Florida</w:t>
            </w:r>
          </w:p>
        </w:tc>
        <w:tc>
          <w:tcPr>
            <w:tcW w:w="900" w:type="dxa"/>
            <w:vAlign w:val="bottom"/>
          </w:tcPr>
          <w:p>
            <w:pPr>
              <w:ind w:left="220"/>
              <w:spacing w:after="0"/>
              <w:rPr>
                <w:sz w:val="20"/>
                <w:szCs w:val="20"/>
                <w:color w:val="auto"/>
              </w:rPr>
            </w:pPr>
            <w:r>
              <w:rPr>
                <w:rFonts w:ascii="Arial" w:cs="Arial" w:eastAsia="Arial" w:hAnsi="Arial"/>
                <w:sz w:val="13"/>
                <w:szCs w:val="13"/>
                <w:color w:val="auto"/>
              </w:rPr>
              <w:t>LFA003</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28,129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LFA004</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26,606</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Florida</w:t>
            </w:r>
          </w:p>
        </w:tc>
        <w:tc>
          <w:tcPr>
            <w:tcW w:w="900" w:type="dxa"/>
            <w:vAlign w:val="bottom"/>
          </w:tcPr>
          <w:p>
            <w:pPr>
              <w:ind w:left="220"/>
              <w:spacing w:after="0"/>
              <w:rPr>
                <w:sz w:val="20"/>
                <w:szCs w:val="20"/>
                <w:color w:val="auto"/>
              </w:rPr>
            </w:pPr>
            <w:r>
              <w:rPr>
                <w:rFonts w:ascii="Arial" w:cs="Arial" w:eastAsia="Arial" w:hAnsi="Arial"/>
                <w:sz w:val="13"/>
                <w:szCs w:val="13"/>
                <w:color w:val="auto"/>
              </w:rPr>
              <w:t>LFA005</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9,300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Hawaii</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LHI001</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14,800</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Illinois</w:t>
            </w:r>
          </w:p>
        </w:tc>
        <w:tc>
          <w:tcPr>
            <w:tcW w:w="900" w:type="dxa"/>
            <w:vAlign w:val="bottom"/>
          </w:tcPr>
          <w:p>
            <w:pPr>
              <w:ind w:left="220"/>
              <w:spacing w:after="0"/>
              <w:rPr>
                <w:sz w:val="20"/>
                <w:szCs w:val="20"/>
                <w:color w:val="auto"/>
              </w:rPr>
            </w:pPr>
            <w:r>
              <w:rPr>
                <w:rFonts w:ascii="Arial" w:cs="Arial" w:eastAsia="Arial" w:hAnsi="Arial"/>
                <w:sz w:val="13"/>
                <w:szCs w:val="13"/>
                <w:color w:val="auto"/>
              </w:rPr>
              <w:t>LIL001</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9,500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2011</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LMD001</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102,938</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Maryland</w:t>
            </w:r>
          </w:p>
        </w:tc>
        <w:tc>
          <w:tcPr>
            <w:tcW w:w="900" w:type="dxa"/>
            <w:vAlign w:val="bottom"/>
          </w:tcPr>
          <w:p>
            <w:pPr>
              <w:ind w:left="220"/>
              <w:spacing w:after="0"/>
              <w:rPr>
                <w:sz w:val="20"/>
                <w:szCs w:val="20"/>
                <w:color w:val="auto"/>
              </w:rPr>
            </w:pPr>
            <w:r>
              <w:rPr>
                <w:rFonts w:ascii="Arial" w:cs="Arial" w:eastAsia="Arial" w:hAnsi="Arial"/>
                <w:sz w:val="13"/>
                <w:szCs w:val="13"/>
                <w:color w:val="auto"/>
              </w:rPr>
              <w:t>LMD002</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2,486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255</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1999</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70.0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Jersey</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LNJ001</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25,568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68,868</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New York</w:t>
            </w:r>
          </w:p>
        </w:tc>
        <w:tc>
          <w:tcPr>
            <w:tcW w:w="900" w:type="dxa"/>
            <w:vAlign w:val="bottom"/>
          </w:tcPr>
          <w:p>
            <w:pPr>
              <w:ind w:left="220"/>
              <w:spacing w:after="0"/>
              <w:rPr>
                <w:sz w:val="20"/>
                <w:szCs w:val="20"/>
                <w:color w:val="auto"/>
              </w:rPr>
            </w:pPr>
            <w:r>
              <w:rPr>
                <w:rFonts w:ascii="Arial" w:cs="Arial" w:eastAsia="Arial" w:hAnsi="Arial"/>
                <w:sz w:val="13"/>
                <w:szCs w:val="13"/>
                <w:color w:val="auto"/>
              </w:rPr>
              <w:t>LNY002</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59,418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2011</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LNY001</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52,461</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Oregon</w:t>
            </w:r>
          </w:p>
        </w:tc>
        <w:tc>
          <w:tcPr>
            <w:tcW w:w="900" w:type="dxa"/>
            <w:vAlign w:val="bottom"/>
          </w:tcPr>
          <w:p>
            <w:pPr>
              <w:ind w:left="220"/>
              <w:spacing w:after="0"/>
              <w:rPr>
                <w:sz w:val="20"/>
                <w:szCs w:val="20"/>
                <w:color w:val="auto"/>
              </w:rPr>
            </w:pPr>
            <w:r>
              <w:rPr>
                <w:rFonts w:ascii="Arial" w:cs="Arial" w:eastAsia="Arial" w:hAnsi="Arial"/>
                <w:sz w:val="13"/>
                <w:szCs w:val="13"/>
                <w:color w:val="auto"/>
              </w:rPr>
              <w:t>LOR001</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3,678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2012</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Oregon</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LOR002</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19,582</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2012</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Texas</w:t>
            </w:r>
          </w:p>
        </w:tc>
        <w:tc>
          <w:tcPr>
            <w:tcW w:w="900" w:type="dxa"/>
            <w:vAlign w:val="bottom"/>
          </w:tcPr>
          <w:p>
            <w:pPr>
              <w:ind w:left="220"/>
              <w:spacing w:after="0"/>
              <w:rPr>
                <w:sz w:val="20"/>
                <w:szCs w:val="20"/>
                <w:color w:val="auto"/>
              </w:rPr>
            </w:pPr>
            <w:r>
              <w:rPr>
                <w:rFonts w:ascii="Arial" w:cs="Arial" w:eastAsia="Arial" w:hAnsi="Arial"/>
                <w:sz w:val="13"/>
                <w:szCs w:val="13"/>
                <w:color w:val="auto"/>
              </w:rPr>
              <w:t>LTX001</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3,481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2005</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LTX002</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3,821</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2005</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Virginia</w:t>
            </w:r>
          </w:p>
        </w:tc>
        <w:tc>
          <w:tcPr>
            <w:tcW w:w="900" w:type="dxa"/>
            <w:vAlign w:val="bottom"/>
          </w:tcPr>
          <w:p>
            <w:pPr>
              <w:ind w:left="220"/>
              <w:spacing w:after="0"/>
              <w:rPr>
                <w:sz w:val="20"/>
                <w:szCs w:val="20"/>
                <w:color w:val="auto"/>
              </w:rPr>
            </w:pPr>
            <w:r>
              <w:rPr>
                <w:rFonts w:ascii="Arial" w:cs="Arial" w:eastAsia="Arial" w:hAnsi="Arial"/>
                <w:sz w:val="13"/>
                <w:szCs w:val="13"/>
                <w:color w:val="auto"/>
              </w:rPr>
              <w:t>LVA001</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60,814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11,789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72,603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801</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48"/>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LVA001</w:t>
            </w: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5,550</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28"/>
        </w:trPr>
        <w:tc>
          <w:tcPr>
            <w:tcW w:w="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Subtotal</w:t>
            </w:r>
          </w:p>
        </w:tc>
        <w:tc>
          <w:tcPr>
            <w:tcW w:w="9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941,508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8,286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20,927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959,377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11,344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970,721</w:t>
            </w: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2,658</w:t>
            </w:r>
          </w:p>
        </w:tc>
        <w:tc>
          <w:tcPr>
            <w:tcW w:w="8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r>
      <w:tr>
        <w:trPr>
          <w:trHeight w:val="23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ENTERTAINMENT:</w:t>
            </w: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Alabama</w:t>
            </w:r>
          </w:p>
        </w:tc>
        <w:tc>
          <w:tcPr>
            <w:tcW w:w="900" w:type="dxa"/>
            <w:vAlign w:val="bottom"/>
          </w:tcPr>
          <w:p>
            <w:pPr>
              <w:ind w:left="220"/>
              <w:spacing w:after="0"/>
              <w:rPr>
                <w:sz w:val="20"/>
                <w:szCs w:val="20"/>
                <w:color w:val="auto"/>
              </w:rPr>
            </w:pPr>
            <w:r>
              <w:rPr>
                <w:rFonts w:ascii="Arial" w:cs="Arial" w:eastAsia="Arial" w:hAnsi="Arial"/>
                <w:sz w:val="13"/>
                <w:szCs w:val="13"/>
                <w:color w:val="auto"/>
              </w:rPr>
              <w:t>EAL001</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Alabama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EAL002</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tcPr>
          <w:p>
            <w:pPr>
              <w:ind w:left="220"/>
              <w:spacing w:after="0"/>
              <w:rPr>
                <w:sz w:val="20"/>
                <w:szCs w:val="20"/>
                <w:color w:val="auto"/>
              </w:rPr>
            </w:pPr>
            <w:r>
              <w:rPr>
                <w:rFonts w:ascii="Arial" w:cs="Arial" w:eastAsia="Arial" w:hAnsi="Arial"/>
                <w:sz w:val="13"/>
                <w:szCs w:val="13"/>
                <w:color w:val="auto"/>
              </w:rPr>
              <w:t>EAZ001</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227</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EAZ002</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tcPr>
          <w:p>
            <w:pPr>
              <w:ind w:left="220"/>
              <w:spacing w:after="0"/>
              <w:rPr>
                <w:sz w:val="20"/>
                <w:szCs w:val="20"/>
                <w:color w:val="auto"/>
              </w:rPr>
            </w:pPr>
            <w:r>
              <w:rPr>
                <w:rFonts w:ascii="Arial" w:cs="Arial" w:eastAsia="Arial" w:hAnsi="Arial"/>
                <w:sz w:val="13"/>
                <w:szCs w:val="13"/>
                <w:color w:val="auto"/>
              </w:rPr>
              <w:t>EAZ003</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EAZ004</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tcPr>
          <w:p>
            <w:pPr>
              <w:ind w:left="220"/>
              <w:spacing w:after="0"/>
              <w:rPr>
                <w:sz w:val="20"/>
                <w:szCs w:val="20"/>
                <w:color w:val="auto"/>
              </w:rPr>
            </w:pPr>
            <w:r>
              <w:rPr>
                <w:rFonts w:ascii="Arial" w:cs="Arial" w:eastAsia="Arial" w:hAnsi="Arial"/>
                <w:sz w:val="13"/>
                <w:szCs w:val="13"/>
                <w:color w:val="auto"/>
              </w:rPr>
              <w:t>EAZ005</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1,354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EAZ006</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tcPr>
          <w:p>
            <w:pPr>
              <w:ind w:left="220"/>
              <w:spacing w:after="0"/>
              <w:rPr>
                <w:sz w:val="20"/>
                <w:szCs w:val="20"/>
                <w:color w:val="auto"/>
              </w:rPr>
            </w:pPr>
            <w:r>
              <w:rPr>
                <w:rFonts w:ascii="Arial" w:cs="Arial" w:eastAsia="Arial" w:hAnsi="Arial"/>
                <w:sz w:val="13"/>
                <w:szCs w:val="13"/>
                <w:color w:val="auto"/>
              </w:rPr>
              <w:t>EAZ007</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166</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EAZ008</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tcPr>
          <w:p>
            <w:pPr>
              <w:ind w:left="220"/>
              <w:spacing w:after="0"/>
              <w:rPr>
                <w:sz w:val="20"/>
                <w:szCs w:val="20"/>
                <w:color w:val="auto"/>
              </w:rPr>
            </w:pPr>
            <w:r>
              <w:rPr>
                <w:rFonts w:ascii="Arial" w:cs="Arial" w:eastAsia="Arial" w:hAnsi="Arial"/>
                <w:sz w:val="13"/>
                <w:szCs w:val="13"/>
                <w:color w:val="auto"/>
              </w:rPr>
              <w:t>EAZ009</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132</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ECA001</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8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tcPr>
          <w:p>
            <w:pPr>
              <w:ind w:left="220"/>
              <w:spacing w:after="0"/>
              <w:rPr>
                <w:sz w:val="20"/>
                <w:szCs w:val="20"/>
                <w:color w:val="auto"/>
              </w:rPr>
            </w:pPr>
            <w:r>
              <w:rPr>
                <w:rFonts w:ascii="Arial" w:cs="Arial" w:eastAsia="Arial" w:hAnsi="Arial"/>
                <w:sz w:val="13"/>
                <w:szCs w:val="13"/>
                <w:color w:val="auto"/>
              </w:rPr>
              <w:t>ECA002</w:t>
            </w:r>
          </w:p>
        </w:tc>
        <w:tc>
          <w:tcPr>
            <w:tcW w:w="340" w:type="dxa"/>
            <w:vAlign w:val="bottom"/>
          </w:tcPr>
          <w:p>
            <w:pPr>
              <w:spacing w:after="0"/>
              <w:rPr>
                <w:sz w:val="21"/>
                <w:szCs w:val="21"/>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124</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ECA003</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520"/>
          </w:cols>
          <w:pgMar w:left="240" w:top="247" w:right="139" w:bottom="1440" w:gutter="0" w:footer="0" w:header="0"/>
        </w:sectPr>
      </w:pPr>
    </w:p>
    <w:bookmarkStart w:id="104" w:name="page105"/>
    <w:bookmarkEnd w:id="104"/>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tcPr>
          <w:p>
            <w:pPr>
              <w:ind w:left="220"/>
              <w:spacing w:after="0"/>
              <w:rPr>
                <w:sz w:val="20"/>
                <w:szCs w:val="20"/>
                <w:color w:val="auto"/>
              </w:rPr>
            </w:pPr>
            <w:r>
              <w:rPr>
                <w:rFonts w:ascii="Arial" w:cs="Arial" w:eastAsia="Arial" w:hAnsi="Arial"/>
                <w:sz w:val="13"/>
                <w:szCs w:val="13"/>
                <w:color w:val="auto"/>
              </w:rPr>
              <w:t>ECA004</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1,642</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2,124</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(16)</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1,642</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2,108</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3,750</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470</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ECA005</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676</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876</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676</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876</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1,552</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194</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tcPr>
          <w:p>
            <w:pPr>
              <w:ind w:left="220"/>
              <w:spacing w:after="0"/>
              <w:rPr>
                <w:sz w:val="20"/>
                <w:szCs w:val="20"/>
                <w:color w:val="auto"/>
              </w:rPr>
            </w:pPr>
            <w:r>
              <w:rPr>
                <w:rFonts w:ascii="Arial" w:cs="Arial" w:eastAsia="Arial" w:hAnsi="Arial"/>
                <w:sz w:val="13"/>
                <w:szCs w:val="13"/>
                <w:color w:val="auto"/>
              </w:rPr>
              <w:t>ECA006</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720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932</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720</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932</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1,652</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206</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ECA007</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574</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743</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574</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738</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1,312</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164</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tcPr>
          <w:p>
            <w:pPr>
              <w:ind w:left="220"/>
              <w:spacing w:after="0"/>
              <w:rPr>
                <w:sz w:val="20"/>
                <w:szCs w:val="20"/>
                <w:color w:val="auto"/>
              </w:rPr>
            </w:pPr>
            <w:r>
              <w:rPr>
                <w:rFonts w:ascii="Arial" w:cs="Arial" w:eastAsia="Arial" w:hAnsi="Arial"/>
                <w:sz w:val="13"/>
                <w:szCs w:val="13"/>
                <w:color w:val="auto"/>
              </w:rPr>
              <w:t>ECA008</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392</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508</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392</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504</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896</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112</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ECA009</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358</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464</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(3)</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358</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461</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819</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103</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tcPr>
          <w:p>
            <w:pPr>
              <w:ind w:left="220"/>
              <w:spacing w:after="0"/>
              <w:rPr>
                <w:sz w:val="20"/>
                <w:szCs w:val="20"/>
                <w:color w:val="auto"/>
              </w:rPr>
            </w:pPr>
            <w:r>
              <w:rPr>
                <w:rFonts w:ascii="Arial" w:cs="Arial" w:eastAsia="Arial" w:hAnsi="Arial"/>
                <w:sz w:val="13"/>
                <w:szCs w:val="13"/>
                <w:color w:val="auto"/>
              </w:rPr>
              <w:t>ECA010</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18,000</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18,000</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18,000</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3,912</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2003</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ECA011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852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1,101</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(8)</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852</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1,093</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1,945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244</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tcPr>
          <w:p>
            <w:pPr>
              <w:ind w:left="220"/>
              <w:spacing w:after="0"/>
              <w:rPr>
                <w:sz w:val="20"/>
                <w:szCs w:val="20"/>
                <w:color w:val="auto"/>
              </w:rPr>
            </w:pPr>
            <w:r>
              <w:rPr>
                <w:rFonts w:ascii="Arial" w:cs="Arial" w:eastAsia="Arial" w:hAnsi="Arial"/>
                <w:sz w:val="13"/>
                <w:szCs w:val="13"/>
                <w:color w:val="auto"/>
              </w:rPr>
              <w:t>ECA012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1,572</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2,034</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1,572</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2,034</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3,606</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450</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ECA013</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1,953</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25,772</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27,725</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27,725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2,655</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2008</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tcPr>
          <w:p>
            <w:pPr>
              <w:ind w:left="220"/>
              <w:spacing w:after="0"/>
              <w:rPr>
                <w:sz w:val="20"/>
                <w:szCs w:val="20"/>
                <w:color w:val="auto"/>
              </w:rPr>
            </w:pPr>
            <w:r>
              <w:rPr>
                <w:rFonts w:ascii="Arial" w:cs="Arial" w:eastAsia="Arial" w:hAnsi="Arial"/>
                <w:sz w:val="13"/>
                <w:szCs w:val="13"/>
                <w:color w:val="auto"/>
              </w:rPr>
              <w:t>ECA014</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659</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852</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(6)</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659</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846</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1,505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188</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ECA015</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562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729</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562</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729</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1,291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161</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1080" w:type="dxa"/>
            <w:vAlign w:val="bottom"/>
          </w:tcPr>
          <w:p>
            <w:pPr>
              <w:ind w:left="220"/>
              <w:spacing w:after="0"/>
              <w:rPr>
                <w:sz w:val="20"/>
                <w:szCs w:val="20"/>
                <w:color w:val="auto"/>
              </w:rPr>
            </w:pPr>
            <w:r>
              <w:rPr>
                <w:rFonts w:ascii="Arial" w:cs="Arial" w:eastAsia="Arial" w:hAnsi="Arial"/>
                <w:sz w:val="13"/>
                <w:szCs w:val="13"/>
                <w:color w:val="auto"/>
              </w:rPr>
              <w:t>ECA016</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896</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1,159</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(8)</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896</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1,151</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2,047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256</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ECO001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466</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602</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466</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597</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1,063</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133</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Colorado</w:t>
            </w:r>
          </w:p>
        </w:tc>
        <w:tc>
          <w:tcPr>
            <w:tcW w:w="1080" w:type="dxa"/>
            <w:vAlign w:val="bottom"/>
          </w:tcPr>
          <w:p>
            <w:pPr>
              <w:ind w:left="220"/>
              <w:spacing w:after="0"/>
              <w:rPr>
                <w:sz w:val="20"/>
                <w:szCs w:val="20"/>
                <w:color w:val="auto"/>
              </w:rPr>
            </w:pPr>
            <w:r>
              <w:rPr>
                <w:rFonts w:ascii="Arial" w:cs="Arial" w:eastAsia="Arial" w:hAnsi="Arial"/>
                <w:sz w:val="13"/>
                <w:szCs w:val="13"/>
                <w:color w:val="auto"/>
              </w:rPr>
              <w:t>ECO002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640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827</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640</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828</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1,468</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183</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ECO003</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729</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944</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729</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944</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1,673</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209</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Colorado</w:t>
            </w:r>
          </w:p>
        </w:tc>
        <w:tc>
          <w:tcPr>
            <w:tcW w:w="1080" w:type="dxa"/>
            <w:vAlign w:val="bottom"/>
          </w:tcPr>
          <w:p>
            <w:pPr>
              <w:ind w:left="220"/>
              <w:spacing w:after="0"/>
              <w:rPr>
                <w:sz w:val="20"/>
                <w:szCs w:val="20"/>
                <w:color w:val="auto"/>
              </w:rPr>
            </w:pPr>
            <w:r>
              <w:rPr>
                <w:rFonts w:ascii="Arial" w:cs="Arial" w:eastAsia="Arial" w:hAnsi="Arial"/>
                <w:sz w:val="13"/>
                <w:szCs w:val="13"/>
                <w:color w:val="auto"/>
              </w:rPr>
              <w:t>ECO004</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536</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694</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536</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689</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1,225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153</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ECO005</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412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533</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412</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533</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945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118</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Colorado</w:t>
            </w:r>
          </w:p>
        </w:tc>
        <w:tc>
          <w:tcPr>
            <w:tcW w:w="1080" w:type="dxa"/>
            <w:vAlign w:val="bottom"/>
          </w:tcPr>
          <w:p>
            <w:pPr>
              <w:ind w:left="220"/>
              <w:spacing w:after="0"/>
              <w:rPr>
                <w:sz w:val="20"/>
                <w:szCs w:val="20"/>
                <w:color w:val="auto"/>
              </w:rPr>
            </w:pPr>
            <w:r>
              <w:rPr>
                <w:rFonts w:ascii="Arial" w:cs="Arial" w:eastAsia="Arial" w:hAnsi="Arial"/>
                <w:sz w:val="13"/>
                <w:szCs w:val="13"/>
                <w:color w:val="auto"/>
              </w:rPr>
              <w:t>ECO006</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901</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1,165</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(9)</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901</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1,156</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2,057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258</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Connecticut</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ECT001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1,097</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1,420</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(10)</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1,097</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1,410</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2,507</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314</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Connecticut</w:t>
            </w:r>
          </w:p>
        </w:tc>
        <w:tc>
          <w:tcPr>
            <w:tcW w:w="1080" w:type="dxa"/>
            <w:vAlign w:val="bottom"/>
          </w:tcPr>
          <w:p>
            <w:pPr>
              <w:ind w:left="220"/>
              <w:spacing w:after="0"/>
              <w:rPr>
                <w:sz w:val="20"/>
                <w:szCs w:val="20"/>
                <w:color w:val="auto"/>
              </w:rPr>
            </w:pPr>
            <w:r>
              <w:rPr>
                <w:rFonts w:ascii="Arial" w:cs="Arial" w:eastAsia="Arial" w:hAnsi="Arial"/>
                <w:sz w:val="13"/>
                <w:szCs w:val="13"/>
                <w:color w:val="auto"/>
              </w:rPr>
              <w:t>ECT002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330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426</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330</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426</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756</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94</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EDE001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1,076</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1,390</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1,076</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1,394</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2,470</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308</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EFL001</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41,809</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41,809</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41,809</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12,111</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2005</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27.0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EFL002</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412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531</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(3)</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412</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528</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940</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118</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EFL003</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6,550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17,118</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6,533</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17,135</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23,668</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2,424</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2006</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EFL004</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1,067</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1,382</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1,067</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1,382</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2,449</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306</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EFL005</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340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439</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(3)</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340</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436</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776</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97</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EFL006</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401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520</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401</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520</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921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115</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EFL007</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507</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655</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507</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650</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1,157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145</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EFL008</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282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364</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(3)</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282</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361</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643</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81</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EFL009</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352</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455</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352</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455</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807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101</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EFL010</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404</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524</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404</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524</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928</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116</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EFL011</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437</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567</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437</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567</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1,004</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125</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EFL012</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532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689</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532</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689</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1,221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152</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EFL013</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379</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490</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379</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486</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865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108</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EFL014</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486</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629</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486</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629</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1,115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139</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EFL015</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433</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561</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433</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557</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990</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124</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EFL016</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497</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643</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497</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638</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1,135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142</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880" w:type="dxa"/>
            <w:vAlign w:val="bottom"/>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tcPr>
          <w:p>
            <w:pPr>
              <w:ind w:left="220"/>
              <w:spacing w:after="0"/>
              <w:rPr>
                <w:sz w:val="20"/>
                <w:szCs w:val="20"/>
                <w:color w:val="auto"/>
              </w:rPr>
            </w:pPr>
            <w:r>
              <w:rPr>
                <w:rFonts w:ascii="Arial" w:cs="Arial" w:eastAsia="Arial" w:hAnsi="Arial"/>
                <w:sz w:val="13"/>
                <w:szCs w:val="13"/>
                <w:color w:val="auto"/>
              </w:rPr>
              <w:t>EFL017</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1"/>
                <w:szCs w:val="21"/>
                <w:color w:val="auto"/>
              </w:rPr>
            </w:pPr>
          </w:p>
        </w:tc>
        <w:tc>
          <w:tcPr>
            <w:tcW w:w="920" w:type="dxa"/>
            <w:vAlign w:val="bottom"/>
          </w:tcPr>
          <w:p>
            <w:pPr>
              <w:jc w:val="right"/>
              <w:ind w:right="254"/>
              <w:spacing w:after="0"/>
              <w:rPr>
                <w:sz w:val="20"/>
                <w:szCs w:val="20"/>
                <w:color w:val="auto"/>
              </w:rPr>
            </w:pPr>
            <w:r>
              <w:rPr>
                <w:rFonts w:ascii="Arial" w:cs="Arial" w:eastAsia="Arial" w:hAnsi="Arial"/>
                <w:sz w:val="13"/>
                <w:szCs w:val="13"/>
                <w:color w:val="auto"/>
              </w:rPr>
              <w:t>360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840</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(1,186)</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360</w:t>
            </w:r>
          </w:p>
        </w:tc>
        <w:tc>
          <w:tcPr>
            <w:tcW w:w="1020" w:type="dxa"/>
            <w:vAlign w:val="bottom"/>
          </w:tcPr>
          <w:p>
            <w:pPr>
              <w:jc w:val="right"/>
              <w:ind w:right="214"/>
              <w:spacing w:after="0"/>
              <w:rPr>
                <w:sz w:val="20"/>
                <w:szCs w:val="20"/>
                <w:color w:val="auto"/>
              </w:rPr>
            </w:pPr>
            <w:r>
              <w:rPr>
                <w:rFonts w:ascii="Arial" w:cs="Arial" w:eastAsia="Arial" w:hAnsi="Arial"/>
                <w:sz w:val="13"/>
                <w:szCs w:val="13"/>
                <w:color w:val="auto"/>
              </w:rPr>
              <w:t>(346)</w:t>
            </w:r>
          </w:p>
        </w:tc>
        <w:tc>
          <w:tcPr>
            <w:tcW w:w="1040" w:type="dxa"/>
            <w:vAlign w:val="bottom"/>
          </w:tcPr>
          <w:p>
            <w:pPr>
              <w:jc w:val="right"/>
              <w:ind w:right="314"/>
              <w:spacing w:after="0"/>
              <w:rPr>
                <w:sz w:val="20"/>
                <w:szCs w:val="20"/>
                <w:color w:val="auto"/>
              </w:rPr>
            </w:pPr>
            <w:r>
              <w:rPr>
                <w:rFonts w:ascii="Arial" w:cs="Arial" w:eastAsia="Arial" w:hAnsi="Arial"/>
                <w:sz w:val="13"/>
                <w:szCs w:val="13"/>
                <w:color w:val="auto"/>
              </w:rPr>
              <w:t>14</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82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EFL018</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643</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833</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643</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827</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1,470</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184</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520"/>
          </w:cols>
          <w:pgMar w:left="240" w:top="247" w:right="139" w:bottom="1440" w:gutter="0" w:footer="0" w:header="0"/>
        </w:sectPr>
      </w:pPr>
    </w:p>
    <w:bookmarkStart w:id="105" w:name="page106"/>
    <w:bookmarkEnd w:id="105"/>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Arial" w:cs="Arial" w:eastAsia="Arial" w:hAnsi="Arial"/>
                <w:sz w:val="13"/>
                <w:szCs w:val="13"/>
                <w:color w:val="auto"/>
              </w:rPr>
              <w:t>Florida</w:t>
            </w:r>
          </w:p>
        </w:tc>
        <w:tc>
          <w:tcPr>
            <w:tcW w:w="1040" w:type="dxa"/>
            <w:vAlign w:val="bottom"/>
          </w:tcPr>
          <w:p>
            <w:pPr>
              <w:ind w:left="160"/>
              <w:spacing w:after="0"/>
              <w:rPr>
                <w:sz w:val="20"/>
                <w:szCs w:val="20"/>
                <w:color w:val="auto"/>
              </w:rPr>
            </w:pPr>
            <w:r>
              <w:rPr>
                <w:rFonts w:ascii="Arial" w:cs="Arial" w:eastAsia="Arial" w:hAnsi="Arial"/>
                <w:sz w:val="13"/>
                <w:szCs w:val="13"/>
                <w:color w:val="auto"/>
              </w:rPr>
              <w:t>EFL019</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4,200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18,272</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4,200</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18,272</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22,472</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3,584</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2005</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EFL020</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551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714</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551</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708</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1,259</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158</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Florida</w:t>
            </w:r>
          </w:p>
        </w:tc>
        <w:tc>
          <w:tcPr>
            <w:tcW w:w="1040" w:type="dxa"/>
            <w:vAlign w:val="bottom"/>
          </w:tcPr>
          <w:p>
            <w:pPr>
              <w:ind w:left="160"/>
              <w:spacing w:after="0"/>
              <w:rPr>
                <w:sz w:val="20"/>
                <w:szCs w:val="20"/>
                <w:color w:val="auto"/>
              </w:rPr>
            </w:pPr>
            <w:r>
              <w:rPr>
                <w:rFonts w:ascii="Arial" w:cs="Arial" w:eastAsia="Arial" w:hAnsi="Arial"/>
                <w:sz w:val="13"/>
                <w:szCs w:val="13"/>
                <w:color w:val="auto"/>
              </w:rPr>
              <w:t>EFL021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364</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470</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(3)</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364</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467</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831</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104</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EFL022</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507</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656</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507</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656</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1,163</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145</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Florida</w:t>
            </w:r>
          </w:p>
        </w:tc>
        <w:tc>
          <w:tcPr>
            <w:tcW w:w="1040" w:type="dxa"/>
            <w:vAlign w:val="bottom"/>
          </w:tcPr>
          <w:p>
            <w:pPr>
              <w:ind w:left="160"/>
              <w:spacing w:after="0"/>
              <w:rPr>
                <w:sz w:val="20"/>
                <w:szCs w:val="20"/>
                <w:color w:val="auto"/>
              </w:rPr>
            </w:pPr>
            <w:r>
              <w:rPr>
                <w:rFonts w:ascii="Arial" w:cs="Arial" w:eastAsia="Arial" w:hAnsi="Arial"/>
                <w:sz w:val="13"/>
                <w:szCs w:val="13"/>
                <w:color w:val="auto"/>
              </w:rPr>
              <w:t>EFL023</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19,337</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19,337</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19,337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3,793</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2005</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Georgia</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EGA001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510</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660</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510</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655</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1,165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146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Georgia</w:t>
            </w:r>
          </w:p>
        </w:tc>
        <w:tc>
          <w:tcPr>
            <w:tcW w:w="1040" w:type="dxa"/>
            <w:vAlign w:val="bottom"/>
          </w:tcPr>
          <w:p>
            <w:pPr>
              <w:ind w:left="160"/>
              <w:spacing w:after="0"/>
              <w:rPr>
                <w:sz w:val="20"/>
                <w:szCs w:val="20"/>
                <w:color w:val="auto"/>
              </w:rPr>
            </w:pPr>
            <w:r>
              <w:rPr>
                <w:rFonts w:ascii="Arial" w:cs="Arial" w:eastAsia="Arial" w:hAnsi="Arial"/>
                <w:sz w:val="13"/>
                <w:szCs w:val="13"/>
                <w:color w:val="auto"/>
              </w:rPr>
              <w:t>EGA002</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286</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371</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286</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371</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657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82</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Georgia</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EGA003</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474</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613</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474</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613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1,087</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136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Georgia</w:t>
            </w:r>
          </w:p>
        </w:tc>
        <w:tc>
          <w:tcPr>
            <w:tcW w:w="1040" w:type="dxa"/>
            <w:vAlign w:val="bottom"/>
          </w:tcPr>
          <w:p>
            <w:pPr>
              <w:ind w:left="160"/>
              <w:spacing w:after="0"/>
              <w:rPr>
                <w:sz w:val="20"/>
                <w:szCs w:val="20"/>
                <w:color w:val="auto"/>
              </w:rPr>
            </w:pPr>
            <w:r>
              <w:rPr>
                <w:rFonts w:ascii="Arial" w:cs="Arial" w:eastAsia="Arial" w:hAnsi="Arial"/>
                <w:sz w:val="13"/>
                <w:szCs w:val="13"/>
                <w:color w:val="auto"/>
              </w:rPr>
              <w:t>EGA004</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581</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752</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581</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752</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1,333</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166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Georgia</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EGA005</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718</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930</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718</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923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1,641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206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Georgia</w:t>
            </w:r>
          </w:p>
        </w:tc>
        <w:tc>
          <w:tcPr>
            <w:tcW w:w="1040" w:type="dxa"/>
            <w:vAlign w:val="bottom"/>
          </w:tcPr>
          <w:p>
            <w:pPr>
              <w:ind w:left="160"/>
              <w:spacing w:after="0"/>
              <w:rPr>
                <w:sz w:val="20"/>
                <w:szCs w:val="20"/>
                <w:color w:val="auto"/>
              </w:rPr>
            </w:pPr>
            <w:r>
              <w:rPr>
                <w:rFonts w:ascii="Arial" w:cs="Arial" w:eastAsia="Arial" w:hAnsi="Arial"/>
                <w:sz w:val="13"/>
                <w:szCs w:val="13"/>
                <w:color w:val="auto"/>
              </w:rPr>
              <w:t>EGA006</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546</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706</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546</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706</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1,252</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156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Georgia</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EGA007</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502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651</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502</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646</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1,148</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144</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Iowa</w:t>
            </w:r>
          </w:p>
        </w:tc>
        <w:tc>
          <w:tcPr>
            <w:tcW w:w="1040" w:type="dxa"/>
            <w:vAlign w:val="bottom"/>
          </w:tcPr>
          <w:p>
            <w:pPr>
              <w:ind w:left="160"/>
              <w:spacing w:after="0"/>
              <w:rPr>
                <w:sz w:val="20"/>
                <w:szCs w:val="20"/>
                <w:color w:val="auto"/>
              </w:rPr>
            </w:pPr>
            <w:r>
              <w:rPr>
                <w:rFonts w:ascii="Arial" w:cs="Arial" w:eastAsia="Arial" w:hAnsi="Arial"/>
                <w:sz w:val="13"/>
                <w:szCs w:val="13"/>
                <w:color w:val="auto"/>
              </w:rPr>
              <w:t>EIA001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425</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551</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(4)</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425</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547</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972</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122</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EIL001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335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434</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335</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434</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769</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96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Illinois</w:t>
            </w:r>
          </w:p>
        </w:tc>
        <w:tc>
          <w:tcPr>
            <w:tcW w:w="1040" w:type="dxa"/>
            <w:vAlign w:val="bottom"/>
          </w:tcPr>
          <w:p>
            <w:pPr>
              <w:ind w:left="160"/>
              <w:spacing w:after="0"/>
              <w:rPr>
                <w:sz w:val="20"/>
                <w:szCs w:val="20"/>
                <w:color w:val="auto"/>
              </w:rPr>
            </w:pPr>
            <w:r>
              <w:rPr>
                <w:rFonts w:ascii="Arial" w:cs="Arial" w:eastAsia="Arial" w:hAnsi="Arial"/>
                <w:sz w:val="13"/>
                <w:szCs w:val="13"/>
                <w:color w:val="auto"/>
              </w:rPr>
              <w:t>EIL002</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481</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622</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481</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622</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1,103</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138</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EIL003</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8,803</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57</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30,479</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8,803</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30,536</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39,339</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4,056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2006</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Illinois</w:t>
            </w:r>
          </w:p>
        </w:tc>
        <w:tc>
          <w:tcPr>
            <w:tcW w:w="1040" w:type="dxa"/>
            <w:vAlign w:val="bottom"/>
          </w:tcPr>
          <w:p>
            <w:pPr>
              <w:ind w:left="160"/>
              <w:spacing w:after="0"/>
              <w:rPr>
                <w:sz w:val="20"/>
                <w:szCs w:val="20"/>
                <w:color w:val="auto"/>
              </w:rPr>
            </w:pPr>
            <w:r>
              <w:rPr>
                <w:rFonts w:ascii="Arial" w:cs="Arial" w:eastAsia="Arial" w:hAnsi="Arial"/>
                <w:sz w:val="13"/>
                <w:szCs w:val="13"/>
                <w:color w:val="auto"/>
              </w:rPr>
              <w:t>EIL004</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433</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560</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(5)</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433</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555</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988</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124</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EIL005</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431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557</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431</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553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984</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123</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Indiana</w:t>
            </w:r>
          </w:p>
        </w:tc>
        <w:tc>
          <w:tcPr>
            <w:tcW w:w="1040" w:type="dxa"/>
            <w:vAlign w:val="bottom"/>
          </w:tcPr>
          <w:p>
            <w:pPr>
              <w:ind w:left="160"/>
              <w:spacing w:after="0"/>
              <w:rPr>
                <w:sz w:val="20"/>
                <w:szCs w:val="20"/>
                <w:color w:val="auto"/>
              </w:rPr>
            </w:pPr>
            <w:r>
              <w:rPr>
                <w:rFonts w:ascii="Arial" w:cs="Arial" w:eastAsia="Arial" w:hAnsi="Arial"/>
                <w:sz w:val="13"/>
                <w:szCs w:val="13"/>
                <w:color w:val="auto"/>
              </w:rPr>
              <w:t>EIN001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542</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701</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(5)</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542</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696</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1,238</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155</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Kentucky</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EKY001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417</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539</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417</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539</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956</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119</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Kentucky</w:t>
            </w:r>
          </w:p>
        </w:tc>
        <w:tc>
          <w:tcPr>
            <w:tcW w:w="1040" w:type="dxa"/>
            <w:vAlign w:val="bottom"/>
          </w:tcPr>
          <w:p>
            <w:pPr>
              <w:ind w:left="160"/>
              <w:spacing w:after="0"/>
              <w:rPr>
                <w:sz w:val="20"/>
                <w:szCs w:val="20"/>
                <w:color w:val="auto"/>
              </w:rPr>
            </w:pPr>
            <w:r>
              <w:rPr>
                <w:rFonts w:ascii="Arial" w:cs="Arial" w:eastAsia="Arial" w:hAnsi="Arial"/>
                <w:sz w:val="13"/>
                <w:szCs w:val="13"/>
                <w:color w:val="auto"/>
              </w:rPr>
              <w:t>EKY002</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365</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473</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(3)</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365</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470</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835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105</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EMD001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428</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554</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428</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554</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982</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122</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tcPr>
          <w:p>
            <w:pPr>
              <w:ind w:left="160"/>
              <w:spacing w:after="0"/>
              <w:rPr>
                <w:sz w:val="20"/>
                <w:szCs w:val="20"/>
                <w:color w:val="auto"/>
              </w:rPr>
            </w:pPr>
            <w:r>
              <w:rPr>
                <w:rFonts w:ascii="Arial" w:cs="Arial" w:eastAsia="Arial" w:hAnsi="Arial"/>
                <w:sz w:val="13"/>
                <w:szCs w:val="13"/>
                <w:color w:val="auto"/>
              </w:rPr>
              <w:t>EMD002</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575</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745</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575</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745</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1,320</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165</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EMD003</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362</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468</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362</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465</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827</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104</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tcPr>
          <w:p>
            <w:pPr>
              <w:ind w:left="160"/>
              <w:spacing w:after="0"/>
              <w:rPr>
                <w:sz w:val="20"/>
                <w:szCs w:val="20"/>
                <w:color w:val="auto"/>
              </w:rPr>
            </w:pPr>
            <w:r>
              <w:rPr>
                <w:rFonts w:ascii="Arial" w:cs="Arial" w:eastAsia="Arial" w:hAnsi="Arial"/>
                <w:sz w:val="13"/>
                <w:szCs w:val="13"/>
                <w:color w:val="auto"/>
              </w:rPr>
              <w:t>EMD004</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884</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1,145</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(9)</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884</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1,136</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2,020</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253</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EMD005</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371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481</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371</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481</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852</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tcPr>
          <w:p>
            <w:pPr>
              <w:ind w:left="160"/>
              <w:spacing w:after="0"/>
              <w:rPr>
                <w:sz w:val="20"/>
                <w:szCs w:val="20"/>
                <w:color w:val="auto"/>
              </w:rPr>
            </w:pPr>
            <w:r>
              <w:rPr>
                <w:rFonts w:ascii="Arial" w:cs="Arial" w:eastAsia="Arial" w:hAnsi="Arial"/>
                <w:sz w:val="13"/>
                <w:szCs w:val="13"/>
                <w:color w:val="auto"/>
              </w:rPr>
              <w:t>EMD006</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399</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518</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(4)</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399</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514</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913</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114</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EMD007</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649</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839</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649</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833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1,482</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186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tcPr>
          <w:p>
            <w:pPr>
              <w:ind w:left="160"/>
              <w:spacing w:after="0"/>
              <w:rPr>
                <w:sz w:val="20"/>
                <w:szCs w:val="20"/>
                <w:color w:val="auto"/>
              </w:rPr>
            </w:pPr>
            <w:r>
              <w:rPr>
                <w:rFonts w:ascii="Arial" w:cs="Arial" w:eastAsia="Arial" w:hAnsi="Arial"/>
                <w:sz w:val="13"/>
                <w:szCs w:val="13"/>
                <w:color w:val="auto"/>
              </w:rPr>
              <w:t>EMD008</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366</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473</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(3)</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366</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470</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836</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105</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EMD009</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398</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516</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398</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512</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910</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114</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tcPr>
          <w:p>
            <w:pPr>
              <w:ind w:left="160"/>
              <w:spacing w:after="0"/>
              <w:rPr>
                <w:sz w:val="20"/>
                <w:szCs w:val="20"/>
                <w:color w:val="auto"/>
              </w:rPr>
            </w:pPr>
            <w:r>
              <w:rPr>
                <w:rFonts w:ascii="Arial" w:cs="Arial" w:eastAsia="Arial" w:hAnsi="Arial"/>
                <w:sz w:val="13"/>
                <w:szCs w:val="13"/>
                <w:color w:val="auto"/>
              </w:rPr>
              <w:t>EMD010</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388</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505</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388</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505</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893</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111</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EMD011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1,126</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1,458</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1,126</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1,458</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2,584</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322</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Massachusetts</w:t>
            </w:r>
          </w:p>
        </w:tc>
        <w:tc>
          <w:tcPr>
            <w:tcW w:w="1040" w:type="dxa"/>
            <w:vAlign w:val="bottom"/>
          </w:tcPr>
          <w:p>
            <w:pPr>
              <w:ind w:left="160"/>
              <w:spacing w:after="0"/>
              <w:rPr>
                <w:sz w:val="20"/>
                <w:szCs w:val="20"/>
                <w:color w:val="auto"/>
              </w:rPr>
            </w:pPr>
            <w:r>
              <w:rPr>
                <w:rFonts w:ascii="Arial" w:cs="Arial" w:eastAsia="Arial" w:hAnsi="Arial"/>
                <w:sz w:val="13"/>
                <w:szCs w:val="13"/>
                <w:color w:val="auto"/>
              </w:rPr>
              <w:t>EMA001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523</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678</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(6)</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523</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672</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1,195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150</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Massachusetts</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EMA002</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548</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711</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548</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711</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1,259</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157</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Massachusetts</w:t>
            </w:r>
          </w:p>
        </w:tc>
        <w:tc>
          <w:tcPr>
            <w:tcW w:w="1040" w:type="dxa"/>
            <w:vAlign w:val="bottom"/>
          </w:tcPr>
          <w:p>
            <w:pPr>
              <w:ind w:left="160"/>
              <w:spacing w:after="0"/>
              <w:rPr>
                <w:sz w:val="20"/>
                <w:szCs w:val="20"/>
                <w:color w:val="auto"/>
              </w:rPr>
            </w:pPr>
            <w:r>
              <w:rPr>
                <w:rFonts w:ascii="Arial" w:cs="Arial" w:eastAsia="Arial" w:hAnsi="Arial"/>
                <w:sz w:val="13"/>
                <w:szCs w:val="13"/>
                <w:color w:val="auto"/>
              </w:rPr>
              <w:t>EMA003</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519</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672</w:t>
            </w: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(5)</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519</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667</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1,186</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149</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Massachusetts</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EMA004</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344</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445</w:t>
            </w: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344</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445</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789</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98</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Michigan</w:t>
            </w:r>
          </w:p>
        </w:tc>
        <w:tc>
          <w:tcPr>
            <w:tcW w:w="1040" w:type="dxa"/>
            <w:vAlign w:val="bottom"/>
          </w:tcPr>
          <w:p>
            <w:pPr>
              <w:ind w:left="160"/>
              <w:spacing w:after="0"/>
              <w:rPr>
                <w:sz w:val="20"/>
                <w:szCs w:val="20"/>
                <w:color w:val="auto"/>
              </w:rPr>
            </w:pPr>
            <w:r>
              <w:rPr>
                <w:rFonts w:ascii="Arial" w:cs="Arial" w:eastAsia="Arial" w:hAnsi="Arial"/>
                <w:sz w:val="13"/>
                <w:szCs w:val="13"/>
                <w:color w:val="auto"/>
              </w:rPr>
              <w:t>EMI001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309</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400</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309</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400</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709</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88</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EMI002</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516</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667</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516</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662</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1,178</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148</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Michigan</w:t>
            </w:r>
          </w:p>
        </w:tc>
        <w:tc>
          <w:tcPr>
            <w:tcW w:w="1040" w:type="dxa"/>
            <w:vAlign w:val="bottom"/>
          </w:tcPr>
          <w:p>
            <w:pPr>
              <w:ind w:left="160"/>
              <w:spacing w:after="0"/>
              <w:rPr>
                <w:sz w:val="20"/>
                <w:szCs w:val="20"/>
                <w:color w:val="auto"/>
              </w:rPr>
            </w:pPr>
            <w:r>
              <w:rPr>
                <w:rFonts w:ascii="Arial" w:cs="Arial" w:eastAsia="Arial" w:hAnsi="Arial"/>
                <w:sz w:val="13"/>
                <w:szCs w:val="13"/>
                <w:color w:val="auto"/>
              </w:rPr>
              <w:t>EMI003</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tcPr>
          <w:p>
            <w:pPr>
              <w:jc w:val="right"/>
              <w:ind w:right="254"/>
              <w:spacing w:after="0"/>
              <w:rPr>
                <w:sz w:val="20"/>
                <w:szCs w:val="20"/>
                <w:color w:val="auto"/>
              </w:rPr>
            </w:pPr>
            <w:r>
              <w:rPr>
                <w:rFonts w:ascii="Arial" w:cs="Arial" w:eastAsia="Arial" w:hAnsi="Arial"/>
                <w:sz w:val="13"/>
                <w:szCs w:val="13"/>
                <w:color w:val="auto"/>
              </w:rPr>
              <w:t>554</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718</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4"/>
              <w:spacing w:after="0"/>
              <w:rPr>
                <w:sz w:val="20"/>
                <w:szCs w:val="20"/>
                <w:color w:val="auto"/>
              </w:rPr>
            </w:pPr>
            <w:r>
              <w:rPr>
                <w:rFonts w:ascii="Arial" w:cs="Arial" w:eastAsia="Arial" w:hAnsi="Arial"/>
                <w:sz w:val="13"/>
                <w:szCs w:val="13"/>
                <w:color w:val="auto"/>
              </w:rPr>
              <w:t>554</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718</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1,272</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159</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EMI004</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rPr>
              <w:t>(1)</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387</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500</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387</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496</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883</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111</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520"/>
          </w:cols>
          <w:pgMar w:left="240" w:top="247" w:right="139" w:bottom="1440" w:gutter="0" w:footer="0" w:header="0"/>
        </w:sectPr>
      </w:pPr>
    </w:p>
    <w:bookmarkStart w:id="106" w:name="page107"/>
    <w:bookmarkEnd w:id="106"/>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Arial" w:cs="Arial" w:eastAsia="Arial" w:hAnsi="Arial"/>
                <w:sz w:val="13"/>
                <w:szCs w:val="13"/>
                <w:color w:val="auto"/>
              </w:rPr>
              <w:t>Michigan</w:t>
            </w:r>
          </w:p>
        </w:tc>
        <w:tc>
          <w:tcPr>
            <w:tcW w:w="1020" w:type="dxa"/>
            <w:vAlign w:val="bottom"/>
          </w:tcPr>
          <w:p>
            <w:pPr>
              <w:ind w:left="140"/>
              <w:spacing w:after="0"/>
              <w:rPr>
                <w:sz w:val="20"/>
                <w:szCs w:val="20"/>
                <w:color w:val="auto"/>
              </w:rPr>
            </w:pPr>
            <w:r>
              <w:rPr>
                <w:rFonts w:ascii="Arial" w:cs="Arial" w:eastAsia="Arial" w:hAnsi="Arial"/>
                <w:sz w:val="13"/>
                <w:szCs w:val="13"/>
                <w:color w:val="auto"/>
              </w:rPr>
              <w:t>EMI005</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533</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691</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(6)</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533</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685</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1,218</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153</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EMI006</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356</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460</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356</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460</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816</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102</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Minnesota</w:t>
            </w:r>
          </w:p>
        </w:tc>
        <w:tc>
          <w:tcPr>
            <w:tcW w:w="1020" w:type="dxa"/>
            <w:vAlign w:val="bottom"/>
          </w:tcPr>
          <w:p>
            <w:pPr>
              <w:ind w:left="140"/>
              <w:spacing w:after="0"/>
              <w:rPr>
                <w:sz w:val="20"/>
                <w:szCs w:val="20"/>
                <w:color w:val="auto"/>
              </w:rPr>
            </w:pPr>
            <w:r>
              <w:rPr>
                <w:rFonts w:ascii="Arial" w:cs="Arial" w:eastAsia="Arial" w:hAnsi="Arial"/>
                <w:sz w:val="13"/>
                <w:szCs w:val="13"/>
                <w:color w:val="auto"/>
              </w:rPr>
              <w:t>EMN001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666</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861</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(6)</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666</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855</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1,521</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190</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Minnesota</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EMN002</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2,962</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15,384</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2,962</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15,384</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18,346</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1,936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2006</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Minnesota</w:t>
            </w:r>
          </w:p>
        </w:tc>
        <w:tc>
          <w:tcPr>
            <w:tcW w:w="1020" w:type="dxa"/>
            <w:vAlign w:val="bottom"/>
          </w:tcPr>
          <w:p>
            <w:pPr>
              <w:ind w:left="140"/>
              <w:spacing w:after="0"/>
              <w:rPr>
                <w:sz w:val="20"/>
                <w:szCs w:val="20"/>
                <w:color w:val="auto"/>
              </w:rPr>
            </w:pPr>
            <w:r>
              <w:rPr>
                <w:rFonts w:ascii="Arial" w:cs="Arial" w:eastAsia="Arial" w:hAnsi="Arial"/>
                <w:sz w:val="13"/>
                <w:szCs w:val="13"/>
                <w:color w:val="auto"/>
              </w:rPr>
              <w:t>EMN003</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359</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465</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359</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465</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824</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103</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Minnesota</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EMN004</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2,437</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8,715</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679</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2,437</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9,394</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11,831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1,587</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2006</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Missouri</w:t>
            </w:r>
          </w:p>
        </w:tc>
        <w:tc>
          <w:tcPr>
            <w:tcW w:w="1020" w:type="dxa"/>
            <w:vAlign w:val="bottom"/>
          </w:tcPr>
          <w:p>
            <w:pPr>
              <w:ind w:left="140"/>
              <w:spacing w:after="0"/>
              <w:rPr>
                <w:sz w:val="20"/>
                <w:szCs w:val="20"/>
                <w:color w:val="auto"/>
              </w:rPr>
            </w:pPr>
            <w:r>
              <w:rPr>
                <w:rFonts w:ascii="Arial" w:cs="Arial" w:eastAsia="Arial" w:hAnsi="Arial"/>
                <w:sz w:val="13"/>
                <w:szCs w:val="13"/>
                <w:color w:val="auto"/>
              </w:rPr>
              <w:t>EMO001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334</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432</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334</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432</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766</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96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Missouri</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EMO002</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404</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523</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404</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519</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923</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116</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Missouri</w:t>
            </w:r>
          </w:p>
        </w:tc>
        <w:tc>
          <w:tcPr>
            <w:tcW w:w="1020" w:type="dxa"/>
            <w:vAlign w:val="bottom"/>
          </w:tcPr>
          <w:p>
            <w:pPr>
              <w:ind w:left="140"/>
              <w:spacing w:after="0"/>
              <w:rPr>
                <w:sz w:val="20"/>
                <w:szCs w:val="20"/>
                <w:color w:val="auto"/>
              </w:rPr>
            </w:pPr>
            <w:r>
              <w:rPr>
                <w:rFonts w:ascii="Arial" w:cs="Arial" w:eastAsia="Arial" w:hAnsi="Arial"/>
                <w:sz w:val="13"/>
                <w:szCs w:val="13"/>
                <w:color w:val="auto"/>
              </w:rPr>
              <w:t>EMO003</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462</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597</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462</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593</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1,055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132</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Missouri</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EMO004</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878</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1,139</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878</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1,139</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2,017</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252</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Jersey</w:t>
            </w:r>
          </w:p>
        </w:tc>
        <w:tc>
          <w:tcPr>
            <w:tcW w:w="1020" w:type="dxa"/>
            <w:vAlign w:val="bottom"/>
          </w:tcPr>
          <w:p>
            <w:pPr>
              <w:ind w:left="140"/>
              <w:spacing w:after="0"/>
              <w:rPr>
                <w:sz w:val="20"/>
                <w:szCs w:val="20"/>
                <w:color w:val="auto"/>
              </w:rPr>
            </w:pPr>
            <w:r>
              <w:rPr>
                <w:rFonts w:ascii="Arial" w:cs="Arial" w:eastAsia="Arial" w:hAnsi="Arial"/>
                <w:sz w:val="13"/>
                <w:szCs w:val="13"/>
                <w:color w:val="auto"/>
              </w:rPr>
              <w:t>ENJ001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1,560</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2,019</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(15)</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1,560</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3,564</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446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Jersey</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ENJ002</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830</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1,075</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830</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1,075</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1,905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238</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Nevada</w:t>
            </w:r>
          </w:p>
        </w:tc>
        <w:tc>
          <w:tcPr>
            <w:tcW w:w="1020" w:type="dxa"/>
            <w:vAlign w:val="bottom"/>
          </w:tcPr>
          <w:p>
            <w:pPr>
              <w:ind w:left="140"/>
              <w:spacing w:after="0"/>
              <w:rPr>
                <w:sz w:val="20"/>
                <w:szCs w:val="20"/>
                <w:color w:val="auto"/>
              </w:rPr>
            </w:pPr>
            <w:r>
              <w:rPr>
                <w:rFonts w:ascii="Arial" w:cs="Arial" w:eastAsia="Arial" w:hAnsi="Arial"/>
                <w:sz w:val="13"/>
                <w:szCs w:val="13"/>
                <w:color w:val="auto"/>
              </w:rPr>
              <w:t>ENV001</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440</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569</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440</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565</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1,005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126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ENY001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603</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779</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603</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773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1,376</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172</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ENY002</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442</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571</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442</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571</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1,013</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126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ENY003</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562</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728</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562</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728</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1,290</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161</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ENY004</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385</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499</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(3)</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385</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496</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881</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110</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ENY005</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350</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453</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350</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453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803</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ENY006</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326</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421</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326</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421</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747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93</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ENY007</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494</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640</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494</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640</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1,134</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141</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ENY008</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320</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414</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(3)</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320</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411</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731</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92</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ENY009</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399</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516</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399</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512</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911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114</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ENY010</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959</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1,240</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(9)</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959</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1,231</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2,190</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274</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ENY011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587</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761</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587</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761</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1,348</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168</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ENY012</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521</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675</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521</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670</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1,191</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149</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ENY013</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711</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920</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711</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920</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1,631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203</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ENY014</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558</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723</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(6)</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558</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717</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1,275</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160</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ENY015</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747</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967</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747</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967</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1,714</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214</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ENY016</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683</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885</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(7)</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683</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878</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1,561</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196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ENY017</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1,492</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1,933</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1,492</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1,933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3,425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427</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ind w:left="140"/>
              <w:spacing w:after="0"/>
              <w:rPr>
                <w:sz w:val="20"/>
                <w:szCs w:val="20"/>
                <w:color w:val="auto"/>
              </w:rPr>
            </w:pPr>
            <w:r>
              <w:rPr>
                <w:rFonts w:ascii="Arial" w:cs="Arial" w:eastAsia="Arial" w:hAnsi="Arial"/>
                <w:sz w:val="13"/>
                <w:szCs w:val="13"/>
                <w:color w:val="auto"/>
              </w:rPr>
              <w:t>ENY018</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1,471</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1,904</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(14)</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1,471</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1,890</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3,361</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421</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ENC001</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397</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513</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397</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513</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910</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114</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tcPr>
          <w:p>
            <w:pPr>
              <w:ind w:left="140"/>
              <w:spacing w:after="0"/>
              <w:rPr>
                <w:sz w:val="20"/>
                <w:szCs w:val="20"/>
                <w:color w:val="auto"/>
              </w:rPr>
            </w:pPr>
            <w:r>
              <w:rPr>
                <w:rFonts w:ascii="Arial" w:cs="Arial" w:eastAsia="Arial" w:hAnsi="Arial"/>
                <w:sz w:val="13"/>
                <w:szCs w:val="13"/>
                <w:color w:val="auto"/>
              </w:rPr>
              <w:t>ENC002</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476</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615</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476</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611</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1,087</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136</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ENC003</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410</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530</w:t>
            </w: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410</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526</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936</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117</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tcPr>
          <w:p>
            <w:pPr>
              <w:ind w:left="140"/>
              <w:spacing w:after="0"/>
              <w:rPr>
                <w:sz w:val="20"/>
                <w:szCs w:val="20"/>
                <w:color w:val="auto"/>
              </w:rPr>
            </w:pPr>
            <w:r>
              <w:rPr>
                <w:rFonts w:ascii="Arial" w:cs="Arial" w:eastAsia="Arial" w:hAnsi="Arial"/>
                <w:sz w:val="13"/>
                <w:szCs w:val="13"/>
                <w:color w:val="auto"/>
              </w:rPr>
              <w:t>ENC004</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402</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520</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402</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516</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918</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115</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ENC005</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948</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1,227</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948</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1,227</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2,175</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271</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tcPr>
          <w:p>
            <w:pPr>
              <w:ind w:left="140"/>
              <w:spacing w:after="0"/>
              <w:rPr>
                <w:sz w:val="20"/>
                <w:szCs w:val="20"/>
                <w:color w:val="auto"/>
              </w:rPr>
            </w:pPr>
            <w:r>
              <w:rPr>
                <w:rFonts w:ascii="Arial" w:cs="Arial" w:eastAsia="Arial" w:hAnsi="Arial"/>
                <w:sz w:val="13"/>
                <w:szCs w:val="13"/>
                <w:color w:val="auto"/>
              </w:rPr>
              <w:t>ENC006</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259</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336</w:t>
            </w:r>
          </w:p>
        </w:tc>
        <w:tc>
          <w:tcPr>
            <w:tcW w:w="1040" w:type="dxa"/>
            <w:vAlign w:val="bottom"/>
          </w:tcPr>
          <w:p>
            <w:pPr>
              <w:jc w:val="right"/>
              <w:ind w:right="234"/>
              <w:spacing w:after="0"/>
              <w:rPr>
                <w:sz w:val="20"/>
                <w:szCs w:val="20"/>
                <w:color w:val="auto"/>
              </w:rPr>
            </w:pPr>
            <w:r>
              <w:rPr>
                <w:rFonts w:ascii="Arial" w:cs="Arial" w:eastAsia="Arial" w:hAnsi="Arial"/>
                <w:sz w:val="13"/>
                <w:szCs w:val="13"/>
                <w:color w:val="auto"/>
              </w:rPr>
              <w:t>(3)</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259</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333</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592</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74</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ENC007</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349</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452</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349</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452</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801</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tcPr>
          <w:p>
            <w:pPr>
              <w:ind w:left="140"/>
              <w:spacing w:after="0"/>
              <w:rPr>
                <w:sz w:val="20"/>
                <w:szCs w:val="20"/>
                <w:color w:val="auto"/>
              </w:rPr>
            </w:pPr>
            <w:r>
              <w:rPr>
                <w:rFonts w:ascii="Arial" w:cs="Arial" w:eastAsia="Arial" w:hAnsi="Arial"/>
                <w:sz w:val="13"/>
                <w:szCs w:val="13"/>
                <w:color w:val="auto"/>
              </w:rPr>
              <w:t>ENC008</w:t>
            </w:r>
          </w:p>
        </w:tc>
        <w:tc>
          <w:tcPr>
            <w:tcW w:w="600" w:type="dxa"/>
            <w:vAlign w:val="bottom"/>
          </w:tcPr>
          <w:p>
            <w:pPr>
              <w:ind w:left="3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640</w:t>
            </w:r>
          </w:p>
        </w:tc>
        <w:tc>
          <w:tcPr>
            <w:tcW w:w="960" w:type="dxa"/>
            <w:vAlign w:val="bottom"/>
          </w:tcPr>
          <w:p>
            <w:pPr>
              <w:jc w:val="right"/>
              <w:ind w:right="254"/>
              <w:spacing w:after="0"/>
              <w:rPr>
                <w:sz w:val="20"/>
                <w:szCs w:val="20"/>
                <w:color w:val="auto"/>
              </w:rPr>
            </w:pPr>
            <w:r>
              <w:rPr>
                <w:rFonts w:ascii="Arial" w:cs="Arial" w:eastAsia="Arial" w:hAnsi="Arial"/>
                <w:sz w:val="13"/>
                <w:szCs w:val="13"/>
                <w:color w:val="auto"/>
              </w:rPr>
              <w:t>828</w:t>
            </w:r>
          </w:p>
        </w:tc>
        <w:tc>
          <w:tcPr>
            <w:tcW w:w="10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640</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828</w:t>
            </w:r>
          </w:p>
        </w:tc>
        <w:tc>
          <w:tcPr>
            <w:tcW w:w="1040" w:type="dxa"/>
            <w:vAlign w:val="bottom"/>
          </w:tcPr>
          <w:p>
            <w:pPr>
              <w:jc w:val="right"/>
              <w:ind w:right="334"/>
              <w:spacing w:after="0"/>
              <w:rPr>
                <w:sz w:val="20"/>
                <w:szCs w:val="20"/>
                <w:color w:val="auto"/>
              </w:rPr>
            </w:pPr>
            <w:r>
              <w:rPr>
                <w:rFonts w:ascii="Arial" w:cs="Arial" w:eastAsia="Arial" w:hAnsi="Arial"/>
                <w:sz w:val="13"/>
                <w:szCs w:val="13"/>
                <w:color w:val="auto"/>
              </w:rPr>
              <w:t>1,468</w:t>
            </w:r>
          </w:p>
        </w:tc>
        <w:tc>
          <w:tcPr>
            <w:tcW w:w="880" w:type="dxa"/>
            <w:vAlign w:val="bottom"/>
          </w:tcPr>
          <w:p>
            <w:pPr>
              <w:jc w:val="right"/>
              <w:ind w:right="94"/>
              <w:spacing w:after="0"/>
              <w:rPr>
                <w:sz w:val="20"/>
                <w:szCs w:val="20"/>
                <w:color w:val="auto"/>
              </w:rPr>
            </w:pPr>
            <w:r>
              <w:rPr>
                <w:rFonts w:ascii="Arial" w:cs="Arial" w:eastAsia="Arial" w:hAnsi="Arial"/>
                <w:sz w:val="13"/>
                <w:szCs w:val="13"/>
                <w:color w:val="auto"/>
              </w:rPr>
              <w:t>183</w:t>
            </w:r>
          </w:p>
        </w:tc>
        <w:tc>
          <w:tcPr>
            <w:tcW w:w="72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w:t>
            </w:r>
          </w:p>
        </w:tc>
        <w:tc>
          <w:tcPr>
            <w:tcW w:w="1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ENC009</w:t>
            </w:r>
          </w:p>
        </w:tc>
        <w:tc>
          <w:tcPr>
            <w:tcW w:w="6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409</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531</w:t>
            </w:r>
          </w:p>
        </w:tc>
        <w:tc>
          <w:tcPr>
            <w:tcW w:w="10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409</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531</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940</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117</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520"/>
          </w:cols>
          <w:pgMar w:left="240" w:top="247" w:right="139" w:bottom="1440" w:gutter="0" w:footer="0" w:header="0"/>
        </w:sectPr>
      </w:pPr>
    </w:p>
    <w:bookmarkStart w:id="107" w:name="page108"/>
    <w:bookmarkEnd w:id="107"/>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Arial" w:cs="Arial" w:eastAsia="Arial" w:hAnsi="Arial"/>
                <w:sz w:val="13"/>
                <w:szCs w:val="13"/>
                <w:color w:val="auto"/>
              </w:rPr>
              <w:t>North Carolina</w:t>
            </w:r>
          </w:p>
        </w:tc>
        <w:tc>
          <w:tcPr>
            <w:tcW w:w="1000" w:type="dxa"/>
            <w:vAlign w:val="bottom"/>
          </w:tcPr>
          <w:p>
            <w:pPr>
              <w:ind w:left="140"/>
              <w:spacing w:after="0"/>
              <w:rPr>
                <w:sz w:val="20"/>
                <w:szCs w:val="20"/>
                <w:color w:val="auto"/>
              </w:rPr>
            </w:pPr>
            <w:r>
              <w:rPr>
                <w:rFonts w:ascii="Arial" w:cs="Arial" w:eastAsia="Arial" w:hAnsi="Arial"/>
                <w:sz w:val="13"/>
                <w:szCs w:val="13"/>
                <w:color w:val="auto"/>
              </w:rPr>
              <w:t>ENC010</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965</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1,249</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(10)</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965</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1,239</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2,204</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276</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ENC011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475</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615</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475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615</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1,090</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136</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North Carolina</w:t>
            </w:r>
          </w:p>
        </w:tc>
        <w:tc>
          <w:tcPr>
            <w:tcW w:w="1000" w:type="dxa"/>
            <w:vAlign w:val="bottom"/>
          </w:tcPr>
          <w:p>
            <w:pPr>
              <w:ind w:left="140"/>
              <w:spacing w:after="0"/>
              <w:rPr>
                <w:sz w:val="20"/>
                <w:szCs w:val="20"/>
                <w:color w:val="auto"/>
              </w:rPr>
            </w:pPr>
            <w:r>
              <w:rPr>
                <w:rFonts w:ascii="Arial" w:cs="Arial" w:eastAsia="Arial" w:hAnsi="Arial"/>
                <w:sz w:val="13"/>
                <w:szCs w:val="13"/>
                <w:color w:val="auto"/>
              </w:rPr>
              <w:t>ENC012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494</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638</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494</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634</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1,128</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141</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EOH001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434</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562</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434</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562</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996</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124</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Ohio</w:t>
            </w:r>
          </w:p>
        </w:tc>
        <w:tc>
          <w:tcPr>
            <w:tcW w:w="1000" w:type="dxa"/>
            <w:vAlign w:val="bottom"/>
          </w:tcPr>
          <w:p>
            <w:pPr>
              <w:ind w:left="140"/>
              <w:spacing w:after="0"/>
              <w:rPr>
                <w:sz w:val="20"/>
                <w:szCs w:val="20"/>
                <w:color w:val="auto"/>
              </w:rPr>
            </w:pPr>
            <w:r>
              <w:rPr>
                <w:rFonts w:ascii="Arial" w:cs="Arial" w:eastAsia="Arial" w:hAnsi="Arial"/>
                <w:sz w:val="13"/>
                <w:szCs w:val="13"/>
                <w:color w:val="auto"/>
              </w:rPr>
              <w:t>EOH002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967</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1,252</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(9)</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967</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1,243</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2,210</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277</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Ohio</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EOH003</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281</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365</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(3)</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281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362</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643</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81</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Ohio</w:t>
            </w:r>
          </w:p>
        </w:tc>
        <w:tc>
          <w:tcPr>
            <w:tcW w:w="1000" w:type="dxa"/>
            <w:vAlign w:val="bottom"/>
          </w:tcPr>
          <w:p>
            <w:pPr>
              <w:ind w:left="140"/>
              <w:spacing w:after="0"/>
              <w:rPr>
                <w:sz w:val="20"/>
                <w:szCs w:val="20"/>
                <w:color w:val="auto"/>
              </w:rPr>
            </w:pPr>
            <w:r>
              <w:rPr>
                <w:rFonts w:ascii="Arial" w:cs="Arial" w:eastAsia="Arial" w:hAnsi="Arial"/>
                <w:sz w:val="13"/>
                <w:szCs w:val="13"/>
                <w:color w:val="auto"/>
              </w:rPr>
              <w:t>EOH004</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393</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508</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393</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508</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901</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112</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Oklahoma</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EOK001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431</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557</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431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553</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984</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123</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Oklahoma</w:t>
            </w:r>
          </w:p>
        </w:tc>
        <w:tc>
          <w:tcPr>
            <w:tcW w:w="1000" w:type="dxa"/>
            <w:vAlign w:val="bottom"/>
          </w:tcPr>
          <w:p>
            <w:pPr>
              <w:ind w:left="140"/>
              <w:spacing w:after="0"/>
              <w:rPr>
                <w:sz w:val="20"/>
                <w:szCs w:val="20"/>
                <w:color w:val="auto"/>
              </w:rPr>
            </w:pPr>
            <w:r>
              <w:rPr>
                <w:rFonts w:ascii="Arial" w:cs="Arial" w:eastAsia="Arial" w:hAnsi="Arial"/>
                <w:sz w:val="13"/>
                <w:szCs w:val="13"/>
                <w:color w:val="auto"/>
              </w:rPr>
              <w:t>EOK002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954</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1,235</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954</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1,235</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2,189</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273</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Oregon</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EOR001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373</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484</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373</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484</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857</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107</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Oregon</w:t>
            </w:r>
          </w:p>
        </w:tc>
        <w:tc>
          <w:tcPr>
            <w:tcW w:w="1000" w:type="dxa"/>
            <w:vAlign w:val="bottom"/>
          </w:tcPr>
          <w:p>
            <w:pPr>
              <w:ind w:left="140"/>
              <w:spacing w:after="0"/>
              <w:rPr>
                <w:sz w:val="20"/>
                <w:szCs w:val="20"/>
                <w:color w:val="auto"/>
              </w:rPr>
            </w:pPr>
            <w:r>
              <w:rPr>
                <w:rFonts w:ascii="Arial" w:cs="Arial" w:eastAsia="Arial" w:hAnsi="Arial"/>
                <w:sz w:val="13"/>
                <w:szCs w:val="13"/>
                <w:color w:val="auto"/>
              </w:rPr>
              <w:t>EOR002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393</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508</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393</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504</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897</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112</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EPA001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407</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527</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407</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527</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934</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117</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Pennsylvania</w:t>
            </w:r>
          </w:p>
        </w:tc>
        <w:tc>
          <w:tcPr>
            <w:tcW w:w="1000" w:type="dxa"/>
            <w:vAlign w:val="bottom"/>
          </w:tcPr>
          <w:p>
            <w:pPr>
              <w:ind w:left="140"/>
              <w:spacing w:after="0"/>
              <w:rPr>
                <w:sz w:val="20"/>
                <w:szCs w:val="20"/>
                <w:color w:val="auto"/>
              </w:rPr>
            </w:pPr>
            <w:r>
              <w:rPr>
                <w:rFonts w:ascii="Arial" w:cs="Arial" w:eastAsia="Arial" w:hAnsi="Arial"/>
                <w:sz w:val="13"/>
                <w:szCs w:val="13"/>
                <w:color w:val="auto"/>
              </w:rPr>
              <w:t>EPA002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421</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544</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421</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544</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965</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120</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EPA003</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409</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528</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409</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524</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933</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117</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Pennsylvania</w:t>
            </w:r>
          </w:p>
        </w:tc>
        <w:tc>
          <w:tcPr>
            <w:tcW w:w="1000" w:type="dxa"/>
            <w:vAlign w:val="bottom"/>
          </w:tcPr>
          <w:p>
            <w:pPr>
              <w:ind w:left="140"/>
              <w:spacing w:after="0"/>
              <w:rPr>
                <w:sz w:val="20"/>
                <w:szCs w:val="20"/>
                <w:color w:val="auto"/>
              </w:rPr>
            </w:pPr>
            <w:r>
              <w:rPr>
                <w:rFonts w:ascii="Arial" w:cs="Arial" w:eastAsia="Arial" w:hAnsi="Arial"/>
                <w:sz w:val="13"/>
                <w:szCs w:val="13"/>
                <w:color w:val="auto"/>
              </w:rPr>
              <w:t>EPA004</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407</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527</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(3)</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407</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524</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931</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117</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Puerto Rico</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EPR001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950</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1,230</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950</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1,230</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2,180</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272</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Rhode Island</w:t>
            </w:r>
          </w:p>
        </w:tc>
        <w:tc>
          <w:tcPr>
            <w:tcW w:w="1000" w:type="dxa"/>
            <w:vAlign w:val="bottom"/>
          </w:tcPr>
          <w:p>
            <w:pPr>
              <w:ind w:left="140"/>
              <w:spacing w:after="0"/>
              <w:rPr>
                <w:sz w:val="20"/>
                <w:szCs w:val="20"/>
                <w:color w:val="auto"/>
              </w:rPr>
            </w:pPr>
            <w:r>
              <w:rPr>
                <w:rFonts w:ascii="Arial" w:cs="Arial" w:eastAsia="Arial" w:hAnsi="Arial"/>
                <w:sz w:val="13"/>
                <w:szCs w:val="13"/>
                <w:color w:val="auto"/>
              </w:rPr>
              <w:t>ERI001</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850</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1,100</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(8)</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850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1,092</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1,942</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243</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ESC001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943</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1,220</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(9)</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943</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1,211</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2,154</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270</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South Carolina</w:t>
            </w:r>
          </w:p>
        </w:tc>
        <w:tc>
          <w:tcPr>
            <w:tcW w:w="1000" w:type="dxa"/>
            <w:vAlign w:val="bottom"/>
          </w:tcPr>
          <w:p>
            <w:pPr>
              <w:ind w:left="140"/>
              <w:spacing w:after="0"/>
              <w:rPr>
                <w:sz w:val="20"/>
                <w:szCs w:val="20"/>
                <w:color w:val="auto"/>
              </w:rPr>
            </w:pPr>
            <w:r>
              <w:rPr>
                <w:rFonts w:ascii="Arial" w:cs="Arial" w:eastAsia="Arial" w:hAnsi="Arial"/>
                <w:sz w:val="13"/>
                <w:szCs w:val="13"/>
                <w:color w:val="auto"/>
              </w:rPr>
              <w:t>ESC002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332</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429</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332</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429</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761</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95</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ESC003</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924</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1,196</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924</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1,196</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2,120</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265</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Tennessee</w:t>
            </w:r>
          </w:p>
        </w:tc>
        <w:tc>
          <w:tcPr>
            <w:tcW w:w="1000" w:type="dxa"/>
            <w:vAlign w:val="bottom"/>
          </w:tcPr>
          <w:p>
            <w:pPr>
              <w:ind w:left="140"/>
              <w:spacing w:after="0"/>
              <w:rPr>
                <w:sz w:val="20"/>
                <w:szCs w:val="20"/>
                <w:color w:val="auto"/>
              </w:rPr>
            </w:pPr>
            <w:r>
              <w:rPr>
                <w:rFonts w:ascii="Arial" w:cs="Arial" w:eastAsia="Arial" w:hAnsi="Arial"/>
                <w:sz w:val="13"/>
                <w:szCs w:val="13"/>
                <w:color w:val="auto"/>
              </w:rPr>
              <w:t>ETN001</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260</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338</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260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338</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598</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75</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ETX001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1,045</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1,353</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1,045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1,353</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2,398</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299</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ETX002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593</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767</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(6)</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593</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761</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1,354</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170</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ETX003</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985</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1,276</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985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1,276</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2,261</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282</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ETX004</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838</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1,083</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(8)</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838</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1,075</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1,913</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240</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ETX005</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528</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682</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(5)</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528</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677</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1,205</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151</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ETX006</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480</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622</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480</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618</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1,098</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137</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ETX007</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975</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1,261</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(10)</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975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1,251</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2,226</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279</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ETX008</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1,108</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1,433</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(10)</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1,108</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1,423</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2,531</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317</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ETX009</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425</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549</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425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549</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974</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122</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ETX010</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518</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671</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518</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671</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1,189</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148</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ETX011</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758</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981</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1</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758</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982</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1,740</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217</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ETX012</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399</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517</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399</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517</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916</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114</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ETX013</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375</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485</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(3)</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375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482</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857</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107</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ETX014</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438</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567</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438</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563</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1,001</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125</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ETX015</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285</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369</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285</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369</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654</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82</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ETX016</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554</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718</w:t>
            </w:r>
          </w:p>
        </w:tc>
        <w:tc>
          <w:tcPr>
            <w:tcW w:w="94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554</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713</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1,267</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159</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ETX017</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561</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726</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561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726</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1,287</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161</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tcPr>
          <w:p>
            <w:pPr>
              <w:ind w:left="140"/>
              <w:spacing w:after="0"/>
              <w:rPr>
                <w:sz w:val="20"/>
                <w:szCs w:val="20"/>
                <w:color w:val="auto"/>
              </w:rPr>
            </w:pPr>
            <w:r>
              <w:rPr>
                <w:rFonts w:ascii="Arial" w:cs="Arial" w:eastAsia="Arial" w:hAnsi="Arial"/>
                <w:sz w:val="13"/>
                <w:szCs w:val="13"/>
                <w:color w:val="auto"/>
              </w:rPr>
              <w:t>ETX018</w:t>
            </w:r>
          </w:p>
        </w:tc>
        <w:tc>
          <w:tcPr>
            <w:tcW w:w="620" w:type="dxa"/>
            <w:vAlign w:val="bottom"/>
          </w:tcPr>
          <w:p>
            <w:pPr>
              <w:ind w:left="4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tcPr>
          <w:p>
            <w:pPr>
              <w:jc w:val="right"/>
              <w:ind w:right="294"/>
              <w:spacing w:after="0"/>
              <w:rPr>
                <w:sz w:val="20"/>
                <w:szCs w:val="20"/>
                <w:color w:val="auto"/>
              </w:rPr>
            </w:pPr>
            <w:r>
              <w:rPr>
                <w:rFonts w:ascii="Arial" w:cs="Arial" w:eastAsia="Arial" w:hAnsi="Arial"/>
                <w:sz w:val="13"/>
                <w:szCs w:val="13"/>
                <w:color w:val="auto"/>
              </w:rPr>
              <w:t>753</w:t>
            </w:r>
          </w:p>
        </w:tc>
        <w:tc>
          <w:tcPr>
            <w:tcW w:w="1060" w:type="dxa"/>
            <w:vAlign w:val="bottom"/>
          </w:tcPr>
          <w:p>
            <w:pPr>
              <w:jc w:val="right"/>
              <w:ind w:right="354"/>
              <w:spacing w:after="0"/>
              <w:rPr>
                <w:sz w:val="20"/>
                <w:szCs w:val="20"/>
                <w:color w:val="auto"/>
              </w:rPr>
            </w:pPr>
            <w:r>
              <w:rPr>
                <w:rFonts w:ascii="Arial" w:cs="Arial" w:eastAsia="Arial" w:hAnsi="Arial"/>
                <w:sz w:val="13"/>
                <w:szCs w:val="13"/>
                <w:color w:val="auto"/>
              </w:rPr>
              <w:t>976</w:t>
            </w:r>
          </w:p>
        </w:tc>
        <w:tc>
          <w:tcPr>
            <w:tcW w:w="9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4"/>
              <w:spacing w:after="0"/>
              <w:rPr>
                <w:sz w:val="20"/>
                <w:szCs w:val="20"/>
                <w:color w:val="auto"/>
              </w:rPr>
            </w:pPr>
            <w:r>
              <w:rPr>
                <w:rFonts w:ascii="Arial" w:cs="Arial" w:eastAsia="Arial" w:hAnsi="Arial"/>
                <w:sz w:val="13"/>
                <w:szCs w:val="13"/>
                <w:color w:val="auto"/>
              </w:rPr>
              <w:t>753</w:t>
            </w: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976</w:t>
            </w:r>
          </w:p>
        </w:tc>
        <w:tc>
          <w:tcPr>
            <w:tcW w:w="1060" w:type="dxa"/>
            <w:vAlign w:val="bottom"/>
          </w:tcPr>
          <w:p>
            <w:pPr>
              <w:jc w:val="right"/>
              <w:ind w:right="394"/>
              <w:spacing w:after="0"/>
              <w:rPr>
                <w:sz w:val="20"/>
                <w:szCs w:val="20"/>
                <w:color w:val="auto"/>
              </w:rPr>
            </w:pPr>
            <w:r>
              <w:rPr>
                <w:rFonts w:ascii="Arial" w:cs="Arial" w:eastAsia="Arial" w:hAnsi="Arial"/>
                <w:sz w:val="13"/>
                <w:szCs w:val="13"/>
                <w:color w:val="auto"/>
              </w:rPr>
              <w:t>1,729</w:t>
            </w:r>
          </w:p>
        </w:tc>
        <w:tc>
          <w:tcPr>
            <w:tcW w:w="820" w:type="dxa"/>
            <w:vAlign w:val="bottom"/>
          </w:tcPr>
          <w:p>
            <w:pPr>
              <w:jc w:val="right"/>
              <w:ind w:right="94"/>
              <w:spacing w:after="0"/>
              <w:rPr>
                <w:sz w:val="20"/>
                <w:szCs w:val="20"/>
                <w:color w:val="auto"/>
              </w:rPr>
            </w:pPr>
            <w:r>
              <w:rPr>
                <w:rFonts w:ascii="Arial" w:cs="Arial" w:eastAsia="Arial" w:hAnsi="Arial"/>
                <w:sz w:val="13"/>
                <w:szCs w:val="13"/>
                <w:color w:val="auto"/>
              </w:rPr>
              <w:t>216</w:t>
            </w:r>
          </w:p>
        </w:tc>
        <w:tc>
          <w:tcPr>
            <w:tcW w:w="740" w:type="dxa"/>
            <w:vAlign w:val="bottom"/>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tcPr>
          <w:p>
            <w:pPr>
              <w:jc w:val="right"/>
              <w:ind w:right="234"/>
              <w:spacing w:after="0"/>
              <w:rPr>
                <w:sz w:val="20"/>
                <w:szCs w:val="20"/>
                <w:color w:val="auto"/>
              </w:rPr>
            </w:pPr>
            <w:r>
              <w:rPr>
                <w:rFonts w:ascii="Arial" w:cs="Arial" w:eastAsia="Arial" w:hAnsi="Arial"/>
                <w:sz w:val="13"/>
                <w:szCs w:val="13"/>
                <w:color w:val="auto"/>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ETX019</w:t>
            </w:r>
          </w:p>
        </w:tc>
        <w:tc>
          <w:tcPr>
            <w:tcW w:w="6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rPr>
              <w:t>(1)</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521</w:t>
            </w: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675</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521</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675</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1,196</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149</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520"/>
          </w:cols>
          <w:pgMar w:left="240" w:top="247" w:right="139" w:bottom="1440" w:gutter="0" w:footer="0" w:header="0"/>
        </w:sectPr>
      </w:pPr>
    </w:p>
    <w:bookmarkStart w:id="108" w:name="page109"/>
    <w:bookmarkEnd w:id="108"/>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ind w:left="20"/>
              <w:spacing w:after="0"/>
              <w:rPr>
                <w:sz w:val="20"/>
                <w:szCs w:val="20"/>
                <w:color w:val="auto"/>
              </w:rPr>
            </w:pPr>
            <w:r>
              <w:rPr>
                <w:rFonts w:ascii="Arial" w:cs="Arial" w:eastAsia="Arial" w:hAnsi="Arial"/>
                <w:sz w:val="13"/>
                <w:szCs w:val="13"/>
                <w:color w:val="auto"/>
              </w:rPr>
              <w:t>Texas</w:t>
            </w:r>
          </w:p>
        </w:tc>
        <w:tc>
          <w:tcPr>
            <w:tcW w:w="840" w:type="dxa"/>
            <w:vAlign w:val="bottom"/>
          </w:tcPr>
          <w:p>
            <w:pPr>
              <w:ind w:left="180"/>
              <w:spacing w:after="0"/>
              <w:rPr>
                <w:sz w:val="20"/>
                <w:szCs w:val="20"/>
                <w:color w:val="auto"/>
              </w:rPr>
            </w:pPr>
            <w:r>
              <w:rPr>
                <w:rFonts w:ascii="Arial" w:cs="Arial" w:eastAsia="Arial" w:hAnsi="Arial"/>
                <w:sz w:val="13"/>
                <w:szCs w:val="13"/>
                <w:color w:val="auto"/>
              </w:rPr>
              <w:t>ETX020</w:t>
            </w:r>
          </w:p>
        </w:tc>
        <w:tc>
          <w:tcPr>
            <w:tcW w:w="340" w:type="dxa"/>
            <w:vAlign w:val="bottom"/>
          </w:tcPr>
          <w:p>
            <w:pPr>
              <w:spacing w:after="0"/>
              <w:rPr>
                <w:sz w:val="14"/>
                <w:szCs w:val="14"/>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1,449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ETX021</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Texas</w:t>
            </w:r>
          </w:p>
        </w:tc>
        <w:tc>
          <w:tcPr>
            <w:tcW w:w="840" w:type="dxa"/>
            <w:vAlign w:val="bottom"/>
          </w:tcPr>
          <w:p>
            <w:pPr>
              <w:ind w:left="180"/>
              <w:spacing w:after="0"/>
              <w:rPr>
                <w:sz w:val="20"/>
                <w:szCs w:val="20"/>
                <w:color w:val="auto"/>
              </w:rPr>
            </w:pPr>
            <w:r>
              <w:rPr>
                <w:rFonts w:ascii="Arial" w:cs="Arial" w:eastAsia="Arial" w:hAnsi="Arial"/>
                <w:sz w:val="13"/>
                <w:szCs w:val="13"/>
                <w:color w:val="auto"/>
              </w:rPr>
              <w:t>ETX022</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1,358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Utah</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EUT001</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tcPr>
          <w:p>
            <w:pPr>
              <w:ind w:left="180"/>
              <w:spacing w:after="0"/>
              <w:rPr>
                <w:sz w:val="20"/>
                <w:szCs w:val="20"/>
                <w:color w:val="auto"/>
              </w:rPr>
            </w:pPr>
            <w:r>
              <w:rPr>
                <w:rFonts w:ascii="Arial" w:cs="Arial" w:eastAsia="Arial" w:hAnsi="Arial"/>
                <w:sz w:val="13"/>
                <w:szCs w:val="13"/>
                <w:color w:val="auto"/>
              </w:rPr>
              <w:t>EVA001</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2,601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325</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EVA002</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tcPr>
          <w:p>
            <w:pPr>
              <w:ind w:left="180"/>
              <w:spacing w:after="0"/>
              <w:rPr>
                <w:sz w:val="20"/>
                <w:szCs w:val="20"/>
                <w:color w:val="auto"/>
              </w:rPr>
            </w:pPr>
            <w:r>
              <w:rPr>
                <w:rFonts w:ascii="Arial" w:cs="Arial" w:eastAsia="Arial" w:hAnsi="Arial"/>
                <w:sz w:val="13"/>
                <w:szCs w:val="13"/>
                <w:color w:val="auto"/>
              </w:rPr>
              <w:t>EVA003</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253</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EVA004</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2,176</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tcPr>
          <w:p>
            <w:pPr>
              <w:ind w:left="180"/>
              <w:spacing w:after="0"/>
              <w:rPr>
                <w:sz w:val="20"/>
                <w:szCs w:val="20"/>
                <w:color w:val="auto"/>
              </w:rPr>
            </w:pPr>
            <w:r>
              <w:rPr>
                <w:rFonts w:ascii="Arial" w:cs="Arial" w:eastAsia="Arial" w:hAnsi="Arial"/>
                <w:sz w:val="13"/>
                <w:szCs w:val="13"/>
                <w:color w:val="auto"/>
              </w:rPr>
              <w:t>EVA005</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EVA006</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tcPr>
          <w:p>
            <w:pPr>
              <w:ind w:left="180"/>
              <w:spacing w:after="0"/>
              <w:rPr>
                <w:sz w:val="20"/>
                <w:szCs w:val="20"/>
                <w:color w:val="auto"/>
              </w:rPr>
            </w:pPr>
            <w:r>
              <w:rPr>
                <w:rFonts w:ascii="Arial" w:cs="Arial" w:eastAsia="Arial" w:hAnsi="Arial"/>
                <w:sz w:val="13"/>
                <w:szCs w:val="13"/>
                <w:color w:val="auto"/>
              </w:rPr>
              <w:t>EVA007</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EVA008</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tcPr>
          <w:p>
            <w:pPr>
              <w:ind w:left="180"/>
              <w:spacing w:after="0"/>
              <w:rPr>
                <w:sz w:val="20"/>
                <w:szCs w:val="20"/>
                <w:color w:val="auto"/>
              </w:rPr>
            </w:pPr>
            <w:r>
              <w:rPr>
                <w:rFonts w:ascii="Arial" w:cs="Arial" w:eastAsia="Arial" w:hAnsi="Arial"/>
                <w:sz w:val="13"/>
                <w:szCs w:val="13"/>
                <w:color w:val="auto"/>
              </w:rPr>
              <w:t>EVA009</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244</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EVA010</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tcPr>
          <w:p>
            <w:pPr>
              <w:ind w:left="180"/>
              <w:spacing w:after="0"/>
              <w:rPr>
                <w:sz w:val="20"/>
                <w:szCs w:val="20"/>
                <w:color w:val="auto"/>
              </w:rPr>
            </w:pPr>
            <w:r>
              <w:rPr>
                <w:rFonts w:ascii="Arial" w:cs="Arial" w:eastAsia="Arial" w:hAnsi="Arial"/>
                <w:sz w:val="13"/>
                <w:szCs w:val="13"/>
                <w:color w:val="auto"/>
              </w:rPr>
              <w:t>EVA011</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2,198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274</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EVA012</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Virginia</w:t>
            </w:r>
          </w:p>
        </w:tc>
        <w:tc>
          <w:tcPr>
            <w:tcW w:w="840" w:type="dxa"/>
            <w:vAlign w:val="bottom"/>
          </w:tcPr>
          <w:p>
            <w:pPr>
              <w:ind w:left="180"/>
              <w:spacing w:after="0"/>
              <w:rPr>
                <w:sz w:val="20"/>
                <w:szCs w:val="20"/>
                <w:color w:val="auto"/>
              </w:rPr>
            </w:pPr>
            <w:r>
              <w:rPr>
                <w:rFonts w:ascii="Arial" w:cs="Arial" w:eastAsia="Arial" w:hAnsi="Arial"/>
                <w:sz w:val="13"/>
                <w:szCs w:val="13"/>
                <w:color w:val="auto"/>
              </w:rPr>
              <w:t>EVA013</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1,265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158</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EWA001</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2003</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Wisconsin</w:t>
            </w:r>
          </w:p>
        </w:tc>
        <w:tc>
          <w:tcPr>
            <w:tcW w:w="840" w:type="dxa"/>
            <w:vAlign w:val="bottom"/>
          </w:tcPr>
          <w:p>
            <w:pPr>
              <w:ind w:left="180"/>
              <w:spacing w:after="0"/>
              <w:rPr>
                <w:sz w:val="20"/>
                <w:szCs w:val="20"/>
                <w:color w:val="auto"/>
              </w:rPr>
            </w:pPr>
            <w:r>
              <w:rPr>
                <w:rFonts w:ascii="Arial" w:cs="Arial" w:eastAsia="Arial" w:hAnsi="Arial"/>
                <w:sz w:val="13"/>
                <w:szCs w:val="13"/>
                <w:color w:val="auto"/>
              </w:rPr>
              <w:t>EWI001</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Wisconsin</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EWI002</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Wisconsin</w:t>
            </w:r>
          </w:p>
        </w:tc>
        <w:tc>
          <w:tcPr>
            <w:tcW w:w="840" w:type="dxa"/>
            <w:vAlign w:val="bottom"/>
          </w:tcPr>
          <w:p>
            <w:pPr>
              <w:ind w:left="180"/>
              <w:spacing w:after="0"/>
              <w:rPr>
                <w:sz w:val="20"/>
                <w:szCs w:val="20"/>
                <w:color w:val="auto"/>
              </w:rPr>
            </w:pPr>
            <w:r>
              <w:rPr>
                <w:rFonts w:ascii="Arial" w:cs="Arial" w:eastAsia="Arial" w:hAnsi="Arial"/>
                <w:sz w:val="13"/>
                <w:szCs w:val="13"/>
                <w:color w:val="auto"/>
              </w:rPr>
              <w:t>EWI003</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155</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Wisconsin</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EWI004</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Wisconsin</w:t>
            </w:r>
          </w:p>
        </w:tc>
        <w:tc>
          <w:tcPr>
            <w:tcW w:w="840" w:type="dxa"/>
            <w:vAlign w:val="bottom"/>
          </w:tcPr>
          <w:p>
            <w:pPr>
              <w:ind w:left="180"/>
              <w:spacing w:after="0"/>
              <w:rPr>
                <w:sz w:val="20"/>
                <w:szCs w:val="20"/>
                <w:color w:val="auto"/>
              </w:rPr>
            </w:pPr>
            <w:r>
              <w:rPr>
                <w:rFonts w:ascii="Arial" w:cs="Arial" w:eastAsia="Arial" w:hAnsi="Arial"/>
                <w:sz w:val="13"/>
                <w:szCs w:val="13"/>
                <w:color w:val="auto"/>
              </w:rPr>
              <w:t>EWI005</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2,579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322</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2004</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34"/>
        </w:trPr>
        <w:tc>
          <w:tcPr>
            <w:tcW w:w="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Subtotal</w:t>
            </w:r>
          </w:p>
        </w:tc>
        <w:tc>
          <w:tcPr>
            <w:tcW w:w="8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137,683</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258,985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87,732</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137,666</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346,734</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484,400</w:t>
            </w:r>
          </w:p>
        </w:tc>
        <w:tc>
          <w:tcPr>
            <w:tcW w:w="2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69,512</w:t>
            </w:r>
          </w:p>
        </w:tc>
        <w:tc>
          <w:tcPr>
            <w:tcW w:w="8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3"/>
                <w:szCs w:val="13"/>
                <w:b w:val="1"/>
                <w:bCs w:val="1"/>
                <w:color w:val="auto"/>
              </w:rPr>
              <w:t>RETAIL:</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RAZ003</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Arizona</w:t>
            </w:r>
          </w:p>
        </w:tc>
        <w:tc>
          <w:tcPr>
            <w:tcW w:w="840" w:type="dxa"/>
            <w:vAlign w:val="bottom"/>
          </w:tcPr>
          <w:p>
            <w:pPr>
              <w:ind w:left="180"/>
              <w:spacing w:after="0"/>
              <w:rPr>
                <w:sz w:val="20"/>
                <w:szCs w:val="20"/>
                <w:color w:val="auto"/>
              </w:rPr>
            </w:pPr>
            <w:r>
              <w:rPr>
                <w:rFonts w:ascii="Arial" w:cs="Arial" w:eastAsia="Arial" w:hAnsi="Arial"/>
                <w:sz w:val="13"/>
                <w:szCs w:val="13"/>
                <w:color w:val="auto"/>
              </w:rPr>
              <w:t>RAZ004</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4,652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RAZ005</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2011</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840" w:type="dxa"/>
            <w:vAlign w:val="bottom"/>
          </w:tcPr>
          <w:p>
            <w:pPr>
              <w:ind w:left="180"/>
              <w:spacing w:after="0"/>
              <w:rPr>
                <w:sz w:val="20"/>
                <w:szCs w:val="20"/>
                <w:color w:val="auto"/>
              </w:rPr>
            </w:pPr>
            <w:r>
              <w:rPr>
                <w:rFonts w:ascii="Arial" w:cs="Arial" w:eastAsia="Arial" w:hAnsi="Arial"/>
                <w:sz w:val="13"/>
                <w:szCs w:val="13"/>
                <w:color w:val="auto"/>
              </w:rPr>
              <w:t>RCA003</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2012</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RCA001</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Colorado</w:t>
            </w:r>
          </w:p>
        </w:tc>
        <w:tc>
          <w:tcPr>
            <w:tcW w:w="840" w:type="dxa"/>
            <w:vAlign w:val="bottom"/>
          </w:tcPr>
          <w:p>
            <w:pPr>
              <w:ind w:left="180"/>
              <w:spacing w:after="0"/>
              <w:rPr>
                <w:sz w:val="20"/>
                <w:szCs w:val="20"/>
                <w:color w:val="auto"/>
              </w:rPr>
            </w:pPr>
            <w:r>
              <w:rPr>
                <w:rFonts w:ascii="Arial" w:cs="Arial" w:eastAsia="Arial" w:hAnsi="Arial"/>
                <w:sz w:val="13"/>
                <w:szCs w:val="13"/>
                <w:color w:val="auto"/>
              </w:rPr>
              <w:t>RCO001</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5,195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8,236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893</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2006</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RFL004</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2011</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Florida</w:t>
            </w:r>
          </w:p>
        </w:tc>
        <w:tc>
          <w:tcPr>
            <w:tcW w:w="840" w:type="dxa"/>
            <w:vAlign w:val="bottom"/>
          </w:tcPr>
          <w:p>
            <w:pPr>
              <w:ind w:left="180"/>
              <w:spacing w:after="0"/>
              <w:rPr>
                <w:sz w:val="20"/>
                <w:szCs w:val="20"/>
                <w:color w:val="auto"/>
              </w:rPr>
            </w:pPr>
            <w:r>
              <w:rPr>
                <w:rFonts w:ascii="Arial" w:cs="Arial" w:eastAsia="Arial" w:hAnsi="Arial"/>
                <w:sz w:val="13"/>
                <w:szCs w:val="13"/>
                <w:color w:val="auto"/>
              </w:rPr>
              <w:t>RFL003</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10,285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14,366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1,757</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2005</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Hawaii</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RHI001</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2,923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27,623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Illinois</w:t>
            </w:r>
          </w:p>
        </w:tc>
        <w:tc>
          <w:tcPr>
            <w:tcW w:w="840" w:type="dxa"/>
            <w:vAlign w:val="bottom"/>
          </w:tcPr>
          <w:p>
            <w:pPr>
              <w:ind w:left="180"/>
              <w:spacing w:after="0"/>
              <w:rPr>
                <w:sz w:val="20"/>
                <w:szCs w:val="20"/>
                <w:color w:val="auto"/>
              </w:rPr>
            </w:pPr>
            <w:r>
              <w:rPr>
                <w:rFonts w:ascii="Arial" w:cs="Arial" w:eastAsia="Arial" w:hAnsi="Arial"/>
                <w:sz w:val="13"/>
                <w:szCs w:val="13"/>
                <w:color w:val="auto"/>
              </w:rPr>
              <w:t>RIL002</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47,801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597</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2012</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RIL001</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4,548</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New Mexico</w:t>
            </w:r>
          </w:p>
        </w:tc>
        <w:tc>
          <w:tcPr>
            <w:tcW w:w="840" w:type="dxa"/>
            <w:vAlign w:val="bottom"/>
          </w:tcPr>
          <w:p>
            <w:pPr>
              <w:ind w:left="180"/>
              <w:spacing w:after="0"/>
              <w:rPr>
                <w:sz w:val="20"/>
                <w:szCs w:val="20"/>
                <w:color w:val="auto"/>
              </w:rPr>
            </w:pPr>
            <w:r>
              <w:rPr>
                <w:rFonts w:ascii="Arial" w:cs="Arial" w:eastAsia="Arial" w:hAnsi="Arial"/>
                <w:sz w:val="13"/>
                <w:szCs w:val="13"/>
                <w:color w:val="auto"/>
              </w:rPr>
              <w:t>RNM001</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8,370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10,234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1,355</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2005</w:t>
            </w: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40.0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RNY001</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2005</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40.0</w:t>
            </w:r>
          </w:p>
        </w:tc>
      </w:tr>
      <w:tr>
        <w:trPr>
          <w:trHeight w:val="242"/>
        </w:trPr>
        <w:tc>
          <w:tcPr>
            <w:tcW w:w="900" w:type="dxa"/>
            <w:vAlign w:val="bottom"/>
          </w:tcPr>
          <w:p>
            <w:pPr>
              <w:ind w:left="20"/>
              <w:spacing w:after="0"/>
              <w:rPr>
                <w:sz w:val="20"/>
                <w:szCs w:val="20"/>
                <w:color w:val="auto"/>
              </w:rPr>
            </w:pPr>
            <w:r>
              <w:rPr>
                <w:rFonts w:ascii="Arial" w:cs="Arial" w:eastAsia="Arial" w:hAnsi="Arial"/>
                <w:sz w:val="13"/>
                <w:szCs w:val="13"/>
                <w:color w:val="auto"/>
              </w:rPr>
              <w:t>New York</w:t>
            </w:r>
          </w:p>
        </w:tc>
        <w:tc>
          <w:tcPr>
            <w:tcW w:w="840" w:type="dxa"/>
            <w:vAlign w:val="bottom"/>
          </w:tcPr>
          <w:p>
            <w:pPr>
              <w:ind w:left="180"/>
              <w:spacing w:after="0"/>
              <w:rPr>
                <w:sz w:val="20"/>
                <w:szCs w:val="20"/>
                <w:color w:val="auto"/>
              </w:rPr>
            </w:pPr>
            <w:r>
              <w:rPr>
                <w:rFonts w:ascii="Arial" w:cs="Arial" w:eastAsia="Arial" w:hAnsi="Arial"/>
                <w:sz w:val="13"/>
                <w:szCs w:val="13"/>
                <w:color w:val="auto"/>
              </w:rPr>
              <w:t>RNY002</w:t>
            </w:r>
          </w:p>
        </w:tc>
        <w:tc>
          <w:tcPr>
            <w:tcW w:w="34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0.0</w:t>
            </w: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RPA002</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2012</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0.0</w:t>
            </w: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520"/>
          </w:cols>
          <w:pgMar w:left="240" w:top="247" w:right="139" w:bottom="1440" w:gutter="0" w:footer="0" w:header="0"/>
        </w:sectPr>
      </w:pPr>
    </w:p>
    <w:bookmarkStart w:id="109" w:name="page110"/>
    <w:bookmarkEnd w:id="109"/>
    <w:p>
      <w:pPr>
        <w:jc w:val="center"/>
        <w:ind w:right="100"/>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rPr>
                <w:sz w:val="20"/>
                <w:szCs w:val="20"/>
                <w:color w:val="auto"/>
              </w:rPr>
            </w:pPr>
            <w:r>
              <w:rPr>
                <w:rFonts w:ascii="Arial" w:cs="Arial" w:eastAsia="Arial" w:hAnsi="Arial"/>
                <w:sz w:val="13"/>
                <w:szCs w:val="13"/>
                <w:color w:val="auto"/>
              </w:rPr>
              <w:t>Pennsylvania</w:t>
            </w:r>
          </w:p>
        </w:tc>
        <w:tc>
          <w:tcPr>
            <w:tcW w:w="800" w:type="dxa"/>
            <w:vAlign w:val="bottom"/>
          </w:tcPr>
          <w:p>
            <w:pPr>
              <w:ind w:left="140"/>
              <w:spacing w:after="0"/>
              <w:rPr>
                <w:sz w:val="20"/>
                <w:szCs w:val="20"/>
                <w:color w:val="auto"/>
              </w:rPr>
            </w:pPr>
            <w:r>
              <w:rPr>
                <w:rFonts w:ascii="Arial" w:cs="Arial" w:eastAsia="Arial" w:hAnsi="Arial"/>
                <w:sz w:val="13"/>
                <w:szCs w:val="13"/>
                <w:color w:val="auto"/>
              </w:rPr>
              <w:t>RPA001</w:t>
            </w:r>
          </w:p>
        </w:tc>
        <w:tc>
          <w:tcPr>
            <w:tcW w:w="320" w:type="dxa"/>
            <w:vAlign w:val="bottom"/>
          </w:tcPr>
          <w:p>
            <w:pPr>
              <w:spacing w:after="0"/>
              <w:rPr>
                <w:sz w:val="14"/>
                <w:szCs w:val="14"/>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5,687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65,312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66,562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72,249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4,592</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2011</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RSC001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2,060</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800" w:type="dxa"/>
            <w:vAlign w:val="bottom"/>
          </w:tcPr>
          <w:p>
            <w:pPr>
              <w:ind w:left="140"/>
              <w:spacing w:after="0"/>
              <w:rPr>
                <w:sz w:val="20"/>
                <w:szCs w:val="20"/>
                <w:color w:val="auto"/>
              </w:rPr>
            </w:pPr>
            <w:r>
              <w:rPr>
                <w:rFonts w:ascii="Arial" w:cs="Arial" w:eastAsia="Arial" w:hAnsi="Arial"/>
                <w:sz w:val="13"/>
                <w:szCs w:val="13"/>
                <w:color w:val="auto"/>
              </w:rPr>
              <w:t>RTX001</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8,055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1,088</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2005</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RTX002</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Texas</w:t>
            </w:r>
          </w:p>
        </w:tc>
        <w:tc>
          <w:tcPr>
            <w:tcW w:w="800" w:type="dxa"/>
            <w:vAlign w:val="bottom"/>
          </w:tcPr>
          <w:p>
            <w:pPr>
              <w:ind w:left="140"/>
              <w:spacing w:after="0"/>
              <w:rPr>
                <w:sz w:val="20"/>
                <w:szCs w:val="20"/>
                <w:color w:val="auto"/>
              </w:rPr>
            </w:pPr>
            <w:r>
              <w:rPr>
                <w:rFonts w:ascii="Arial" w:cs="Arial" w:eastAsia="Arial" w:hAnsi="Arial"/>
                <w:sz w:val="13"/>
                <w:szCs w:val="13"/>
                <w:color w:val="auto"/>
              </w:rPr>
              <w:t>RTX003</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Utah</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RUT001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5,975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9,608</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2005</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Virginia</w:t>
            </w:r>
          </w:p>
        </w:tc>
        <w:tc>
          <w:tcPr>
            <w:tcW w:w="800" w:type="dxa"/>
            <w:vAlign w:val="bottom"/>
          </w:tcPr>
          <w:p>
            <w:pPr>
              <w:ind w:left="140"/>
              <w:spacing w:after="0"/>
              <w:rPr>
                <w:sz w:val="20"/>
                <w:szCs w:val="20"/>
                <w:color w:val="auto"/>
              </w:rPr>
            </w:pPr>
            <w:r>
              <w:rPr>
                <w:rFonts w:ascii="Arial" w:cs="Arial" w:eastAsia="Arial" w:hAnsi="Arial"/>
                <w:sz w:val="13"/>
                <w:szCs w:val="13"/>
                <w:color w:val="auto"/>
              </w:rPr>
              <w:t>RVA001</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18,881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23,601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536</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2011</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4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RWA001</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2012</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28"/>
        </w:trPr>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Subtotal</w:t>
            </w:r>
          </w:p>
        </w:tc>
        <w:tc>
          <w:tcPr>
            <w:tcW w:w="8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72,373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221,927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28,129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69,752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252,677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322,429</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23,063</w:t>
            </w:r>
          </w:p>
        </w:tc>
        <w:tc>
          <w:tcPr>
            <w:tcW w:w="8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3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HOTEL:</w:t>
            </w: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800" w:type="dxa"/>
            <w:vAlign w:val="bottom"/>
          </w:tcPr>
          <w:p>
            <w:pPr>
              <w:ind w:left="140"/>
              <w:spacing w:after="0"/>
              <w:rPr>
                <w:sz w:val="20"/>
                <w:szCs w:val="20"/>
                <w:color w:val="auto"/>
              </w:rPr>
            </w:pPr>
            <w:r>
              <w:rPr>
                <w:rFonts w:ascii="Arial" w:cs="Arial" w:eastAsia="Arial" w:hAnsi="Arial"/>
                <w:sz w:val="13"/>
                <w:szCs w:val="13"/>
                <w:color w:val="auto"/>
              </w:rPr>
              <w:t>HCA002</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30,553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9,954</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1998</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HCA003</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7,581</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1998</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Colorado</w:t>
            </w:r>
          </w:p>
        </w:tc>
        <w:tc>
          <w:tcPr>
            <w:tcW w:w="800" w:type="dxa"/>
            <w:vAlign w:val="bottom"/>
          </w:tcPr>
          <w:p>
            <w:pPr>
              <w:ind w:left="140"/>
              <w:spacing w:after="0"/>
              <w:rPr>
                <w:sz w:val="20"/>
                <w:szCs w:val="20"/>
                <w:color w:val="auto"/>
              </w:rPr>
            </w:pPr>
            <w:r>
              <w:rPr>
                <w:rFonts w:ascii="Arial" w:cs="Arial" w:eastAsia="Arial" w:hAnsi="Arial"/>
                <w:sz w:val="13"/>
                <w:szCs w:val="13"/>
                <w:color w:val="auto"/>
              </w:rPr>
              <w:t>HCO001</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8,854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2,885</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1998</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Georgia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HGA001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31,893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2,057</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Hawaii</w:t>
            </w:r>
          </w:p>
        </w:tc>
        <w:tc>
          <w:tcPr>
            <w:tcW w:w="800" w:type="dxa"/>
            <w:vAlign w:val="bottom"/>
          </w:tcPr>
          <w:p>
            <w:pPr>
              <w:ind w:left="140"/>
              <w:spacing w:after="0"/>
              <w:rPr>
                <w:sz w:val="20"/>
                <w:szCs w:val="20"/>
                <w:color w:val="auto"/>
              </w:rPr>
            </w:pPr>
            <w:r>
              <w:rPr>
                <w:rFonts w:ascii="Arial" w:cs="Arial" w:eastAsia="Arial" w:hAnsi="Arial"/>
                <w:sz w:val="13"/>
                <w:szCs w:val="13"/>
                <w:color w:val="auto"/>
              </w:rPr>
              <w:t>HHI001</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37,769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3,153</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Hawaii</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HHO003</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Hawaii</w:t>
            </w:r>
          </w:p>
        </w:tc>
        <w:tc>
          <w:tcPr>
            <w:tcW w:w="800" w:type="dxa"/>
            <w:vAlign w:val="bottom"/>
          </w:tcPr>
          <w:p>
            <w:pPr>
              <w:ind w:left="140"/>
              <w:spacing w:after="0"/>
              <w:rPr>
                <w:sz w:val="20"/>
                <w:szCs w:val="20"/>
                <w:color w:val="auto"/>
              </w:rPr>
            </w:pPr>
            <w:r>
              <w:rPr>
                <w:rFonts w:ascii="Arial" w:cs="Arial" w:eastAsia="Arial" w:hAnsi="Arial"/>
                <w:sz w:val="13"/>
                <w:szCs w:val="13"/>
                <w:color w:val="auto"/>
              </w:rPr>
              <w:t>HHI002</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16,050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Utah</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HUT001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12,138</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1998</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40.0</w:t>
            </w:r>
          </w:p>
        </w:tc>
      </w:tr>
      <w:tr>
        <w:trPr>
          <w:trHeight w:val="242"/>
        </w:trPr>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Washington</w:t>
            </w:r>
          </w:p>
        </w:tc>
        <w:tc>
          <w:tcPr>
            <w:tcW w:w="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HWA004</w:t>
            </w: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32,080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36,150</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11,767</w:t>
            </w:r>
          </w:p>
        </w:tc>
        <w:tc>
          <w:tcPr>
            <w:tcW w:w="820" w:type="dxa"/>
            <w:vAlign w:val="bottom"/>
            <w:tcBorders>
              <w:bottom w:val="single" w:sz="8" w:color="CCEEFF"/>
            </w:tcBorders>
          </w:tcPr>
          <w:p>
            <w:pPr>
              <w:jc w:val="right"/>
              <w:ind w:right="214"/>
              <w:spacing w:after="0"/>
              <w:rPr>
                <w:sz w:val="20"/>
                <w:szCs w:val="20"/>
                <w:color w:val="auto"/>
              </w:rPr>
            </w:pPr>
            <w:r>
              <w:rPr>
                <w:rFonts w:ascii="Arial" w:cs="Arial" w:eastAsia="Arial" w:hAnsi="Arial"/>
                <w:sz w:val="13"/>
                <w:szCs w:val="13"/>
                <w:color w:val="auto"/>
              </w:rPr>
              <w:t>1998</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6"/>
              </w:rPr>
              <w:t>40.0</w:t>
            </w:r>
          </w:p>
        </w:tc>
      </w:tr>
      <w:tr>
        <w:trPr>
          <w:trHeight w:val="23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Subtotal</w:t>
            </w:r>
          </w:p>
        </w:tc>
        <w:tc>
          <w:tcPr>
            <w:tcW w:w="8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51,234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179,998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48,354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176,068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224,422</w:t>
            </w:r>
          </w:p>
        </w:tc>
        <w:tc>
          <w:tcPr>
            <w:tcW w:w="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50,464</w:t>
            </w: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2"/>
        </w:trPr>
        <w:tc>
          <w:tcPr>
            <w:tcW w:w="1760" w:type="dxa"/>
            <w:vAlign w:val="bottom"/>
            <w:gridSpan w:val="2"/>
          </w:tcPr>
          <w:p>
            <w:pPr>
              <w:ind w:left="20"/>
              <w:spacing w:after="0"/>
              <w:rPr>
                <w:sz w:val="20"/>
                <w:szCs w:val="20"/>
                <w:color w:val="auto"/>
              </w:rPr>
            </w:pPr>
            <w:r>
              <w:rPr>
                <w:rFonts w:ascii="Arial" w:cs="Arial" w:eastAsia="Arial" w:hAnsi="Arial"/>
                <w:sz w:val="13"/>
                <w:szCs w:val="13"/>
                <w:b w:val="1"/>
                <w:bCs w:val="1"/>
                <w:color w:val="auto"/>
              </w:rPr>
              <w:t>APARTMENT/RESID:</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Arizona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AAZ001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2,652</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Arizona</w:t>
            </w:r>
          </w:p>
        </w:tc>
        <w:tc>
          <w:tcPr>
            <w:tcW w:w="800" w:type="dxa"/>
            <w:vAlign w:val="bottom"/>
          </w:tcPr>
          <w:p>
            <w:pPr>
              <w:ind w:left="140"/>
              <w:spacing w:after="0"/>
              <w:rPr>
                <w:sz w:val="20"/>
                <w:szCs w:val="20"/>
                <w:color w:val="auto"/>
              </w:rPr>
            </w:pPr>
            <w:r>
              <w:rPr>
                <w:rFonts w:ascii="Arial" w:cs="Arial" w:eastAsia="Arial" w:hAnsi="Arial"/>
                <w:sz w:val="13"/>
                <w:szCs w:val="13"/>
                <w:color w:val="auto"/>
              </w:rPr>
              <w:t>AAZ002</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12,340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22,897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25,139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ACA001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800" w:type="dxa"/>
            <w:vAlign w:val="bottom"/>
          </w:tcPr>
          <w:p>
            <w:pPr>
              <w:ind w:left="140"/>
              <w:spacing w:after="0"/>
              <w:rPr>
                <w:sz w:val="20"/>
                <w:szCs w:val="20"/>
                <w:color w:val="auto"/>
              </w:rPr>
            </w:pPr>
            <w:r>
              <w:rPr>
                <w:rFonts w:ascii="Arial" w:cs="Arial" w:eastAsia="Arial" w:hAnsi="Arial"/>
                <w:sz w:val="13"/>
                <w:szCs w:val="13"/>
                <w:color w:val="auto"/>
              </w:rPr>
              <w:t>ACA002</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17,743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2007</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AFL001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3,657</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Florida</w:t>
            </w:r>
          </w:p>
        </w:tc>
        <w:tc>
          <w:tcPr>
            <w:tcW w:w="800" w:type="dxa"/>
            <w:vAlign w:val="bottom"/>
          </w:tcPr>
          <w:p>
            <w:pPr>
              <w:ind w:left="140"/>
              <w:spacing w:after="0"/>
              <w:rPr>
                <w:sz w:val="20"/>
                <w:szCs w:val="20"/>
                <w:color w:val="auto"/>
              </w:rPr>
            </w:pPr>
            <w:r>
              <w:rPr>
                <w:rFonts w:ascii="Arial" w:cs="Arial" w:eastAsia="Arial" w:hAnsi="Arial"/>
                <w:sz w:val="13"/>
                <w:szCs w:val="13"/>
                <w:color w:val="auto"/>
              </w:rPr>
              <w:t>AFL002</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20,312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Florida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AFL003</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2011</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Georgia</w:t>
            </w:r>
          </w:p>
        </w:tc>
        <w:tc>
          <w:tcPr>
            <w:tcW w:w="800" w:type="dxa"/>
            <w:vAlign w:val="bottom"/>
          </w:tcPr>
          <w:p>
            <w:pPr>
              <w:ind w:left="140"/>
              <w:spacing w:after="0"/>
              <w:rPr>
                <w:sz w:val="20"/>
                <w:szCs w:val="20"/>
                <w:color w:val="auto"/>
              </w:rPr>
            </w:pPr>
            <w:r>
              <w:rPr>
                <w:rFonts w:ascii="Arial" w:cs="Arial" w:eastAsia="Arial" w:hAnsi="Arial"/>
                <w:sz w:val="13"/>
                <w:szCs w:val="13"/>
                <w:color w:val="auto"/>
              </w:rPr>
              <w:t>AGA001</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16,332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Hawaii</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AHI001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Hawaii</w:t>
            </w:r>
          </w:p>
        </w:tc>
        <w:tc>
          <w:tcPr>
            <w:tcW w:w="800" w:type="dxa"/>
            <w:vAlign w:val="bottom"/>
          </w:tcPr>
          <w:p>
            <w:pPr>
              <w:ind w:left="140"/>
              <w:spacing w:after="0"/>
              <w:rPr>
                <w:sz w:val="20"/>
                <w:szCs w:val="20"/>
                <w:color w:val="auto"/>
              </w:rPr>
            </w:pPr>
            <w:r>
              <w:rPr>
                <w:rFonts w:ascii="Arial" w:cs="Arial" w:eastAsia="Arial" w:hAnsi="Arial"/>
                <w:sz w:val="13"/>
                <w:szCs w:val="13"/>
                <w:color w:val="auto"/>
              </w:rPr>
              <w:t>AHI002</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6,126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Hawaii</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AHI003</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5,418</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Nevada</w:t>
            </w:r>
          </w:p>
        </w:tc>
        <w:tc>
          <w:tcPr>
            <w:tcW w:w="800" w:type="dxa"/>
            <w:vAlign w:val="bottom"/>
          </w:tcPr>
          <w:p>
            <w:pPr>
              <w:ind w:left="140"/>
              <w:spacing w:after="0"/>
              <w:rPr>
                <w:sz w:val="20"/>
                <w:szCs w:val="20"/>
                <w:color w:val="auto"/>
              </w:rPr>
            </w:pPr>
            <w:r>
              <w:rPr>
                <w:rFonts w:ascii="Arial" w:cs="Arial" w:eastAsia="Arial" w:hAnsi="Arial"/>
                <w:sz w:val="13"/>
                <w:szCs w:val="13"/>
                <w:color w:val="auto"/>
              </w:rPr>
              <w:t>ANZ001</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44,815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Jersey</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ANJ001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20,098</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New York</w:t>
            </w:r>
          </w:p>
        </w:tc>
        <w:tc>
          <w:tcPr>
            <w:tcW w:w="800" w:type="dxa"/>
            <w:vAlign w:val="bottom"/>
          </w:tcPr>
          <w:p>
            <w:pPr>
              <w:ind w:left="140"/>
              <w:spacing w:after="0"/>
              <w:rPr>
                <w:sz w:val="20"/>
                <w:szCs w:val="20"/>
                <w:color w:val="auto"/>
              </w:rPr>
            </w:pPr>
            <w:r>
              <w:rPr>
                <w:rFonts w:ascii="Arial" w:cs="Arial" w:eastAsia="Arial" w:hAnsi="Arial"/>
                <w:sz w:val="13"/>
                <w:szCs w:val="13"/>
                <w:color w:val="auto"/>
              </w:rPr>
              <w:t>ANY001</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24,734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24,734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5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APA001</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69,056</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2012</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960" w:type="dxa"/>
            <w:vAlign w:val="bottom"/>
          </w:tcPr>
          <w:p>
            <w:pPr>
              <w:ind w:left="20"/>
              <w:spacing w:after="0"/>
              <w:rPr>
                <w:sz w:val="20"/>
                <w:szCs w:val="20"/>
                <w:color w:val="auto"/>
              </w:rPr>
            </w:pPr>
            <w:r>
              <w:rPr>
                <w:rFonts w:ascii="Arial" w:cs="Arial" w:eastAsia="Arial" w:hAnsi="Arial"/>
                <w:sz w:val="13"/>
                <w:szCs w:val="13"/>
                <w:color w:val="auto"/>
              </w:rPr>
              <w:t>Pennsylvania</w:t>
            </w:r>
          </w:p>
        </w:tc>
        <w:tc>
          <w:tcPr>
            <w:tcW w:w="800" w:type="dxa"/>
            <w:vAlign w:val="bottom"/>
          </w:tcPr>
          <w:p>
            <w:pPr>
              <w:ind w:left="140"/>
              <w:spacing w:after="0"/>
              <w:rPr>
                <w:sz w:val="20"/>
                <w:szCs w:val="20"/>
                <w:color w:val="auto"/>
              </w:rPr>
            </w:pPr>
            <w:r>
              <w:rPr>
                <w:rFonts w:ascii="Arial" w:cs="Arial" w:eastAsia="Arial" w:hAnsi="Arial"/>
                <w:sz w:val="13"/>
                <w:szCs w:val="13"/>
                <w:color w:val="auto"/>
              </w:rPr>
              <w:t>APA002</w:t>
            </w:r>
          </w:p>
        </w:tc>
        <w:tc>
          <w:tcPr>
            <w:tcW w:w="32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45,464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2012</w:t>
            </w:r>
          </w:p>
        </w:tc>
        <w:tc>
          <w:tcPr>
            <w:tcW w:w="780" w:type="dxa"/>
            <w:vAlign w:val="bottom"/>
          </w:tcPr>
          <w:p>
            <w:pPr>
              <w:jc w:val="center"/>
              <w:spacing w:after="0"/>
              <w:rPr>
                <w:sz w:val="20"/>
                <w:szCs w:val="20"/>
                <w:color w:val="auto"/>
              </w:rPr>
            </w:pPr>
            <w:r>
              <w:rPr>
                <w:rFonts w:ascii="Arial" w:cs="Arial" w:eastAsia="Arial" w:hAnsi="Arial"/>
                <w:sz w:val="13"/>
                <w:szCs w:val="13"/>
                <w:color w:val="auto"/>
                <w:w w:val="99"/>
              </w:rPr>
              <w:t>0.0</w:t>
            </w:r>
          </w:p>
        </w:tc>
      </w:tr>
      <w:tr>
        <w:trPr>
          <w:trHeight w:val="24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AWA001</w:t>
            </w:r>
          </w:p>
        </w:tc>
        <w:tc>
          <w:tcPr>
            <w:tcW w:w="3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44,478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17,115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18,017</w:t>
            </w:r>
          </w:p>
        </w:tc>
        <w:tc>
          <w:tcPr>
            <w:tcW w:w="2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2009</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28"/>
        </w:trPr>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Subtotal</w:t>
            </w:r>
          </w:p>
        </w:tc>
        <w:tc>
          <w:tcPr>
            <w:tcW w:w="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199,498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(484,614)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256,823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378,010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w:t>
            </w:r>
          </w:p>
        </w:tc>
        <w:tc>
          <w:tcPr>
            <w:tcW w:w="8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3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MIXED USE:</w:t>
            </w: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bl>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520"/>
          </w:cols>
          <w:pgMar w:left="240" w:top="247" w:right="139" w:bottom="1440" w:gutter="0" w:footer="0" w:header="0"/>
        </w:sectPr>
      </w:pPr>
    </w:p>
    <w:bookmarkStart w:id="110" w:name="page111"/>
    <w:bookmarkEnd w:id="110"/>
    <w:p>
      <w:pPr>
        <w:jc w:val="center"/>
        <w:ind w:right="99"/>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800" w:type="dxa"/>
            <w:vAlign w:val="bottom"/>
          </w:tcPr>
          <w:p>
            <w:pPr>
              <w:ind w:left="20"/>
              <w:spacing w:after="0"/>
              <w:rPr>
                <w:sz w:val="20"/>
                <w:szCs w:val="20"/>
                <w:color w:val="auto"/>
              </w:rPr>
            </w:pPr>
            <w:r>
              <w:rPr>
                <w:rFonts w:ascii="Arial" w:cs="Arial" w:eastAsia="Arial" w:hAnsi="Arial"/>
                <w:sz w:val="13"/>
                <w:szCs w:val="13"/>
                <w:color w:val="auto"/>
              </w:rPr>
              <w:t>Arizona</w:t>
            </w:r>
          </w:p>
        </w:tc>
        <w:tc>
          <w:tcPr>
            <w:tcW w:w="900" w:type="dxa"/>
            <w:vAlign w:val="bottom"/>
          </w:tcPr>
          <w:p>
            <w:pPr>
              <w:ind w:left="220"/>
              <w:spacing w:after="0"/>
              <w:rPr>
                <w:sz w:val="20"/>
                <w:szCs w:val="20"/>
                <w:color w:val="auto"/>
              </w:rPr>
            </w:pPr>
            <w:r>
              <w:rPr>
                <w:rFonts w:ascii="Arial" w:cs="Arial" w:eastAsia="Arial" w:hAnsi="Arial"/>
                <w:sz w:val="13"/>
                <w:szCs w:val="13"/>
                <w:color w:val="auto"/>
              </w:rPr>
              <w:t>MAZ002</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10,182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59,200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14,566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73,918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83,948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2,686</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2011</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54"/>
        </w:trPr>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MCA001</w:t>
            </w: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6,501</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42"/>
        </w:trPr>
        <w:tc>
          <w:tcPr>
            <w:tcW w:w="800" w:type="dxa"/>
            <w:vAlign w:val="bottom"/>
          </w:tcPr>
          <w:p>
            <w:pPr>
              <w:ind w:left="20"/>
              <w:spacing w:after="0"/>
              <w:rPr>
                <w:sz w:val="20"/>
                <w:szCs w:val="20"/>
                <w:color w:val="auto"/>
              </w:rPr>
            </w:pPr>
            <w:r>
              <w:rPr>
                <w:rFonts w:ascii="Arial" w:cs="Arial" w:eastAsia="Arial" w:hAnsi="Arial"/>
                <w:sz w:val="13"/>
                <w:szCs w:val="13"/>
                <w:color w:val="auto"/>
              </w:rPr>
              <w:t>Florida</w:t>
            </w:r>
          </w:p>
        </w:tc>
        <w:tc>
          <w:tcPr>
            <w:tcW w:w="900" w:type="dxa"/>
            <w:vAlign w:val="bottom"/>
          </w:tcPr>
          <w:p>
            <w:pPr>
              <w:ind w:left="220"/>
              <w:spacing w:after="0"/>
              <w:rPr>
                <w:sz w:val="20"/>
                <w:szCs w:val="20"/>
                <w:color w:val="auto"/>
              </w:rPr>
            </w:pPr>
            <w:r>
              <w:rPr>
                <w:rFonts w:ascii="Arial" w:cs="Arial" w:eastAsia="Arial" w:hAnsi="Arial"/>
                <w:sz w:val="13"/>
                <w:szCs w:val="13"/>
                <w:color w:val="auto"/>
              </w:rPr>
              <w:t>MFL001</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10"/>
              <w:spacing w:after="0"/>
              <w:rPr>
                <w:sz w:val="20"/>
                <w:szCs w:val="20"/>
                <w:color w:val="auto"/>
              </w:rPr>
            </w:pPr>
            <w:r>
              <w:rPr>
                <w:rFonts w:ascii="Arial" w:cs="Arial" w:eastAsia="Arial" w:hAnsi="Arial"/>
                <w:sz w:val="10"/>
                <w:szCs w:val="10"/>
                <w:color w:val="auto"/>
              </w:rPr>
              <w:t>(1)</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2,055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23,756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5,119</w:t>
            </w: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2008</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40.0</w:t>
            </w:r>
          </w:p>
        </w:tc>
      </w:tr>
      <w:tr>
        <w:trPr>
          <w:trHeight w:val="248"/>
        </w:trPr>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Georgia</w:t>
            </w:r>
          </w:p>
        </w:tc>
        <w:tc>
          <w:tcPr>
            <w:tcW w:w="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MGA001</w:t>
            </w: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1,271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23,667</w:t>
            </w: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2010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0.0</w:t>
            </w:r>
          </w:p>
        </w:tc>
      </w:tr>
      <w:tr>
        <w:trPr>
          <w:trHeight w:val="228"/>
        </w:trPr>
        <w:tc>
          <w:tcPr>
            <w:tcW w:w="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Subtotal</w:t>
            </w: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17,895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109,043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137,872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8,183</w:t>
            </w:r>
          </w:p>
        </w:tc>
        <w:tc>
          <w:tcPr>
            <w:tcW w:w="8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22"/>
        </w:trPr>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264,432</w:t>
            </w: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1,639,353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2,459,271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1,573,175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2,299,378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3,872,553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w w:val="97"/>
              </w:rPr>
              <w:t>(2)</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437,665</w:t>
            </w:r>
          </w:p>
        </w:tc>
        <w:tc>
          <w:tcPr>
            <w:tcW w:w="8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Consists of properties pledged as collateral under the Company's secured credit facilities with a total book value of $1.66 billion.</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aggregate cost for Federal income tax purposes was approximately $4.05 billion at December 31, 2012.</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521"/>
          </w:cols>
          <w:pgMar w:left="239" w:top="247" w:right="139" w:bottom="1440" w:gutter="0" w:footer="0" w:header="0"/>
        </w:sectPr>
      </w:pPr>
    </w:p>
    <w:bookmarkStart w:id="111" w:name="page112"/>
    <w:bookmarkEnd w:id="111"/>
    <w:p>
      <w:pPr>
        <w:ind w:left="5021"/>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right"/>
        <w:ind w:right="2019"/>
        <w:spacing w:after="0"/>
        <w:rPr>
          <w:sz w:val="20"/>
          <w:szCs w:val="20"/>
          <w:color w:val="auto"/>
        </w:rPr>
      </w:pPr>
      <w:r>
        <w:rPr>
          <w:rFonts w:ascii="Arial" w:cs="Arial" w:eastAsia="Arial" w:hAnsi="Arial"/>
          <w:sz w:val="17"/>
          <w:szCs w:val="17"/>
          <w:b w:val="1"/>
          <w:bCs w:val="1"/>
          <w:color w:val="auto"/>
        </w:rPr>
        <w:t>Schedule III—Real Estate and Accumulated Depreciation (Continued)</w:t>
      </w:r>
    </w:p>
    <w:p>
      <w:pPr>
        <w:spacing w:after="0" w:line="251" w:lineRule="exact"/>
        <w:rPr>
          <w:sz w:val="20"/>
          <w:szCs w:val="20"/>
          <w:color w:val="auto"/>
        </w:rPr>
      </w:pPr>
    </w:p>
    <w:p>
      <w:pPr>
        <w:jc w:val="center"/>
        <w:ind w:right="-1201"/>
        <w:spacing w:after="0"/>
        <w:rPr>
          <w:sz w:val="20"/>
          <w:szCs w:val="20"/>
          <w:color w:val="auto"/>
        </w:rPr>
      </w:pPr>
      <w:r>
        <w:rPr>
          <w:rFonts w:ascii="Arial" w:cs="Arial" w:eastAsia="Arial" w:hAnsi="Arial"/>
          <w:sz w:val="17"/>
          <w:szCs w:val="17"/>
          <w:b w:val="1"/>
          <w:bCs w:val="1"/>
          <w:color w:val="auto"/>
        </w:rPr>
        <w:t>As of December 31, 2012</w:t>
      </w:r>
    </w:p>
    <w:p>
      <w:pPr>
        <w:spacing w:after="0" w:line="127" w:lineRule="exact"/>
        <w:rPr>
          <w:sz w:val="20"/>
          <w:szCs w:val="20"/>
          <w:color w:val="auto"/>
        </w:rPr>
      </w:pPr>
    </w:p>
    <w:p>
      <w:pPr>
        <w:jc w:val="center"/>
        <w:ind w:right="-1201"/>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349" w:lineRule="exact"/>
        <w:rPr>
          <w:sz w:val="20"/>
          <w:szCs w:val="20"/>
          <w:color w:val="auto"/>
        </w:rPr>
      </w:pPr>
    </w:p>
    <w:p>
      <w:pPr>
        <w:ind w:left="341" w:hanging="341"/>
        <w:spacing w:after="0"/>
        <w:tabs>
          <w:tab w:leader="none" w:pos="341"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Real Estate:</w:t>
      </w:r>
    </w:p>
    <w:p>
      <w:pPr>
        <w:spacing w:after="0" w:line="255"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following table reconciles Real Estate from January 1, 2010 to December 31, 2012:</w:t>
      </w:r>
    </w:p>
    <w:p>
      <w:pPr>
        <w:spacing w:after="0" w:line="200" w:lineRule="exact"/>
        <w:rPr>
          <w:sz w:val="20"/>
          <w:szCs w:val="20"/>
          <w:color w:val="auto"/>
        </w:rPr>
      </w:pPr>
    </w:p>
    <w:p>
      <w:pPr>
        <w:spacing w:after="0" w:line="329" w:lineRule="exact"/>
        <w:rPr>
          <w:sz w:val="20"/>
          <w:szCs w:val="20"/>
          <w:color w:val="auto"/>
        </w:rPr>
      </w:pPr>
    </w:p>
    <w:tbl>
      <w:tblPr>
        <w:tblLayout w:type="fixed"/>
        <w:tblInd w:w="1841" w:type="dxa"/>
        <w:tblCellMar>
          <w:top w:w="0" w:type="dxa"/>
          <w:left w:w="0" w:type="dxa"/>
          <w:bottom w:w="0" w:type="dxa"/>
          <w:right w:w="0" w:type="dxa"/>
        </w:tblCellMar>
      </w:tblPr>
      <w:tr>
        <w:trPr>
          <w:trHeight w:val="176"/>
        </w:trPr>
        <w:tc>
          <w:tcPr>
            <w:tcW w:w="39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2010</w:t>
            </w:r>
          </w:p>
        </w:tc>
      </w:tr>
      <w:tr>
        <w:trPr>
          <w:trHeight w:val="22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4,022,173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3,745,539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4,690,096</w:t>
            </w:r>
          </w:p>
        </w:tc>
      </w:tr>
      <w:tr>
        <w:trPr>
          <w:trHeight w:val="222"/>
        </w:trPr>
        <w:tc>
          <w:tcPr>
            <w:tcW w:w="3940" w:type="dxa"/>
            <w:vAlign w:val="bottom"/>
          </w:tcPr>
          <w:p>
            <w:pPr>
              <w:ind w:left="20"/>
              <w:spacing w:after="0"/>
              <w:rPr>
                <w:sz w:val="20"/>
                <w:szCs w:val="20"/>
                <w:color w:val="auto"/>
              </w:rPr>
            </w:pPr>
            <w:r>
              <w:rPr>
                <w:rFonts w:ascii="Arial" w:cs="Arial" w:eastAsia="Arial" w:hAnsi="Arial"/>
                <w:sz w:val="17"/>
                <w:szCs w:val="17"/>
                <w:color w:val="auto"/>
              </w:rPr>
              <w:t>Improvements and additions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126,580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64,558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7"/>
                <w:szCs w:val="17"/>
                <w:color w:val="auto"/>
              </w:rPr>
              <w:t>160,549</w:t>
            </w:r>
          </w:p>
        </w:tc>
      </w:tr>
      <w:tr>
        <w:trPr>
          <w:trHeight w:val="26"/>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Acquisitions through foreclosure</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269,100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502,482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773,315</w:t>
            </w:r>
          </w:p>
        </w:tc>
      </w:tr>
      <w:tr>
        <w:trPr>
          <w:trHeight w:val="222"/>
        </w:trPr>
        <w:tc>
          <w:tcPr>
            <w:tcW w:w="3940" w:type="dxa"/>
            <w:vAlign w:val="bottom"/>
          </w:tcPr>
          <w:p>
            <w:pPr>
              <w:ind w:left="20"/>
              <w:spacing w:after="0"/>
              <w:rPr>
                <w:sz w:val="20"/>
                <w:szCs w:val="20"/>
                <w:color w:val="auto"/>
              </w:rPr>
            </w:pPr>
            <w:r>
              <w:rPr>
                <w:rFonts w:ascii="Arial" w:cs="Arial" w:eastAsia="Arial" w:hAnsi="Arial"/>
                <w:sz w:val="17"/>
                <w:szCs w:val="17"/>
                <w:color w:val="auto"/>
              </w:rPr>
              <w:t>Dispositions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(510,504)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(269,761)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(1,858,817)</w:t>
            </w:r>
          </w:p>
        </w:tc>
      </w:tr>
      <w:tr>
        <w:trPr>
          <w:trHeight w:val="26"/>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Impairments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(19,604)</w:t>
            </w:r>
          </w:p>
        </w:tc>
      </w:tr>
      <w:tr>
        <w:trPr>
          <w:trHeight w:val="234"/>
        </w:trPr>
        <w:tc>
          <w:tcPr>
            <w:tcW w:w="394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3,872,553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4,022,173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3,745,539</w:t>
            </w: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41" w:hanging="341"/>
        <w:spacing w:after="0"/>
        <w:tabs>
          <w:tab w:leader="none" w:pos="341"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Accumulated Depreciation:</w:t>
      </w:r>
    </w:p>
    <w:p>
      <w:pPr>
        <w:spacing w:after="0" w:line="255"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following table reconciles Accumulated Depreciation from January 1, 2010 to December 31, 2012:</w:t>
      </w:r>
    </w:p>
    <w:p>
      <w:pPr>
        <w:spacing w:after="0" w:line="200" w:lineRule="exact"/>
        <w:rPr>
          <w:sz w:val="20"/>
          <w:szCs w:val="20"/>
          <w:color w:val="auto"/>
        </w:rPr>
      </w:pPr>
    </w:p>
    <w:p>
      <w:pPr>
        <w:spacing w:after="0" w:line="329" w:lineRule="exact"/>
        <w:rPr>
          <w:sz w:val="20"/>
          <w:szCs w:val="20"/>
          <w:color w:val="auto"/>
        </w:rPr>
      </w:pPr>
    </w:p>
    <w:tbl>
      <w:tblPr>
        <w:tblLayout w:type="fixed"/>
        <w:tblInd w:w="1901" w:type="dxa"/>
        <w:tblCellMar>
          <w:top w:w="0" w:type="dxa"/>
          <w:left w:w="0" w:type="dxa"/>
          <w:bottom w:w="0" w:type="dxa"/>
          <w:right w:w="0" w:type="dxa"/>
        </w:tblCellMar>
      </w:tblPr>
      <w:tr>
        <w:trPr>
          <w:trHeight w:val="176"/>
        </w:trPr>
        <w:tc>
          <w:tcPr>
            <w:tcW w:w="36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2010</w:t>
            </w:r>
          </w:p>
        </w:tc>
      </w:tr>
      <w:tr>
        <w:trPr>
          <w:trHeight w:val="22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(396,804)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(357,420)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(525,113)</w:t>
            </w:r>
          </w:p>
        </w:tc>
      </w:tr>
      <w:tr>
        <w:trPr>
          <w:trHeight w:val="222"/>
        </w:trPr>
        <w:tc>
          <w:tcPr>
            <w:tcW w:w="3680" w:type="dxa"/>
            <w:vAlign w:val="bottom"/>
          </w:tcPr>
          <w:p>
            <w:pPr>
              <w:ind w:left="20"/>
              <w:spacing w:after="0"/>
              <w:rPr>
                <w:sz w:val="20"/>
                <w:szCs w:val="20"/>
                <w:color w:val="auto"/>
              </w:rPr>
            </w:pPr>
            <w:r>
              <w:rPr>
                <w:rFonts w:ascii="Arial" w:cs="Arial" w:eastAsia="Arial" w:hAnsi="Arial"/>
                <w:sz w:val="17"/>
                <w:szCs w:val="17"/>
                <w:color w:val="auto"/>
              </w:rPr>
              <w:t>Additions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(69,293)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(62,674)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(101,621)</w:t>
            </w:r>
          </w:p>
        </w:tc>
      </w:tr>
      <w:tr>
        <w:trPr>
          <w:trHeight w:val="26"/>
        </w:trPr>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Dispositions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28,432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23,290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269,314</w:t>
            </w:r>
          </w:p>
        </w:tc>
      </w:tr>
      <w:tr>
        <w:trPr>
          <w:trHeight w:val="234"/>
        </w:trPr>
        <w:tc>
          <w:tcPr>
            <w:tcW w:w="368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(437,665)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(396,804)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(357,420)</w:t>
            </w: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51"/>
        </w:trPr>
        <w:tc>
          <w:tcPr>
            <w:tcW w:w="368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rPr>
              <w:t>111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0"/>
          </w:cols>
          <w:pgMar w:left="239" w:top="247" w:right="1440" w:bottom="1440" w:gutter="0" w:footer="0" w:header="0"/>
        </w:sectPr>
      </w:pPr>
    </w:p>
    <w:bookmarkStart w:id="112" w:name="page113"/>
    <w:bookmarkEnd w:id="112"/>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IV—Mortgage Loans on Real Estate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Contractual</w:t>
            </w: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Contractual</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Face</w:t>
            </w:r>
          </w:p>
        </w:tc>
        <w:tc>
          <w:tcPr>
            <w:tcW w:w="180" w:type="dxa"/>
            <w:vAlign w:val="bottom"/>
          </w:tcPr>
          <w:p>
            <w:pPr>
              <w:spacing w:after="0"/>
              <w:rPr>
                <w:sz w:val="13"/>
                <w:szCs w:val="13"/>
                <w:color w:val="auto"/>
              </w:rPr>
            </w:pPr>
          </w:p>
        </w:tc>
        <w:tc>
          <w:tcPr>
            <w:tcW w:w="860" w:type="dxa"/>
            <w:vAlign w:val="bottom"/>
          </w:tcPr>
          <w:p>
            <w:pPr>
              <w:jc w:val="center"/>
              <w:ind w:right="114"/>
              <w:spacing w:after="0"/>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3"/>
              </w:rPr>
              <w:t>Interest</w:t>
            </w:r>
          </w:p>
        </w:tc>
        <w:tc>
          <w:tcPr>
            <w:tcW w:w="1120" w:type="dxa"/>
            <w:vAlign w:val="bottom"/>
            <w:gridSpan w:val="2"/>
          </w:tcPr>
          <w:p>
            <w:pPr>
              <w:jc w:val="center"/>
              <w:ind w:right="80"/>
              <w:spacing w:after="0" w:line="137" w:lineRule="exact"/>
              <w:rPr>
                <w:sz w:val="20"/>
                <w:szCs w:val="20"/>
                <w:color w:val="auto"/>
              </w:rPr>
            </w:pPr>
            <w:r>
              <w:rPr>
                <w:rFonts w:ascii="Arial" w:cs="Arial" w:eastAsia="Arial" w:hAnsi="Arial"/>
                <w:sz w:val="13"/>
                <w:szCs w:val="13"/>
                <w:b w:val="1"/>
                <w:bCs w:val="1"/>
                <w:color w:val="auto"/>
                <w:w w:val="93"/>
              </w:rPr>
              <w:t>Interest</w:t>
            </w:r>
          </w:p>
        </w:tc>
        <w:tc>
          <w:tcPr>
            <w:tcW w:w="116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2"/>
              </w:rPr>
              <w:t>Effective</w:t>
            </w:r>
          </w:p>
        </w:tc>
        <w:tc>
          <w:tcPr>
            <w:tcW w:w="70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3"/>
              </w:rPr>
              <w:t>Periodic</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860" w:type="dxa"/>
            <w:vAlign w:val="bottom"/>
          </w:tcPr>
          <w:p>
            <w:pPr>
              <w:jc w:val="center"/>
              <w:ind w:right="114"/>
              <w:spacing w:after="0" w:line="137" w:lineRule="exact"/>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37"/>
        </w:trPr>
        <w:tc>
          <w:tcPr>
            <w:tcW w:w="1360" w:type="dxa"/>
            <w:vAlign w:val="bottom"/>
            <w:gridSpan w:val="2"/>
          </w:tcPr>
          <w:p>
            <w:pPr>
              <w:ind w:left="20"/>
              <w:spacing w:after="0" w:line="137" w:lineRule="exact"/>
              <w:rPr>
                <w:sz w:val="20"/>
                <w:szCs w:val="20"/>
                <w:color w:val="auto"/>
              </w:rPr>
            </w:pPr>
            <w:r>
              <w:rPr>
                <w:rFonts w:ascii="Arial" w:cs="Arial" w:eastAsia="Arial" w:hAnsi="Arial"/>
                <w:sz w:val="13"/>
                <w:szCs w:val="13"/>
                <w:b w:val="1"/>
                <w:bCs w:val="1"/>
                <w:color w:val="auto"/>
              </w:rPr>
              <w:t>Type of</w:t>
            </w: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2"/>
              </w:rPr>
              <w:t>Accrual</w:t>
            </w:r>
          </w:p>
        </w:tc>
        <w:tc>
          <w:tcPr>
            <w:tcW w:w="112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2"/>
              </w:rPr>
              <w:t>Payment</w:t>
            </w:r>
          </w:p>
        </w:tc>
        <w:tc>
          <w:tcPr>
            <w:tcW w:w="1160" w:type="dxa"/>
            <w:vAlign w:val="bottom"/>
            <w:gridSpan w:val="2"/>
          </w:tcPr>
          <w:p>
            <w:pPr>
              <w:jc w:val="center"/>
              <w:ind w:right="80"/>
              <w:spacing w:after="0" w:line="137" w:lineRule="exact"/>
              <w:rPr>
                <w:sz w:val="20"/>
                <w:szCs w:val="20"/>
                <w:color w:val="auto"/>
              </w:rPr>
            </w:pPr>
            <w:r>
              <w:rPr>
                <w:rFonts w:ascii="Arial" w:cs="Arial" w:eastAsia="Arial" w:hAnsi="Arial"/>
                <w:sz w:val="13"/>
                <w:szCs w:val="13"/>
                <w:b w:val="1"/>
                <w:bCs w:val="1"/>
                <w:color w:val="auto"/>
              </w:rPr>
              <w:t>Maturity</w:t>
            </w:r>
          </w:p>
        </w:tc>
        <w:tc>
          <w:tcPr>
            <w:tcW w:w="700" w:type="dxa"/>
            <w:vAlign w:val="bottom"/>
            <w:gridSpan w:val="2"/>
          </w:tcPr>
          <w:p>
            <w:pPr>
              <w:jc w:val="center"/>
              <w:ind w:right="80"/>
              <w:spacing w:after="0" w:line="137" w:lineRule="exact"/>
              <w:rPr>
                <w:sz w:val="20"/>
                <w:szCs w:val="20"/>
                <w:color w:val="auto"/>
              </w:rPr>
            </w:pPr>
            <w:r>
              <w:rPr>
                <w:rFonts w:ascii="Arial" w:cs="Arial" w:eastAsia="Arial" w:hAnsi="Arial"/>
                <w:sz w:val="13"/>
                <w:szCs w:val="13"/>
                <w:b w:val="1"/>
                <w:bCs w:val="1"/>
                <w:color w:val="auto"/>
                <w:w w:val="92"/>
              </w:rPr>
              <w:t>Payment</w:t>
            </w:r>
          </w:p>
        </w:tc>
        <w:tc>
          <w:tcPr>
            <w:tcW w:w="100" w:type="dxa"/>
            <w:vAlign w:val="bottom"/>
          </w:tcPr>
          <w:p>
            <w:pPr>
              <w:spacing w:after="0"/>
              <w:rPr>
                <w:sz w:val="11"/>
                <w:szCs w:val="11"/>
                <w:color w:val="auto"/>
              </w:rPr>
            </w:pPr>
          </w:p>
        </w:tc>
        <w:tc>
          <w:tcPr>
            <w:tcW w:w="50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7"/>
              </w:rPr>
              <w:t>of</w:t>
            </w:r>
          </w:p>
        </w:tc>
        <w:tc>
          <w:tcPr>
            <w:tcW w:w="180" w:type="dxa"/>
            <w:vAlign w:val="bottom"/>
          </w:tcPr>
          <w:p>
            <w:pPr>
              <w:spacing w:after="0"/>
              <w:rPr>
                <w:sz w:val="11"/>
                <w:szCs w:val="11"/>
                <w:color w:val="auto"/>
              </w:rPr>
            </w:pPr>
          </w:p>
        </w:tc>
        <w:tc>
          <w:tcPr>
            <w:tcW w:w="860" w:type="dxa"/>
            <w:vAlign w:val="bottom"/>
          </w:tcPr>
          <w:p>
            <w:pPr>
              <w:jc w:val="center"/>
              <w:ind w:right="114"/>
              <w:spacing w:after="0" w:line="137"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76"/>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Loan/Borrower</w:t>
            </w:r>
          </w:p>
        </w:tc>
        <w:tc>
          <w:tcPr>
            <w:tcW w:w="100" w:type="dxa"/>
            <w:vAlign w:val="bottom"/>
            <w:tcBorders>
              <w:bottom w:val="single" w:sz="8" w:color="CCEEFF"/>
            </w:tcBorders>
          </w:tcPr>
          <w:p>
            <w:pPr>
              <w:spacing w:after="0"/>
              <w:rPr>
                <w:sz w:val="15"/>
                <w:szCs w:val="15"/>
                <w:color w:val="auto"/>
              </w:rPr>
            </w:pPr>
          </w:p>
        </w:tc>
        <w:tc>
          <w:tcPr>
            <w:tcW w:w="326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Underlying Property Type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Rates</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Rates</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Dates</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Terms</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Liens</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Mortgages</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Mortgages(1)(2)</w:t>
            </w:r>
          </w:p>
        </w:tc>
        <w:tc>
          <w:tcPr>
            <w:tcW w:w="0" w:type="dxa"/>
            <w:vAlign w:val="bottom"/>
          </w:tcPr>
          <w:p>
            <w:pPr>
              <w:spacing w:after="0"/>
              <w:rPr>
                <w:sz w:val="1"/>
                <w:szCs w:val="1"/>
                <w:color w:val="auto"/>
              </w:rPr>
            </w:pPr>
          </w:p>
        </w:tc>
      </w:tr>
      <w:tr>
        <w:trPr>
          <w:trHeight w:val="173"/>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Senior Mortgages:</w:t>
            </w: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Borrower A</w:t>
            </w:r>
          </w:p>
        </w:tc>
        <w:tc>
          <w:tcPr>
            <w:tcW w:w="3360" w:type="dxa"/>
            <w:vAlign w:val="bottom"/>
            <w:gridSpan w:val="2"/>
          </w:tcPr>
          <w:p>
            <w:pPr>
              <w:ind w:left="20"/>
              <w:spacing w:after="0"/>
              <w:rPr>
                <w:sz w:val="20"/>
                <w:szCs w:val="20"/>
                <w:color w:val="auto"/>
              </w:rPr>
            </w:pPr>
            <w:r>
              <w:rPr>
                <w:rFonts w:ascii="Arial" w:cs="Arial" w:eastAsia="Arial" w:hAnsi="Arial"/>
                <w:sz w:val="13"/>
                <w:szCs w:val="13"/>
                <w:color w:val="auto"/>
              </w:rPr>
              <w:t>Mixed Use/Mixed Collateral</w:t>
            </w: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LIBOR + 3.3%</w:t>
            </w: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LIBOR + 3.3%</w:t>
            </w: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October 2013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99,725</w:t>
            </w:r>
          </w:p>
        </w:tc>
        <w:tc>
          <w:tcPr>
            <w:tcW w:w="10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99,730</w:t>
            </w: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Borrower B</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Condominium</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LIBOR + 3.5%</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LIBOR + 3.5%</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May 2013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98,055</w:t>
            </w:r>
          </w:p>
        </w:tc>
        <w:tc>
          <w:tcPr>
            <w:tcW w:w="0" w:type="dxa"/>
            <w:vAlign w:val="bottom"/>
          </w:tcPr>
          <w:p>
            <w:pPr>
              <w:spacing w:after="0"/>
              <w:rPr>
                <w:sz w:val="1"/>
                <w:szCs w:val="1"/>
                <w:color w:val="auto"/>
              </w:rPr>
            </w:pPr>
          </w:p>
        </w:tc>
      </w:tr>
      <w:tr>
        <w:trPr>
          <w:trHeight w:val="74"/>
        </w:trPr>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Borrower C(3)</w:t>
            </w:r>
          </w:p>
        </w:tc>
        <w:tc>
          <w:tcPr>
            <w:tcW w:w="3360" w:type="dxa"/>
            <w:vAlign w:val="bottom"/>
            <w:gridSpan w:val="2"/>
          </w:tcPr>
          <w:p>
            <w:pPr>
              <w:ind w:left="20"/>
              <w:spacing w:after="0"/>
              <w:rPr>
                <w:sz w:val="20"/>
                <w:szCs w:val="20"/>
                <w:color w:val="auto"/>
              </w:rPr>
            </w:pPr>
            <w:r>
              <w:rPr>
                <w:rFonts w:ascii="Arial" w:cs="Arial" w:eastAsia="Arial" w:hAnsi="Arial"/>
                <w:sz w:val="13"/>
                <w:szCs w:val="13"/>
                <w:color w:val="auto"/>
              </w:rPr>
              <w:t>Entertainment/Leisure</w:t>
            </w:r>
          </w:p>
        </w:tc>
        <w:tc>
          <w:tcPr>
            <w:tcW w:w="1040" w:type="dxa"/>
            <w:vAlign w:val="bottom"/>
          </w:tcPr>
          <w:p>
            <w:pPr>
              <w:ind w:left="4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April 2009</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221,358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74,541</w:t>
            </w: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Borrower D(4)</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LIBOR + 3.5%</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LIBOR + 3.5%</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May 2009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62,248</w:t>
            </w:r>
          </w:p>
        </w:tc>
        <w:tc>
          <w:tcPr>
            <w:tcW w:w="0" w:type="dxa"/>
            <w:vAlign w:val="bottom"/>
          </w:tcPr>
          <w:p>
            <w:pPr>
              <w:spacing w:after="0"/>
              <w:rPr>
                <w:sz w:val="1"/>
                <w:szCs w:val="1"/>
                <w:color w:val="auto"/>
              </w:rPr>
            </w:pPr>
          </w:p>
        </w:tc>
      </w:tr>
      <w:tr>
        <w:trPr>
          <w:trHeight w:val="74"/>
        </w:trPr>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Borrower E(5)</w:t>
            </w:r>
          </w:p>
        </w:tc>
        <w:tc>
          <w:tcPr>
            <w:tcW w:w="3360" w:type="dxa"/>
            <w:vAlign w:val="bottom"/>
            <w:gridSpan w:val="2"/>
          </w:tcPr>
          <w:p>
            <w:pPr>
              <w:ind w:left="20"/>
              <w:spacing w:after="0"/>
              <w:rPr>
                <w:sz w:val="20"/>
                <w:szCs w:val="20"/>
                <w:color w:val="auto"/>
              </w:rPr>
            </w:pPr>
            <w:r>
              <w:rPr>
                <w:rFonts w:ascii="Arial" w:cs="Arial" w:eastAsia="Arial" w:hAnsi="Arial"/>
                <w:sz w:val="13"/>
                <w:szCs w:val="13"/>
                <w:color w:val="auto"/>
              </w:rPr>
              <w:t>Condominium</w:t>
            </w: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LIBOR + 4%</w:t>
            </w: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LIBOR + 4%</w:t>
            </w: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December 2013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59,338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59,474</w:t>
            </w: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Borrower F(6)</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LIBOR + 3.5%</w:t>
            </w:r>
          </w:p>
        </w:tc>
        <w:tc>
          <w:tcPr>
            <w:tcW w:w="1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June 2010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56,087</w:t>
            </w:r>
          </w:p>
        </w:tc>
        <w:tc>
          <w:tcPr>
            <w:tcW w:w="0" w:type="dxa"/>
            <w:vAlign w:val="bottom"/>
          </w:tcPr>
          <w:p>
            <w:pPr>
              <w:spacing w:after="0"/>
              <w:rPr>
                <w:sz w:val="1"/>
                <w:szCs w:val="1"/>
                <w:color w:val="auto"/>
              </w:rPr>
            </w:pPr>
          </w:p>
        </w:tc>
      </w:tr>
      <w:tr>
        <w:trPr>
          <w:trHeight w:val="74"/>
        </w:trPr>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Borrower G(7)</w:t>
            </w:r>
          </w:p>
        </w:tc>
        <w:tc>
          <w:tcPr>
            <w:tcW w:w="3360" w:type="dxa"/>
            <w:vAlign w:val="bottom"/>
            <w:gridSpan w:val="2"/>
          </w:tcPr>
          <w:p>
            <w:pPr>
              <w:ind w:left="20"/>
              <w:spacing w:after="0"/>
              <w:rPr>
                <w:sz w:val="20"/>
                <w:szCs w:val="20"/>
                <w:color w:val="auto"/>
              </w:rPr>
            </w:pPr>
            <w:r>
              <w:rPr>
                <w:rFonts w:ascii="Arial" w:cs="Arial" w:eastAsia="Arial" w:hAnsi="Arial"/>
                <w:sz w:val="13"/>
                <w:szCs w:val="13"/>
                <w:color w:val="auto"/>
              </w:rPr>
              <w:t>Hotel</w:t>
            </w: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LIBOR + 4.25%</w:t>
            </w: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LIBOR + 4.25%</w:t>
            </w: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June 2014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P&amp;I</w:t>
            </w:r>
          </w:p>
        </w:tc>
        <w:tc>
          <w:tcPr>
            <w:tcW w:w="1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55,830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55,816</w:t>
            </w: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Borrower H(8)</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Industrial/R&amp;D</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LIBOR + 1.5%</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LIBOR + 1.5%</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December 2014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51,705</w:t>
            </w:r>
          </w:p>
        </w:tc>
        <w:tc>
          <w:tcPr>
            <w:tcW w:w="0" w:type="dxa"/>
            <w:vAlign w:val="bottom"/>
          </w:tcPr>
          <w:p>
            <w:pPr>
              <w:spacing w:after="0"/>
              <w:rPr>
                <w:sz w:val="1"/>
                <w:szCs w:val="1"/>
                <w:color w:val="auto"/>
              </w:rPr>
            </w:pPr>
          </w:p>
        </w:tc>
      </w:tr>
      <w:tr>
        <w:trPr>
          <w:trHeight w:val="74"/>
        </w:trPr>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Borrower I</w:t>
            </w:r>
          </w:p>
        </w:tc>
        <w:tc>
          <w:tcPr>
            <w:tcW w:w="3360" w:type="dxa"/>
            <w:vAlign w:val="bottom"/>
            <w:gridSpan w:val="2"/>
          </w:tcPr>
          <w:p>
            <w:pPr>
              <w:ind w:left="20"/>
              <w:spacing w:after="0"/>
              <w:rPr>
                <w:sz w:val="20"/>
                <w:szCs w:val="20"/>
                <w:color w:val="auto"/>
              </w:rPr>
            </w:pPr>
            <w:r>
              <w:rPr>
                <w:rFonts w:ascii="Arial" w:cs="Arial" w:eastAsia="Arial" w:hAnsi="Arial"/>
                <w:sz w:val="13"/>
                <w:szCs w:val="13"/>
                <w:color w:val="auto"/>
              </w:rPr>
              <w:t>Land</w:t>
            </w: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LIBOR + 7%</w:t>
            </w: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LIBOR + 7%</w:t>
            </w: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June 2013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IO</w:t>
            </w:r>
          </w:p>
        </w:tc>
        <w:tc>
          <w:tcPr>
            <w:tcW w:w="1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46,910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47,666</w:t>
            </w: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6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Senior mortgages</w:t>
            </w:r>
          </w:p>
        </w:tc>
        <w:tc>
          <w:tcPr>
            <w:tcW w:w="336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Condominium, Retail, Land, Industrial/R&amp;D, Mixed</w:t>
            </w:r>
          </w:p>
        </w:tc>
        <w:tc>
          <w:tcPr>
            <w:tcW w:w="11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Fixed: 4% to 23%</w:t>
            </w:r>
          </w:p>
        </w:tc>
        <w:tc>
          <w:tcPr>
            <w:tcW w:w="11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Fixed: 2.5% to</w:t>
            </w:r>
          </w:p>
        </w:tc>
        <w:tc>
          <w:tcPr>
            <w:tcW w:w="116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3"/>
                <w:szCs w:val="13"/>
                <w:color w:val="auto"/>
              </w:rPr>
              <w:t>2013 to 2024</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3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individually &lt;3%</w:t>
            </w:r>
          </w:p>
        </w:tc>
        <w:tc>
          <w:tcPr>
            <w:tcW w:w="336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3"/>
                <w:szCs w:val="13"/>
                <w:color w:val="auto"/>
                <w:w w:val="98"/>
              </w:rPr>
              <w:t>Use/Mixed Collateral, Office, Hotel, Entertainment/Leisure,</w:t>
            </w:r>
          </w:p>
        </w:tc>
        <w:tc>
          <w:tcPr>
            <w:tcW w:w="114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3"/>
                <w:szCs w:val="13"/>
                <w:color w:val="auto"/>
              </w:rPr>
              <w:t>Variable:</w:t>
            </w:r>
          </w:p>
        </w:tc>
        <w:tc>
          <w:tcPr>
            <w:tcW w:w="11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3"/>
                <w:szCs w:val="13"/>
                <w:color w:val="auto"/>
              </w:rPr>
              <w:t>10% Variable:</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6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3"/>
                <w:szCs w:val="13"/>
                <w:color w:val="auto"/>
              </w:rPr>
              <w:t>Other</w:t>
            </w:r>
          </w:p>
        </w:tc>
        <w:tc>
          <w:tcPr>
            <w:tcW w:w="114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3"/>
                <w:szCs w:val="13"/>
                <w:color w:val="auto"/>
              </w:rPr>
              <w:t>LIBOR + 1.5% to</w:t>
            </w:r>
          </w:p>
        </w:tc>
        <w:tc>
          <w:tcPr>
            <w:tcW w:w="11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3"/>
                <w:szCs w:val="13"/>
                <w:color w:val="auto"/>
              </w:rPr>
              <w:t>LIBOR + 0.5% to</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LIBOR + 8.25%</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LIBOR + 8.25%</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902,836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703,173</w:t>
            </w:r>
          </w:p>
        </w:tc>
        <w:tc>
          <w:tcPr>
            <w:tcW w:w="0" w:type="dxa"/>
            <w:vAlign w:val="bottom"/>
          </w:tcPr>
          <w:p>
            <w:pPr>
              <w:spacing w:after="0"/>
              <w:rPr>
                <w:sz w:val="1"/>
                <w:szCs w:val="1"/>
                <w:color w:val="auto"/>
              </w:rPr>
            </w:pPr>
          </w:p>
        </w:tc>
      </w:tr>
      <w:tr>
        <w:trPr>
          <w:trHeight w:val="228"/>
        </w:trPr>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1,746,877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1,308,495</w:t>
            </w:r>
          </w:p>
        </w:tc>
        <w:tc>
          <w:tcPr>
            <w:tcW w:w="0" w:type="dxa"/>
            <w:vAlign w:val="bottom"/>
          </w:tcPr>
          <w:p>
            <w:pPr>
              <w:spacing w:after="0"/>
              <w:rPr>
                <w:sz w:val="1"/>
                <w:szCs w:val="1"/>
                <w:color w:val="auto"/>
              </w:rPr>
            </w:pPr>
          </w:p>
        </w:tc>
      </w:tr>
      <w:tr>
        <w:trPr>
          <w:trHeight w:val="131"/>
        </w:trPr>
        <w:tc>
          <w:tcPr>
            <w:tcW w:w="136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Subordinate</w:t>
            </w:r>
          </w:p>
        </w:tc>
        <w:tc>
          <w:tcPr>
            <w:tcW w:w="3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Mortgages:</w:t>
            </w: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6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Subordinate</w:t>
            </w:r>
          </w:p>
        </w:tc>
        <w:tc>
          <w:tcPr>
            <w:tcW w:w="33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Retail, Mixed Use/Mixed Collateral, Office, Hotel, Other</w:t>
            </w:r>
          </w:p>
        </w:tc>
        <w:tc>
          <w:tcPr>
            <w:tcW w:w="114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Fixed: 5% to 14%</w:t>
            </w:r>
          </w:p>
        </w:tc>
        <w:tc>
          <w:tcPr>
            <w:tcW w:w="11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Fixed: 6.5% to</w:t>
            </w:r>
          </w:p>
        </w:tc>
        <w:tc>
          <w:tcPr>
            <w:tcW w:w="116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2013 to 2018</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360" w:type="dxa"/>
            <w:vAlign w:val="bottom"/>
            <w:gridSpan w:val="2"/>
          </w:tcPr>
          <w:p>
            <w:pPr>
              <w:ind w:left="140"/>
              <w:spacing w:after="0" w:line="137" w:lineRule="exact"/>
              <w:rPr>
                <w:sz w:val="20"/>
                <w:szCs w:val="20"/>
                <w:color w:val="auto"/>
              </w:rPr>
            </w:pPr>
            <w:r>
              <w:rPr>
                <w:rFonts w:ascii="Arial" w:cs="Arial" w:eastAsia="Arial" w:hAnsi="Arial"/>
                <w:sz w:val="13"/>
                <w:szCs w:val="13"/>
                <w:color w:val="auto"/>
              </w:rPr>
              <w:t>mortgages</w:t>
            </w: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40"/>
              <w:spacing w:after="0" w:line="137" w:lineRule="exact"/>
              <w:rPr>
                <w:sz w:val="20"/>
                <w:szCs w:val="20"/>
                <w:color w:val="auto"/>
              </w:rPr>
            </w:pPr>
            <w:r>
              <w:rPr>
                <w:rFonts w:ascii="Arial" w:cs="Arial" w:eastAsia="Arial" w:hAnsi="Arial"/>
                <w:sz w:val="13"/>
                <w:szCs w:val="13"/>
                <w:color w:val="auto"/>
              </w:rPr>
              <w:t>Variable:</w:t>
            </w:r>
          </w:p>
        </w:tc>
        <w:tc>
          <w:tcPr>
            <w:tcW w:w="112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10.5% Variable:</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360" w:type="dxa"/>
            <w:vAlign w:val="bottom"/>
            <w:gridSpan w:val="2"/>
          </w:tcPr>
          <w:p>
            <w:pPr>
              <w:ind w:left="140"/>
              <w:spacing w:after="0" w:line="137" w:lineRule="exact"/>
              <w:rPr>
                <w:sz w:val="20"/>
                <w:szCs w:val="20"/>
                <w:color w:val="auto"/>
              </w:rPr>
            </w:pPr>
            <w:r>
              <w:rPr>
                <w:rFonts w:ascii="Arial" w:cs="Arial" w:eastAsia="Arial" w:hAnsi="Arial"/>
                <w:sz w:val="13"/>
                <w:szCs w:val="13"/>
                <w:color w:val="auto"/>
              </w:rPr>
              <w:t>individually &lt;3%</w:t>
            </w: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40"/>
              <w:spacing w:after="0" w:line="137" w:lineRule="exact"/>
              <w:rPr>
                <w:sz w:val="20"/>
                <w:szCs w:val="20"/>
                <w:color w:val="auto"/>
              </w:rPr>
            </w:pPr>
            <w:r>
              <w:rPr>
                <w:rFonts w:ascii="Arial" w:cs="Arial" w:eastAsia="Arial" w:hAnsi="Arial"/>
                <w:sz w:val="13"/>
                <w:szCs w:val="13"/>
                <w:color w:val="auto"/>
              </w:rPr>
              <w:t>LIBOR + 3.98%</w:t>
            </w:r>
          </w:p>
        </w:tc>
        <w:tc>
          <w:tcPr>
            <w:tcW w:w="112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LIBOR + 3.98%</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40"/>
              <w:spacing w:after="0" w:line="137" w:lineRule="exact"/>
              <w:rPr>
                <w:sz w:val="20"/>
                <w:szCs w:val="20"/>
                <w:color w:val="auto"/>
              </w:rPr>
            </w:pPr>
            <w:r>
              <w:rPr>
                <w:rFonts w:ascii="Arial" w:cs="Arial" w:eastAsia="Arial" w:hAnsi="Arial"/>
                <w:sz w:val="13"/>
                <w:szCs w:val="13"/>
                <w:color w:val="auto"/>
              </w:rPr>
              <w:t>to LIBOR +</w:t>
            </w:r>
          </w:p>
        </w:tc>
        <w:tc>
          <w:tcPr>
            <w:tcW w:w="112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to LIBOR +</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152,011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113,159</w:t>
            </w: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152,011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113,159</w:t>
            </w:r>
          </w:p>
        </w:tc>
        <w:tc>
          <w:tcPr>
            <w:tcW w:w="0" w:type="dxa"/>
            <w:vAlign w:val="bottom"/>
          </w:tcPr>
          <w:p>
            <w:pPr>
              <w:spacing w:after="0"/>
              <w:rPr>
                <w:sz w:val="1"/>
                <w:szCs w:val="1"/>
                <w:color w:val="auto"/>
              </w:rPr>
            </w:pPr>
          </w:p>
        </w:tc>
      </w:tr>
      <w:tr>
        <w:trPr>
          <w:trHeight w:val="155"/>
        </w:trPr>
        <w:tc>
          <w:tcPr>
            <w:tcW w:w="1360" w:type="dxa"/>
            <w:vAlign w:val="bottom"/>
            <w:gridSpan w:val="2"/>
          </w:tcPr>
          <w:p>
            <w:pPr>
              <w:ind w:left="20"/>
              <w:spacing w:after="0"/>
              <w:rPr>
                <w:sz w:val="20"/>
                <w:szCs w:val="20"/>
                <w:color w:val="auto"/>
              </w:rPr>
            </w:pPr>
            <w:r>
              <w:rPr>
                <w:rFonts w:ascii="Arial" w:cs="Arial" w:eastAsia="Arial" w:hAnsi="Arial"/>
                <w:sz w:val="13"/>
                <w:szCs w:val="13"/>
                <w:color w:val="auto"/>
              </w:rPr>
              <w:t>Total mortgages</w:t>
            </w: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1,898,888</w:t>
            </w:r>
          </w:p>
        </w:tc>
        <w:tc>
          <w:tcPr>
            <w:tcW w:w="100" w:type="dxa"/>
            <w:vAlign w:val="bottom"/>
          </w:tcPr>
          <w:p>
            <w:pPr>
              <w:spacing w:after="0"/>
              <w:rPr>
                <w:sz w:val="13"/>
                <w:szCs w:val="13"/>
                <w:color w:val="auto"/>
              </w:rPr>
            </w:pPr>
          </w:p>
        </w:tc>
        <w:tc>
          <w:tcPr>
            <w:tcW w:w="1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1,421,654</w:t>
            </w:r>
          </w:p>
        </w:tc>
        <w:tc>
          <w:tcPr>
            <w:tcW w:w="0" w:type="dxa"/>
            <w:vAlign w:val="bottom"/>
          </w:tcPr>
          <w:p>
            <w:pPr>
              <w:spacing w:after="0"/>
              <w:rPr>
                <w:sz w:val="1"/>
                <w:szCs w:val="1"/>
                <w:color w:val="auto"/>
              </w:rPr>
            </w:pPr>
          </w:p>
        </w:tc>
      </w:tr>
      <w:tr>
        <w:trPr>
          <w:trHeight w:val="60"/>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vMerge w:val="continue"/>
          </w:tcPr>
          <w:p>
            <w:pPr>
              <w:spacing w:after="0"/>
              <w:rPr>
                <w:sz w:val="4"/>
                <w:szCs w:val="4"/>
                <w:color w:val="auto"/>
              </w:rPr>
            </w:pPr>
          </w:p>
        </w:tc>
        <w:tc>
          <w:tcPr>
            <w:tcW w:w="6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vMerge w:val="continue"/>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are presented net of asset-specific reserves of $482.3 million on impaired loans. Impairment is measured using the estimated fair value of collateral, less costs to sell.</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carrying amount of mortgages approximated the federal income tax basis.</w:t>
      </w:r>
    </w:p>
    <w:p>
      <w:pPr>
        <w:ind w:left="601" w:hanging="601"/>
        <w:spacing w:after="0"/>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Loan is in default with $221.4 million of principal that is more than 90 days delinquent. Loan is designated as non-performing and is on non-accrual status.</w:t>
      </w:r>
    </w:p>
    <w:p>
      <w:pPr>
        <w:ind w:left="601" w:hanging="601"/>
        <w:spacing w:after="0" w:line="239" w:lineRule="auto"/>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Loan is in default with $71.5 million of principal that is more than 90 days delinquent. Loan is designated as non-performing and is on non-accrual status. As of December 31, 2012, included a LIBOR interest rate floor of 3.5%.</w:t>
      </w:r>
    </w:p>
    <w:p>
      <w:pPr>
        <w:ind w:left="601" w:hanging="601"/>
        <w:spacing w:after="0"/>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As of December 31, 2012, included a LIBOR interest rate floor of 4.0%.</w:t>
      </w:r>
    </w:p>
    <w:p>
      <w:pPr>
        <w:ind w:left="601" w:hanging="601"/>
        <w:spacing w:after="0"/>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Loan is in default with $137.8 million of principal that is more than 90 days delinquent. Loan is designated as non-performing and is on non-accrual status.</w:t>
      </w:r>
    </w:p>
    <w:p>
      <w:pPr>
        <w:ind w:left="601" w:hanging="601"/>
        <w:spacing w:after="0"/>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Loan is in default with interest payments that are more than 90 days delinquent. Loan is designated as non-performing and is on non-accrual status.</w:t>
      </w:r>
    </w:p>
    <w:p>
      <w:pPr>
        <w:ind w:left="601" w:hanging="601"/>
        <w:spacing w:after="0"/>
        <w:tabs>
          <w:tab w:leader="none" w:pos="6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As of December 31, 2012, included a LIBOR interest rate floor of 3.88%.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1"/>
          </w:cols>
          <w:pgMar w:left="239" w:top="120" w:right="239" w:bottom="1440" w:gutter="0" w:footer="0" w:header="0"/>
        </w:sectPr>
      </w:pPr>
    </w:p>
    <w:bookmarkStart w:id="113" w:name="page114"/>
    <w:bookmarkEnd w:id="113"/>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ind w:left="5041"/>
        <w:spacing w:after="0"/>
        <w:rPr>
          <w:sz w:val="20"/>
          <w:szCs w:val="20"/>
          <w:color w:val="auto"/>
        </w:rPr>
      </w:pPr>
      <w:r>
        <w:rPr>
          <w:rFonts w:ascii="Arial" w:cs="Arial" w:eastAsia="Arial" w:hAnsi="Arial"/>
          <w:sz w:val="17"/>
          <w:szCs w:val="17"/>
          <w:b w:val="1"/>
          <w:bCs w:val="1"/>
          <w:color w:val="auto"/>
        </w:rPr>
        <w:t>iStar Financial Inc.</w:t>
      </w:r>
    </w:p>
    <w:p>
      <w:pPr>
        <w:spacing w:after="0" w:line="251" w:lineRule="exact"/>
        <w:rPr>
          <w:sz w:val="20"/>
          <w:szCs w:val="20"/>
          <w:color w:val="auto"/>
        </w:rPr>
      </w:pPr>
    </w:p>
    <w:p>
      <w:pPr>
        <w:ind w:left="3641"/>
        <w:spacing w:after="0"/>
        <w:rPr>
          <w:sz w:val="20"/>
          <w:szCs w:val="20"/>
          <w:color w:val="auto"/>
        </w:rPr>
      </w:pPr>
      <w:r>
        <w:rPr>
          <w:rFonts w:ascii="Arial" w:cs="Arial" w:eastAsia="Arial" w:hAnsi="Arial"/>
          <w:sz w:val="17"/>
          <w:szCs w:val="17"/>
          <w:b w:val="1"/>
          <w:bCs w:val="1"/>
          <w:color w:val="auto"/>
        </w:rPr>
        <w:t>Schedule IV—Mortgage Loans on Real Estate (Continued)</w:t>
      </w:r>
    </w:p>
    <w:p>
      <w:pPr>
        <w:spacing w:after="0" w:line="251" w:lineRule="exact"/>
        <w:rPr>
          <w:sz w:val="20"/>
          <w:szCs w:val="20"/>
          <w:color w:val="auto"/>
        </w:rPr>
      </w:pPr>
    </w:p>
    <w:p>
      <w:pPr>
        <w:ind w:left="4841"/>
        <w:spacing w:after="0"/>
        <w:rPr>
          <w:sz w:val="20"/>
          <w:szCs w:val="20"/>
          <w:color w:val="auto"/>
        </w:rPr>
      </w:pPr>
      <w:r>
        <w:rPr>
          <w:rFonts w:ascii="Arial" w:cs="Arial" w:eastAsia="Arial" w:hAnsi="Arial"/>
          <w:sz w:val="17"/>
          <w:szCs w:val="17"/>
          <w:b w:val="1"/>
          <w:bCs w:val="1"/>
          <w:color w:val="auto"/>
        </w:rPr>
        <w:t>As of December 31, 2012</w:t>
      </w:r>
    </w:p>
    <w:p>
      <w:pPr>
        <w:spacing w:after="0" w:line="251" w:lineRule="exact"/>
        <w:rPr>
          <w:sz w:val="20"/>
          <w:szCs w:val="20"/>
          <w:color w:val="auto"/>
        </w:rPr>
      </w:pPr>
    </w:p>
    <w:p>
      <w:pPr>
        <w:ind w:left="5141"/>
        <w:spacing w:after="0"/>
        <w:rPr>
          <w:sz w:val="20"/>
          <w:szCs w:val="20"/>
          <w:color w:val="auto"/>
        </w:rPr>
      </w:pPr>
      <w:r>
        <w:rPr>
          <w:rFonts w:ascii="Arial" w:cs="Arial" w:eastAsia="Arial" w:hAnsi="Arial"/>
          <w:sz w:val="17"/>
          <w:szCs w:val="17"/>
          <w:b w:val="1"/>
          <w:bCs w:val="1"/>
          <w:color w:val="auto"/>
        </w:rPr>
        <w:t>($ in thousands)</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Reconciliation of Mortgage Loans on Real Estate:</w:t>
      </w:r>
    </w:p>
    <w:p>
      <w:pPr>
        <w:spacing w:after="0" w:line="206"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following table reconciles Mortgage Loans on Real Estate from January 1, 2010 to December 31, 2012 (1):</w:t>
      </w:r>
    </w:p>
    <w:p>
      <w:pPr>
        <w:spacing w:after="0" w:line="33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40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3"/>
                <w:szCs w:val="13"/>
                <w:b w:val="1"/>
                <w:bCs w:val="1"/>
                <w:color w:val="auto"/>
              </w:rPr>
              <w:t>2012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3"/>
                <w:szCs w:val="13"/>
                <w:b w:val="1"/>
                <w:bCs w:val="1"/>
                <w:color w:val="auto"/>
              </w:rPr>
              <w:t>2011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3"/>
                <w:szCs w:val="13"/>
                <w:b w:val="1"/>
                <w:bCs w:val="1"/>
                <w:color w:val="auto"/>
              </w:rPr>
              <w:t>2010</w:t>
            </w: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Balance at January 1</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2,449,554</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4,012,067</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6,662,379</w:t>
            </w:r>
          </w:p>
        </w:tc>
      </w:tr>
      <w:tr>
        <w:trPr>
          <w:trHeight w:val="26"/>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2"/>
        </w:trPr>
        <w:tc>
          <w:tcPr>
            <w:tcW w:w="4060" w:type="dxa"/>
            <w:vAlign w:val="bottom"/>
          </w:tcPr>
          <w:p>
            <w:pPr>
              <w:ind w:left="140"/>
              <w:spacing w:after="0"/>
              <w:rPr>
                <w:sz w:val="20"/>
                <w:szCs w:val="20"/>
                <w:color w:val="auto"/>
              </w:rPr>
            </w:pPr>
            <w:r>
              <w:rPr>
                <w:rFonts w:ascii="Arial" w:cs="Arial" w:eastAsia="Arial" w:hAnsi="Arial"/>
                <w:sz w:val="17"/>
                <w:szCs w:val="17"/>
                <w:color w:val="auto"/>
              </w:rPr>
              <w:t>New mortgage loans</w:t>
            </w:r>
          </w:p>
        </w:tc>
        <w:tc>
          <w:tcPr>
            <w:tcW w:w="3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2,205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Additions under existing mortgage loans</w:t>
            </w: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29,887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82,598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326,093</w:t>
            </w:r>
          </w:p>
        </w:tc>
      </w:tr>
      <w:tr>
        <w:trPr>
          <w:trHeight w:val="222"/>
        </w:trPr>
        <w:tc>
          <w:tcPr>
            <w:tcW w:w="4060" w:type="dxa"/>
            <w:vAlign w:val="bottom"/>
          </w:tcPr>
          <w:p>
            <w:pPr>
              <w:ind w:left="140"/>
              <w:spacing w:after="0"/>
              <w:rPr>
                <w:sz w:val="20"/>
                <w:szCs w:val="20"/>
                <w:color w:val="auto"/>
              </w:rPr>
            </w:pPr>
            <w:r>
              <w:rPr>
                <w:rFonts w:ascii="Arial" w:cs="Arial" w:eastAsia="Arial" w:hAnsi="Arial"/>
                <w:sz w:val="17"/>
                <w:szCs w:val="17"/>
                <w:color w:val="auto"/>
              </w:rPr>
              <w:t>Other(2)</w:t>
            </w:r>
          </w:p>
        </w:tc>
        <w:tc>
          <w:tcPr>
            <w:tcW w:w="3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33,324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48,493</w:t>
            </w:r>
          </w:p>
        </w:tc>
      </w:tr>
      <w:tr>
        <w:trPr>
          <w:trHeight w:val="26"/>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Deductions(3):</w:t>
            </w: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2"/>
        </w:trPr>
        <w:tc>
          <w:tcPr>
            <w:tcW w:w="4060" w:type="dxa"/>
            <w:vAlign w:val="bottom"/>
          </w:tcPr>
          <w:p>
            <w:pPr>
              <w:ind w:left="140"/>
              <w:spacing w:after="0"/>
              <w:rPr>
                <w:sz w:val="20"/>
                <w:szCs w:val="20"/>
                <w:color w:val="auto"/>
              </w:rPr>
            </w:pPr>
            <w:r>
              <w:rPr>
                <w:rFonts w:ascii="Arial" w:cs="Arial" w:eastAsia="Arial" w:hAnsi="Arial"/>
                <w:sz w:val="17"/>
                <w:szCs w:val="17"/>
                <w:color w:val="auto"/>
              </w:rPr>
              <w:t>Collections of principal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(700,943)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(1,047,943)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(2,004,129)</w:t>
            </w:r>
          </w:p>
        </w:tc>
      </w:tr>
      <w:tr>
        <w:trPr>
          <w:trHeight w:val="26"/>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loan losses</w:t>
            </w: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(121,869)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(93,187)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(291,905)</w:t>
            </w:r>
          </w:p>
        </w:tc>
      </w:tr>
      <w:tr>
        <w:trPr>
          <w:trHeight w:val="222"/>
        </w:trPr>
        <w:tc>
          <w:tcPr>
            <w:tcW w:w="4060" w:type="dxa"/>
            <w:vAlign w:val="bottom"/>
          </w:tcPr>
          <w:p>
            <w:pPr>
              <w:ind w:left="140"/>
              <w:spacing w:after="0"/>
              <w:rPr>
                <w:sz w:val="20"/>
                <w:szCs w:val="20"/>
                <w:color w:val="auto"/>
              </w:rPr>
            </w:pPr>
            <w:r>
              <w:rPr>
                <w:rFonts w:ascii="Arial" w:cs="Arial" w:eastAsia="Arial" w:hAnsi="Arial"/>
                <w:sz w:val="17"/>
                <w:szCs w:val="17"/>
                <w:color w:val="auto"/>
              </w:rPr>
              <w:t>Transfers to real estate and equity investments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(270,359)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(556,753)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(728,559)</w:t>
            </w:r>
          </w:p>
        </w:tc>
      </w:tr>
      <w:tr>
        <w:trPr>
          <w:trHeight w:val="26"/>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Amortization of premium</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34"/>
        </w:trPr>
        <w:tc>
          <w:tcPr>
            <w:tcW w:w="406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1,421,654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2,449,554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4,012,067</w:t>
            </w: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Balances represent the carrying value of loans, which are net of asset specific reserves.</w:t>
      </w:r>
    </w:p>
    <w:p>
      <w:pPr>
        <w:spacing w:after="0" w:line="9" w:lineRule="exact"/>
        <w:rPr>
          <w:rFonts w:ascii="Arial" w:cs="Arial" w:eastAsia="Arial" w:hAnsi="Arial"/>
          <w:sz w:val="13"/>
          <w:szCs w:val="13"/>
          <w:color w:val="auto"/>
        </w:rPr>
      </w:pPr>
    </w:p>
    <w:p>
      <w:pPr>
        <w:ind w:left="601" w:hanging="601"/>
        <w:spacing w:after="0"/>
        <w:tabs>
          <w:tab w:leader="none" w:pos="601" w:val="left"/>
        </w:tabs>
        <w:numPr>
          <w:ilvl w:val="0"/>
          <w:numId w:val="56"/>
        </w:numPr>
        <w:rPr>
          <w:rFonts w:ascii="Arial" w:cs="Arial" w:eastAsia="Arial" w:hAnsi="Arial"/>
          <w:sz w:val="12"/>
          <w:szCs w:val="12"/>
          <w:color w:val="auto"/>
        </w:rPr>
      </w:pPr>
      <w:r>
        <w:rPr>
          <w:rFonts w:ascii="Arial" w:cs="Arial" w:eastAsia="Arial" w:hAnsi="Arial"/>
          <w:sz w:val="12"/>
          <w:szCs w:val="12"/>
          <w:color w:val="auto"/>
        </w:rPr>
        <w:t>Amount includes amortization of discount, deferred interest capitalized and mark-to-market adjustments resulting from changes in foreign exchange rates.</w:t>
      </w:r>
    </w:p>
    <w:p>
      <w:pPr>
        <w:spacing w:after="0" w:line="10" w:lineRule="exact"/>
        <w:rPr>
          <w:rFonts w:ascii="Arial" w:cs="Arial" w:eastAsia="Arial" w:hAnsi="Arial"/>
          <w:sz w:val="12"/>
          <w:szCs w:val="12"/>
          <w:color w:val="auto"/>
        </w:rPr>
      </w:pPr>
    </w:p>
    <w:p>
      <w:pPr>
        <w:ind w:left="601" w:hanging="601"/>
        <w:spacing w:after="0"/>
        <w:tabs>
          <w:tab w:leader="none" w:pos="601" w:val="left"/>
        </w:tabs>
        <w:numPr>
          <w:ilvl w:val="0"/>
          <w:numId w:val="56"/>
        </w:numPr>
        <w:rPr>
          <w:rFonts w:ascii="Arial" w:cs="Arial" w:eastAsia="Arial" w:hAnsi="Arial"/>
          <w:sz w:val="12"/>
          <w:szCs w:val="12"/>
          <w:color w:val="auto"/>
        </w:rPr>
      </w:pPr>
      <w:r>
        <w:rPr>
          <w:rFonts w:ascii="Arial" w:cs="Arial" w:eastAsia="Arial" w:hAnsi="Arial"/>
          <w:sz w:val="12"/>
          <w:szCs w:val="12"/>
          <w:color w:val="auto"/>
        </w:rPr>
        <w:t>Amounts are presented net of charge-offs of $106.9 million, $214.0 million and $804.7 million for the years ended December 31, 2012, 2011 and 2010, respectively.</w:t>
      </w:r>
    </w:p>
    <w:p>
      <w:pPr>
        <w:spacing w:after="0" w:line="200" w:lineRule="exact"/>
        <w:rPr>
          <w:sz w:val="20"/>
          <w:szCs w:val="20"/>
          <w:color w:val="auto"/>
        </w:rPr>
      </w:pPr>
    </w:p>
    <w:p>
      <w:pPr>
        <w:spacing w:after="0" w:line="326" w:lineRule="exact"/>
        <w:rPr>
          <w:sz w:val="20"/>
          <w:szCs w:val="20"/>
          <w:color w:val="auto"/>
        </w:rPr>
      </w:pPr>
    </w:p>
    <w:p>
      <w:pPr>
        <w:ind w:left="5601"/>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220"/>
          </w:cols>
          <w:pgMar w:left="239" w:top="120" w:right="1440"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5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color w:val="auto"/>
        </w:rPr>
        <w:t>Changes and Disagreements with Registered Public Accounting Firm on Accounting and Financial Disclosure</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51" w:lineRule="exact"/>
        <w:rPr>
          <w:sz w:val="20"/>
          <w:szCs w:val="20"/>
          <w:color w:val="auto"/>
        </w:rPr>
      </w:pPr>
    </w:p>
    <w:p>
      <w:pPr>
        <w:jc w:val="both"/>
        <w:ind w:firstLine="397"/>
        <w:spacing w:after="0" w:line="311" w:lineRule="auto"/>
        <w:rPr>
          <w:sz w:val="20"/>
          <w:szCs w:val="20"/>
          <w:color w:val="auto"/>
        </w:rPr>
      </w:pPr>
      <w:r>
        <w:rPr>
          <w:rFonts w:ascii="Arial" w:cs="Arial" w:eastAsia="Arial" w:hAnsi="Arial"/>
          <w:sz w:val="14"/>
          <w:szCs w:val="14"/>
          <w:b w:val="1"/>
          <w:bCs w:val="1"/>
          <w:color w:val="auto"/>
        </w:rPr>
        <w:t>Evaluation of Disclosure Controls and Procedures</w:t>
      </w:r>
      <w:r>
        <w:rPr>
          <w:rFonts w:ascii="Arial" w:cs="Arial" w:eastAsia="Arial" w:hAnsi="Arial"/>
          <w:sz w:val="14"/>
          <w:szCs w:val="14"/>
          <w:color w:val="auto"/>
        </w:rPr>
        <w:t>—The Company has established and maintains disclosure controls and procedures that are designed to ensure</w:t>
      </w:r>
      <w:r>
        <w:rPr>
          <w:rFonts w:ascii="Arial" w:cs="Arial" w:eastAsia="Arial" w:hAnsi="Arial"/>
          <w:sz w:val="14"/>
          <w:szCs w:val="14"/>
          <w:b w:val="1"/>
          <w:bCs w:val="1"/>
          <w:color w:val="auto"/>
        </w:rPr>
        <w:t xml:space="preserve"> </w:t>
      </w:r>
      <w:r>
        <w:rPr>
          <w:rFonts w:ascii="Arial" w:cs="Arial" w:eastAsia="Arial" w:hAnsi="Arial"/>
          <w:sz w:val="14"/>
          <w:szCs w:val="14"/>
          <w:color w:val="auto"/>
        </w:rPr>
        <w:t>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192" w:lineRule="exact"/>
        <w:rPr>
          <w:sz w:val="20"/>
          <w:szCs w:val="20"/>
          <w:color w:val="auto"/>
        </w:rPr>
      </w:pPr>
    </w:p>
    <w:p>
      <w:pPr>
        <w:jc w:val="both"/>
        <w:ind w:firstLine="397"/>
        <w:spacing w:after="0" w:line="368" w:lineRule="auto"/>
        <w:rPr>
          <w:sz w:val="20"/>
          <w:szCs w:val="20"/>
          <w:color w:val="auto"/>
        </w:rPr>
      </w:pPr>
      <w:r>
        <w:rPr>
          <w:rFonts w:ascii="Arial" w:cs="Arial" w:eastAsia="Arial" w:hAnsi="Arial"/>
          <w:sz w:val="14"/>
          <w:szCs w:val="14"/>
          <w:color w:val="auto"/>
        </w:rPr>
        <w:t>Based upon their evaluation as of December 31, 2012, the Chief Executive Officer and Chief Financial Officer concluded that the Company's disclosure controls and procedures (as such term is defined in Rules 13a-15(e) under the Securities and Exchange Act of 1934, as amended (the "Exchange Act")) are effective.</w:t>
      </w:r>
    </w:p>
    <w:p>
      <w:pPr>
        <w:spacing w:after="0" w:line="148"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b w:val="1"/>
          <w:bCs w:val="1"/>
          <w:color w:val="auto"/>
        </w:rPr>
        <w:t>Management's Report on Internal Control Over Financial Reporting</w:t>
      </w:r>
      <w:r>
        <w:rPr>
          <w:rFonts w:ascii="Arial" w:cs="Arial" w:eastAsia="Arial" w:hAnsi="Arial"/>
          <w:sz w:val="17"/>
          <w:szCs w:val="17"/>
          <w:color w:val="auto"/>
        </w:rPr>
        <w:t>—Management is responsible for establishing and maintaining adequate internal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w:t>
      </w:r>
    </w:p>
    <w:p>
      <w:pPr>
        <w:spacing w:after="0" w:line="231"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Based on management's assessment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management has concluded that its internal control over financial reporting was effective as of December 31, 2012.</w:t>
      </w:r>
    </w:p>
    <w:p>
      <w:pPr>
        <w:spacing w:after="0" w:line="222"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The Company's internal control over financial reporting as of December 31, 2012, has been audited by PricewaterhouseCoopers LLP, an independent registered public accounting firm, as stated in their report which appears on page 49.</w:t>
      </w:r>
    </w:p>
    <w:p>
      <w:pPr>
        <w:spacing w:after="0" w:line="218"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7"/>
          <w:szCs w:val="17"/>
          <w:b w:val="1"/>
          <w:bCs w:val="1"/>
          <w:color w:val="auto"/>
        </w:rPr>
        <w:t>Changes in Internal Controls Over Financial Reporting</w:t>
      </w:r>
      <w:r>
        <w:rPr>
          <w:rFonts w:ascii="Arial" w:cs="Arial" w:eastAsia="Arial" w:hAnsi="Arial"/>
          <w:sz w:val="17"/>
          <w:szCs w:val="17"/>
          <w:color w:val="auto"/>
        </w:rPr>
        <w:t>—There have been no changes during the last fiscal quarter in the Company's internal controls identified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evaluation required by paragraph (d) of Exchange Act Rules 13a-15 or 15d-15 that have materially affected, or are reasonably likely to materially affect, the Company's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120" w:right="2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5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 of the Registrant</w:t>
      </w:r>
    </w:p>
    <w:p>
      <w:pPr>
        <w:spacing w:after="0" w:line="255"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Portions of the Company's definitive proxy statement for the 2013 annual meeting of shareholders to be filed within 120 days after the close of the Company's fiscal year are incorporated herein by reference.</w:t>
      </w:r>
    </w:p>
    <w:p>
      <w:pPr>
        <w:spacing w:after="0" w:line="200" w:lineRule="exact"/>
        <w:rPr>
          <w:sz w:val="20"/>
          <w:szCs w:val="20"/>
          <w:color w:val="auto"/>
        </w:rPr>
      </w:pP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55"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Portions of the Company's definitive proxy statement for the 2013 annual meeting of shareholders to be filed within 120 days after the close of the Company's fiscal year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55"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Portions of the Company's definitive proxy statement for the 2013 annual meeting of shareholders to be filed within 120 days after the close of the Company's fiscal year are incorporated herein by reference.</w:t>
      </w:r>
    </w:p>
    <w:p>
      <w:pPr>
        <w:spacing w:after="0" w:line="200" w:lineRule="exact"/>
        <w:rPr>
          <w:sz w:val="20"/>
          <w:szCs w:val="20"/>
          <w:color w:val="auto"/>
        </w:rPr>
      </w:pP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color w:val="auto"/>
        </w:rPr>
        <w:t>Certain Relationships, Related Transactions and Director Independence</w:t>
      </w:r>
    </w:p>
    <w:p>
      <w:pPr>
        <w:spacing w:after="0" w:line="255"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Portions of the Company's definitive proxy statement for the 2013 annual meeting of shareholders to be filed within 120 days after the close of the Company's fiscal year are incorporated herein by reference.</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Registered Public Accounting Firm Fees and Services</w:t>
      </w:r>
    </w:p>
    <w:p>
      <w:pPr>
        <w:spacing w:after="0" w:line="131" w:lineRule="exact"/>
        <w:rPr>
          <w:sz w:val="20"/>
          <w:szCs w:val="20"/>
          <w:color w:val="auto"/>
        </w:rPr>
      </w:pPr>
    </w:p>
    <w:p>
      <w:pPr>
        <w:ind w:right="360" w:firstLine="596"/>
        <w:spacing w:after="0" w:line="260" w:lineRule="auto"/>
        <w:rPr>
          <w:sz w:val="20"/>
          <w:szCs w:val="20"/>
          <w:color w:val="auto"/>
        </w:rPr>
      </w:pPr>
      <w:r>
        <w:rPr>
          <w:rFonts w:ascii="Arial" w:cs="Arial" w:eastAsia="Arial" w:hAnsi="Arial"/>
          <w:sz w:val="17"/>
          <w:szCs w:val="17"/>
          <w:color w:val="auto"/>
        </w:rPr>
        <w:t>Portions of the Company's definitive proxy statement for the 2013 annual meeting of shareholders to be filed within 120 days after the close of the Company's fiscal year are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5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 and Reports on Form 8-K</w:t>
      </w:r>
    </w:p>
    <w:p>
      <w:pPr>
        <w:spacing w:after="0" w:line="330" w:lineRule="exact"/>
        <w:rPr>
          <w:sz w:val="20"/>
          <w:szCs w:val="20"/>
          <w:color w:val="auto"/>
        </w:rPr>
      </w:pPr>
    </w:p>
    <w:p>
      <w:pPr>
        <w:ind w:left="600" w:hanging="303"/>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and (c) Financial statements and schedules—see Index to Financial Statements and Schedules included in Item 8.</w:t>
      </w:r>
    </w:p>
    <w:p>
      <w:pPr>
        <w:spacing w:after="0" w:line="13" w:lineRule="exact"/>
        <w:rPr>
          <w:rFonts w:ascii="Arial" w:cs="Arial" w:eastAsia="Arial" w:hAnsi="Arial"/>
          <w:sz w:val="17"/>
          <w:szCs w:val="17"/>
          <w:color w:val="auto"/>
        </w:rPr>
      </w:pPr>
    </w:p>
    <w:p>
      <w:pPr>
        <w:ind w:left="600" w:hanging="303"/>
        <w:spacing w:after="0"/>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Exhibits—see index on following page.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120" w:right="2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9580" w:type="dxa"/>
            <w:vAlign w:val="bottom"/>
          </w:tcPr>
          <w:p>
            <w:pPr>
              <w:ind w:left="3580"/>
              <w:spacing w:after="0"/>
              <w:rPr>
                <w:sz w:val="20"/>
                <w:szCs w:val="20"/>
                <w:color w:val="auto"/>
              </w:rPr>
            </w:pPr>
            <w:r>
              <w:rPr>
                <w:rFonts w:ascii="Arial" w:cs="Arial" w:eastAsia="Arial" w:hAnsi="Arial"/>
                <w:sz w:val="17"/>
                <w:szCs w:val="17"/>
                <w:b w:val="1"/>
                <w:bCs w:val="1"/>
                <w:color w:val="auto"/>
              </w:rPr>
              <w:t>INDEX TO EXHIBITS</w:t>
            </w:r>
          </w:p>
        </w:tc>
      </w:tr>
      <w:tr>
        <w:trPr>
          <w:trHeight w:val="403"/>
        </w:trPr>
        <w:tc>
          <w:tcPr>
            <w:tcW w:w="600" w:type="dxa"/>
            <w:vAlign w:val="bottom"/>
          </w:tcPr>
          <w:p>
            <w:pPr>
              <w:jc w:val="center"/>
              <w:ind w:right="59"/>
              <w:spacing w:after="0"/>
              <w:rPr>
                <w:sz w:val="20"/>
                <w:szCs w:val="20"/>
                <w:color w:val="auto"/>
              </w:rPr>
            </w:pPr>
            <w:r>
              <w:rPr>
                <w:rFonts w:ascii="Arial" w:cs="Arial" w:eastAsia="Arial" w:hAnsi="Arial"/>
                <w:sz w:val="13"/>
                <w:szCs w:val="13"/>
                <w:b w:val="1"/>
                <w:bCs w:val="1"/>
                <w:color w:val="auto"/>
                <w:w w:val="96"/>
              </w:rPr>
              <w:t>Exhibit</w:t>
            </w:r>
          </w:p>
        </w:tc>
        <w:tc>
          <w:tcPr>
            <w:tcW w:w="9580" w:type="dxa"/>
            <w:vAlign w:val="bottom"/>
          </w:tcPr>
          <w:p>
            <w:pPr>
              <w:spacing w:after="0"/>
              <w:rPr>
                <w:sz w:val="24"/>
                <w:szCs w:val="24"/>
                <w:color w:val="auto"/>
              </w:rPr>
            </w:pPr>
          </w:p>
        </w:tc>
      </w:tr>
      <w:tr>
        <w:trPr>
          <w:trHeight w:val="182"/>
        </w:trPr>
        <w:tc>
          <w:tcPr>
            <w:tcW w:w="600" w:type="dxa"/>
            <w:vAlign w:val="bottom"/>
          </w:tcPr>
          <w:p>
            <w:pPr>
              <w:jc w:val="center"/>
              <w:ind w:right="39"/>
              <w:spacing w:after="0"/>
              <w:rPr>
                <w:sz w:val="20"/>
                <w:szCs w:val="20"/>
                <w:color w:val="auto"/>
              </w:rPr>
            </w:pPr>
            <w:r>
              <w:rPr>
                <w:rFonts w:ascii="Arial" w:cs="Arial" w:eastAsia="Arial" w:hAnsi="Arial"/>
                <w:sz w:val="13"/>
                <w:szCs w:val="13"/>
                <w:b w:val="1"/>
                <w:bCs w:val="1"/>
                <w:color w:val="auto"/>
                <w:w w:val="97"/>
              </w:rPr>
              <w:t>Number</w:t>
            </w:r>
          </w:p>
        </w:tc>
        <w:tc>
          <w:tcPr>
            <w:tcW w:w="9580" w:type="dxa"/>
            <w:vAlign w:val="bottom"/>
          </w:tcPr>
          <w:p>
            <w:pPr>
              <w:ind w:left="4260"/>
              <w:spacing w:after="0"/>
              <w:rPr>
                <w:sz w:val="20"/>
                <w:szCs w:val="20"/>
                <w:color w:val="auto"/>
              </w:rPr>
            </w:pPr>
            <w:r>
              <w:rPr>
                <w:rFonts w:ascii="Arial" w:cs="Arial" w:eastAsia="Arial" w:hAnsi="Arial"/>
                <w:sz w:val="13"/>
                <w:szCs w:val="13"/>
                <w:b w:val="1"/>
                <w:bCs w:val="1"/>
                <w:color w:val="auto"/>
              </w:rPr>
              <w:t>Document Description</w:t>
            </w:r>
          </w:p>
        </w:tc>
      </w:tr>
      <w:tr>
        <w:trPr>
          <w:trHeight w:val="223"/>
        </w:trPr>
        <w:tc>
          <w:tcPr>
            <w:tcW w:w="600" w:type="dxa"/>
            <w:vAlign w:val="bottom"/>
          </w:tcPr>
          <w:p>
            <w:pPr>
              <w:spacing w:after="0"/>
              <w:rPr>
                <w:sz w:val="19"/>
                <w:szCs w:val="19"/>
                <w:color w:val="auto"/>
              </w:rPr>
            </w:pPr>
          </w:p>
        </w:tc>
        <w:tc>
          <w:tcPr>
            <w:tcW w:w="9580" w:type="dxa"/>
            <w:vAlign w:val="bottom"/>
          </w:tcPr>
          <w:p>
            <w:pPr>
              <w:ind w:left="140"/>
              <w:spacing w:after="0"/>
              <w:rPr>
                <w:sz w:val="20"/>
                <w:szCs w:val="20"/>
                <w:color w:val="auto"/>
              </w:rPr>
            </w:pPr>
            <w:r>
              <w:rPr>
                <w:rFonts w:ascii="Arial" w:cs="Arial" w:eastAsia="Arial" w:hAnsi="Arial"/>
                <w:sz w:val="17"/>
                <w:szCs w:val="17"/>
                <w:color w:val="auto"/>
                <w:w w:val="91"/>
              </w:rPr>
              <w:t>Amended and Restated Charter of the Company (including the Articles Supplementary for the Series A, B, C and D Preferred Stock, all of</w:t>
            </w:r>
          </w:p>
        </w:tc>
      </w:tr>
      <w:tr>
        <w:trPr>
          <w:trHeight w:val="209"/>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3.1</w:t>
            </w:r>
          </w:p>
        </w:tc>
        <w:tc>
          <w:tcPr>
            <w:tcW w:w="9580" w:type="dxa"/>
            <w:vAlign w:val="bottom"/>
          </w:tcPr>
          <w:p>
            <w:pPr>
              <w:ind w:left="140"/>
              <w:spacing w:after="0"/>
              <w:rPr>
                <w:sz w:val="20"/>
                <w:szCs w:val="20"/>
                <w:color w:val="auto"/>
              </w:rPr>
            </w:pPr>
            <w:r>
              <w:rPr>
                <w:rFonts w:ascii="Arial" w:cs="Arial" w:eastAsia="Arial" w:hAnsi="Arial"/>
                <w:sz w:val="17"/>
                <w:szCs w:val="17"/>
                <w:color w:val="auto"/>
              </w:rPr>
              <w:t>which has been redeemed other than the Series D Preferred Stock).(2)</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3.2</w:t>
            </w:r>
          </w:p>
        </w:tc>
        <w:tc>
          <w:tcPr>
            <w:tcW w:w="9580" w:type="dxa"/>
            <w:vAlign w:val="bottom"/>
          </w:tcPr>
          <w:p>
            <w:pPr>
              <w:ind w:left="140"/>
              <w:spacing w:after="0"/>
              <w:rPr>
                <w:sz w:val="20"/>
                <w:szCs w:val="20"/>
                <w:color w:val="auto"/>
              </w:rPr>
            </w:pPr>
            <w:r>
              <w:rPr>
                <w:rFonts w:ascii="Arial" w:cs="Arial" w:eastAsia="Arial" w:hAnsi="Arial"/>
                <w:sz w:val="17"/>
                <w:szCs w:val="17"/>
                <w:color w:val="auto"/>
              </w:rPr>
              <w:t>Bylaws of the Company.(3)</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3.3</w:t>
            </w:r>
          </w:p>
        </w:tc>
        <w:tc>
          <w:tcPr>
            <w:tcW w:w="9580" w:type="dxa"/>
            <w:vAlign w:val="bottom"/>
          </w:tcPr>
          <w:p>
            <w:pPr>
              <w:ind w:left="140"/>
              <w:spacing w:after="0"/>
              <w:rPr>
                <w:sz w:val="20"/>
                <w:szCs w:val="20"/>
                <w:color w:val="auto"/>
              </w:rPr>
            </w:pPr>
            <w:r>
              <w:rPr>
                <w:rFonts w:ascii="Arial" w:cs="Arial" w:eastAsia="Arial" w:hAnsi="Arial"/>
                <w:sz w:val="17"/>
                <w:szCs w:val="17"/>
                <w:color w:val="auto"/>
              </w:rPr>
              <w:t>Articles Supplementary for High Performance Common Stock-Series 1.(5)</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3.4</w:t>
            </w:r>
          </w:p>
        </w:tc>
        <w:tc>
          <w:tcPr>
            <w:tcW w:w="9580" w:type="dxa"/>
            <w:vAlign w:val="bottom"/>
          </w:tcPr>
          <w:p>
            <w:pPr>
              <w:ind w:left="140"/>
              <w:spacing w:after="0"/>
              <w:rPr>
                <w:sz w:val="20"/>
                <w:szCs w:val="20"/>
                <w:color w:val="auto"/>
              </w:rPr>
            </w:pPr>
            <w:r>
              <w:rPr>
                <w:rFonts w:ascii="Arial" w:cs="Arial" w:eastAsia="Arial" w:hAnsi="Arial"/>
                <w:sz w:val="17"/>
                <w:szCs w:val="17"/>
                <w:color w:val="auto"/>
              </w:rPr>
              <w:t>Articles Supplementary for High Performance Common Stock-Series 2.(5)</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3.5</w:t>
            </w:r>
          </w:p>
        </w:tc>
        <w:tc>
          <w:tcPr>
            <w:tcW w:w="9580" w:type="dxa"/>
            <w:vAlign w:val="bottom"/>
          </w:tcPr>
          <w:p>
            <w:pPr>
              <w:ind w:left="140"/>
              <w:spacing w:after="0"/>
              <w:rPr>
                <w:sz w:val="20"/>
                <w:szCs w:val="20"/>
                <w:color w:val="auto"/>
              </w:rPr>
            </w:pPr>
            <w:r>
              <w:rPr>
                <w:rFonts w:ascii="Arial" w:cs="Arial" w:eastAsia="Arial" w:hAnsi="Arial"/>
                <w:sz w:val="17"/>
                <w:szCs w:val="17"/>
                <w:color w:val="auto"/>
              </w:rPr>
              <w:t>Articles Supplementary for High Performance Common Stock-Series 3.(5)</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3.6</w:t>
            </w:r>
          </w:p>
        </w:tc>
        <w:tc>
          <w:tcPr>
            <w:tcW w:w="9580" w:type="dxa"/>
            <w:vAlign w:val="bottom"/>
          </w:tcPr>
          <w:p>
            <w:pPr>
              <w:ind w:left="140"/>
              <w:spacing w:after="0"/>
              <w:rPr>
                <w:sz w:val="20"/>
                <w:szCs w:val="20"/>
                <w:color w:val="auto"/>
              </w:rPr>
            </w:pPr>
            <w:r>
              <w:rPr>
                <w:rFonts w:ascii="Arial" w:cs="Arial" w:eastAsia="Arial" w:hAnsi="Arial"/>
                <w:sz w:val="17"/>
                <w:szCs w:val="17"/>
                <w:color w:val="auto"/>
              </w:rPr>
              <w:t>Articles Supplementary relating to Series E Preferred Stock.(6)</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3.7</w:t>
            </w:r>
          </w:p>
        </w:tc>
        <w:tc>
          <w:tcPr>
            <w:tcW w:w="9580" w:type="dxa"/>
            <w:vAlign w:val="bottom"/>
          </w:tcPr>
          <w:p>
            <w:pPr>
              <w:ind w:left="140"/>
              <w:spacing w:after="0"/>
              <w:rPr>
                <w:sz w:val="20"/>
                <w:szCs w:val="20"/>
                <w:color w:val="auto"/>
              </w:rPr>
            </w:pPr>
            <w:r>
              <w:rPr>
                <w:rFonts w:ascii="Arial" w:cs="Arial" w:eastAsia="Arial" w:hAnsi="Arial"/>
                <w:sz w:val="17"/>
                <w:szCs w:val="17"/>
                <w:color w:val="auto"/>
              </w:rPr>
              <w:t>Articles Supplementary relating to Series F Preferred Stock.(7)</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3.8</w:t>
            </w:r>
          </w:p>
        </w:tc>
        <w:tc>
          <w:tcPr>
            <w:tcW w:w="9580" w:type="dxa"/>
            <w:vAlign w:val="bottom"/>
          </w:tcPr>
          <w:p>
            <w:pPr>
              <w:ind w:left="140"/>
              <w:spacing w:after="0"/>
              <w:rPr>
                <w:sz w:val="20"/>
                <w:szCs w:val="20"/>
                <w:color w:val="auto"/>
              </w:rPr>
            </w:pPr>
            <w:r>
              <w:rPr>
                <w:rFonts w:ascii="Arial" w:cs="Arial" w:eastAsia="Arial" w:hAnsi="Arial"/>
                <w:sz w:val="17"/>
                <w:szCs w:val="17"/>
                <w:color w:val="auto"/>
              </w:rPr>
              <w:t>Articles Supplementary relating to Series G Preferred Stock.(8)</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3.9</w:t>
            </w:r>
          </w:p>
        </w:tc>
        <w:tc>
          <w:tcPr>
            <w:tcW w:w="9580" w:type="dxa"/>
            <w:vAlign w:val="bottom"/>
          </w:tcPr>
          <w:p>
            <w:pPr>
              <w:ind w:left="140"/>
              <w:spacing w:after="0"/>
              <w:rPr>
                <w:sz w:val="20"/>
                <w:szCs w:val="20"/>
                <w:color w:val="auto"/>
              </w:rPr>
            </w:pPr>
            <w:r>
              <w:rPr>
                <w:rFonts w:ascii="Arial" w:cs="Arial" w:eastAsia="Arial" w:hAnsi="Arial"/>
                <w:sz w:val="17"/>
                <w:szCs w:val="17"/>
                <w:color w:val="auto"/>
              </w:rPr>
              <w:t>Articles Supplementary relating to Series I Preferred Stock.(10)</w:t>
            </w:r>
          </w:p>
        </w:tc>
      </w:tr>
      <w:tr>
        <w:trPr>
          <w:trHeight w:val="637"/>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4.1</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7</w:t>
            </w:r>
            <w:r>
              <w:rPr>
                <w:rFonts w:ascii="Arial" w:cs="Arial" w:eastAsia="Arial" w:hAnsi="Arial"/>
                <w:sz w:val="23"/>
                <w:szCs w:val="23"/>
                <w:color w:val="auto"/>
                <w:vertAlign w:val="superscript"/>
              </w:rPr>
              <w:t>7</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Series E Cumulative Redeemable Preferred Stock Certificate.(6)</w:t>
            </w:r>
          </w:p>
        </w:tc>
      </w:tr>
      <w:tr>
        <w:trPr>
          <w:trHeight w:val="455"/>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4.2</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7.8% Series F Cumulative Redeemable Preferred Stock Certificate.(7)</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4.3</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7.65% Series G Cumulative Redeemable Preferred Stock Certificate.(8)</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4.4</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7.50% Series I Cumulative Redeemable Preferred Stock Certificate.(10)</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4.5</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Stock Certificate for the Company's Common Stock.(1)</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4.6</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Global Note evidencing 5.85% Senior Notes due 2017 issued on March 9, 2007.(23)</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4.7</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Global Note evidencing 5.95% Senior Notes due 2013 issued on September 22, 2006.(18)</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4.8</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Global Note evidencing 5.875% Senior Notes due 2016 issued on February 21, 2006.(17)</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4.9</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Global Note evidencing 6.05% Senior Notes due 2015 issued on April 21, 2005.(15)</w:t>
            </w:r>
          </w:p>
        </w:tc>
      </w:tr>
      <w:tr>
        <w:trPr>
          <w:trHeight w:val="535"/>
        </w:trPr>
        <w:tc>
          <w:tcPr>
            <w:tcW w:w="600" w:type="dxa"/>
            <w:vAlign w:val="bottom"/>
          </w:tcPr>
          <w:p>
            <w:pPr>
              <w:spacing w:after="0"/>
              <w:rPr>
                <w:sz w:val="24"/>
                <w:szCs w:val="24"/>
                <w:color w:val="auto"/>
              </w:rPr>
            </w:pPr>
          </w:p>
        </w:tc>
        <w:tc>
          <w:tcPr>
            <w:tcW w:w="9580" w:type="dxa"/>
            <w:vAlign w:val="bottom"/>
          </w:tcPr>
          <w:p>
            <w:pPr>
              <w:ind w:left="140"/>
              <w:spacing w:after="0"/>
              <w:rPr>
                <w:sz w:val="20"/>
                <w:szCs w:val="20"/>
                <w:color w:val="auto"/>
              </w:rPr>
            </w:pPr>
            <w:r>
              <w:rPr>
                <w:rFonts w:ascii="Arial" w:cs="Arial" w:eastAsia="Arial" w:hAnsi="Arial"/>
                <w:sz w:val="17"/>
                <w:szCs w:val="17"/>
                <w:color w:val="auto"/>
                <w:w w:val="88"/>
              </w:rPr>
              <w:t>Form of Global Note evidencing 5.70% Senior Notes due 2014 issued on March 9, 2004 and March 1, 2005 in connection with the Company's</w:t>
            </w:r>
          </w:p>
        </w:tc>
      </w:tr>
      <w:tr>
        <w:trPr>
          <w:trHeight w:val="209"/>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4.10</w:t>
            </w:r>
          </w:p>
        </w:tc>
        <w:tc>
          <w:tcPr>
            <w:tcW w:w="9580" w:type="dxa"/>
            <w:vAlign w:val="bottom"/>
          </w:tcPr>
          <w:p>
            <w:pPr>
              <w:ind w:left="140"/>
              <w:spacing w:after="0"/>
              <w:rPr>
                <w:sz w:val="20"/>
                <w:szCs w:val="20"/>
                <w:color w:val="auto"/>
              </w:rPr>
            </w:pPr>
            <w:r>
              <w:rPr>
                <w:rFonts w:ascii="Arial" w:cs="Arial" w:eastAsia="Arial" w:hAnsi="Arial"/>
                <w:sz w:val="17"/>
                <w:szCs w:val="17"/>
                <w:color w:val="auto"/>
              </w:rPr>
              <w:t>exchange offer for TriNet Corporate Realty Trust, Inc.'s 7.70% Notes due 2017.(13)</w:t>
            </w:r>
          </w:p>
        </w:tc>
      </w:tr>
      <w:tr>
        <w:trPr>
          <w:trHeight w:val="546"/>
        </w:trPr>
        <w:tc>
          <w:tcPr>
            <w:tcW w:w="600" w:type="dxa"/>
            <w:vAlign w:val="bottom"/>
          </w:tcPr>
          <w:p>
            <w:pPr>
              <w:jc w:val="center"/>
              <w:ind w:right="39"/>
              <w:spacing w:after="0"/>
              <w:rPr>
                <w:sz w:val="20"/>
                <w:szCs w:val="20"/>
                <w:color w:val="auto"/>
              </w:rPr>
            </w:pPr>
            <w:r>
              <w:rPr>
                <w:rFonts w:ascii="Arial" w:cs="Arial" w:eastAsia="Arial" w:hAnsi="Arial"/>
                <w:sz w:val="17"/>
                <w:szCs w:val="17"/>
                <w:color w:val="auto"/>
                <w:w w:val="84"/>
              </w:rPr>
              <w:t>4.11</w:t>
            </w:r>
          </w:p>
        </w:tc>
        <w:tc>
          <w:tcPr>
            <w:tcW w:w="9580" w:type="dxa"/>
            <w:vAlign w:val="bottom"/>
          </w:tcPr>
          <w:p>
            <w:pPr>
              <w:ind w:left="140"/>
              <w:spacing w:after="0"/>
              <w:rPr>
                <w:sz w:val="20"/>
                <w:szCs w:val="20"/>
                <w:color w:val="auto"/>
              </w:rPr>
            </w:pPr>
            <w:r>
              <w:rPr>
                <w:rFonts w:ascii="Arial" w:cs="Arial" w:eastAsia="Arial" w:hAnsi="Arial"/>
                <w:sz w:val="17"/>
                <w:szCs w:val="17"/>
                <w:color w:val="auto"/>
              </w:rPr>
              <w:t>Form of Global Note evidencing 8.625% Senior Notes due 2013 issued on May 21, 2008.(25)</w:t>
            </w:r>
          </w:p>
        </w:tc>
      </w:tr>
      <w:tr>
        <w:trPr>
          <w:trHeight w:val="745"/>
        </w:trPr>
        <w:tc>
          <w:tcPr>
            <w:tcW w:w="600" w:type="dxa"/>
            <w:vAlign w:val="bottom"/>
          </w:tcPr>
          <w:p>
            <w:pPr>
              <w:spacing w:after="0"/>
              <w:rPr>
                <w:sz w:val="24"/>
                <w:szCs w:val="24"/>
                <w:color w:val="auto"/>
              </w:rPr>
            </w:pPr>
          </w:p>
        </w:tc>
        <w:tc>
          <w:tcPr>
            <w:tcW w:w="9580" w:type="dxa"/>
            <w:vAlign w:val="bottom"/>
          </w:tcPr>
          <w:p>
            <w:pPr>
              <w:ind w:left="4300"/>
              <w:spacing w:after="0"/>
              <w:rPr>
                <w:sz w:val="20"/>
                <w:szCs w:val="20"/>
                <w:color w:val="auto"/>
              </w:rPr>
            </w:pPr>
            <w:r>
              <w:rPr>
                <w:rFonts w:ascii="Arial" w:cs="Arial" w:eastAsia="Arial" w:hAnsi="Arial"/>
                <w:sz w:val="17"/>
                <w:szCs w:val="17"/>
                <w:color w:val="auto"/>
              </w:rPr>
              <w:t>116</w:t>
            </w:r>
          </w:p>
        </w:tc>
      </w:tr>
    </w:tbl>
    <w:p>
      <w:pPr>
        <w:sectPr>
          <w:pgSz w:w="11900" w:h="16838" w:orient="portrait"/>
          <w:cols w:equalWidth="0" w:num="1">
            <w:col w:w="10880"/>
          </w:cols>
          <w:pgMar w:left="240" w:top="120" w:right="77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379"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4"/>
          <w:szCs w:val="14"/>
          <w:color w:val="auto"/>
        </w:rPr>
        <w:t>Form of Global Note evidencing 9.0% Senior Series B Notes due 2017 issued on July 9, 2012. (28)</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4.13</w:t>
      </w:r>
      <w:r>
        <w:rPr>
          <w:sz w:val="20"/>
          <w:szCs w:val="20"/>
          <w:color w:val="auto"/>
        </w:rPr>
        <w:tab/>
      </w:r>
      <w:r>
        <w:rPr>
          <w:rFonts w:ascii="Arial" w:cs="Arial" w:eastAsia="Arial" w:hAnsi="Arial"/>
          <w:sz w:val="14"/>
          <w:szCs w:val="14"/>
          <w:color w:val="auto"/>
        </w:rPr>
        <w:t>Form of Global Note evidencing 7.125% Senior Notes due 2018 issued on November 13, 2012.(30)</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4.14</w:t>
      </w:r>
      <w:r>
        <w:rPr>
          <w:sz w:val="20"/>
          <w:szCs w:val="20"/>
          <w:color w:val="auto"/>
        </w:rPr>
        <w:tab/>
      </w:r>
      <w:r>
        <w:rPr>
          <w:rFonts w:ascii="Arial" w:cs="Arial" w:eastAsia="Arial" w:hAnsi="Arial"/>
          <w:sz w:val="14"/>
          <w:szCs w:val="14"/>
          <w:color w:val="auto"/>
        </w:rPr>
        <w:t>Form of Global Note evidencing 3.00% Convertible Senior Notes due 2016 issued on November 13, 2012.(30)</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4.15</w:t>
      </w:r>
      <w:r>
        <w:rPr>
          <w:sz w:val="20"/>
          <w:szCs w:val="20"/>
          <w:color w:val="auto"/>
        </w:rPr>
        <w:tab/>
      </w:r>
      <w:r>
        <w:rPr>
          <w:rFonts w:ascii="Arial" w:cs="Arial" w:eastAsia="Arial" w:hAnsi="Arial"/>
          <w:sz w:val="14"/>
          <w:szCs w:val="14"/>
          <w:color w:val="auto"/>
        </w:rPr>
        <w:t>Fourth Supplemental Indenture, dated as of December 12, 2003.(16)</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4.16</w:t>
      </w:r>
      <w:r>
        <w:rPr>
          <w:sz w:val="20"/>
          <w:szCs w:val="20"/>
          <w:color w:val="auto"/>
        </w:rPr>
        <w:tab/>
      </w:r>
      <w:r>
        <w:rPr>
          <w:rFonts w:ascii="Arial" w:cs="Arial" w:eastAsia="Arial" w:hAnsi="Arial"/>
          <w:sz w:val="14"/>
          <w:szCs w:val="14"/>
          <w:color w:val="auto"/>
        </w:rPr>
        <w:t>Fifth Supplemental Indenture, dated as of March 1, 2005.(16)</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4.17</w:t>
      </w:r>
      <w:r>
        <w:rPr>
          <w:sz w:val="20"/>
          <w:szCs w:val="20"/>
          <w:color w:val="auto"/>
        </w:rPr>
        <w:tab/>
      </w:r>
      <w:r>
        <w:rPr>
          <w:rFonts w:ascii="Arial" w:cs="Arial" w:eastAsia="Arial" w:hAnsi="Arial"/>
          <w:sz w:val="14"/>
          <w:szCs w:val="14"/>
          <w:color w:val="auto"/>
        </w:rPr>
        <w:t>Eighth Supplemental Indenture, dated as of April 21, 2005.(16)</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4.18</w:t>
      </w:r>
      <w:r>
        <w:rPr>
          <w:sz w:val="20"/>
          <w:szCs w:val="20"/>
          <w:color w:val="auto"/>
        </w:rPr>
        <w:tab/>
      </w:r>
      <w:r>
        <w:rPr>
          <w:rFonts w:ascii="Arial" w:cs="Arial" w:eastAsia="Arial" w:hAnsi="Arial"/>
          <w:sz w:val="14"/>
          <w:szCs w:val="14"/>
          <w:color w:val="auto"/>
        </w:rPr>
        <w:t>Eleventh Supplemental Indenture, dated as of February 21, 2006.(17)</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4.19</w:t>
      </w:r>
      <w:r>
        <w:rPr>
          <w:sz w:val="20"/>
          <w:szCs w:val="20"/>
          <w:color w:val="auto"/>
        </w:rPr>
        <w:tab/>
      </w:r>
      <w:r>
        <w:rPr>
          <w:rFonts w:ascii="Arial" w:cs="Arial" w:eastAsia="Arial" w:hAnsi="Arial"/>
          <w:sz w:val="14"/>
          <w:szCs w:val="14"/>
          <w:color w:val="auto"/>
        </w:rPr>
        <w:t>First Supplemental Indenture (containing amendments to the 5.70% Notes due 2014), dated as of January 9, 2007.(20)</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4.20</w:t>
      </w:r>
      <w:r>
        <w:rPr>
          <w:sz w:val="20"/>
          <w:szCs w:val="20"/>
          <w:color w:val="auto"/>
        </w:rPr>
        <w:tab/>
      </w:r>
      <w:r>
        <w:rPr>
          <w:rFonts w:ascii="Arial" w:cs="Arial" w:eastAsia="Arial" w:hAnsi="Arial"/>
          <w:sz w:val="14"/>
          <w:szCs w:val="14"/>
          <w:color w:val="auto"/>
        </w:rPr>
        <w:t>Seventeenth Supplemental Indenture, dated as of March 9, 2007, governing the 5.85% Senior Notes due 2017.(22)</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4"/>
          <w:szCs w:val="14"/>
          <w:color w:val="auto"/>
        </w:rPr>
        <w:t>Twentieth Supplemental Indenture, dated as of May 21, 2008, governing the 8.625% Senior Notes due 2013.(25)</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4"/>
          <w:szCs w:val="14"/>
          <w:color w:val="auto"/>
        </w:rPr>
        <w:t>Base Indenture, dated as of February 5, 2001, between the Company and State Street Bank and Trust Company.(4)</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4"/>
          <w:szCs w:val="14"/>
          <w:color w:val="auto"/>
        </w:rPr>
        <w:t>Indenture, dated March 9, 2004, governing the 5.70% Senior Notes due 2014.(12)</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4"/>
          <w:szCs w:val="14"/>
          <w:color w:val="auto"/>
        </w:rPr>
        <w:t>Indenture, dated September 22, 2006, governing the 5.95% Senior Notes due 2013.(18)</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4.25</w:t>
      </w:r>
      <w:r>
        <w:rPr>
          <w:sz w:val="20"/>
          <w:szCs w:val="20"/>
          <w:color w:val="auto"/>
        </w:rPr>
        <w:tab/>
      </w:r>
      <w:r>
        <w:rPr>
          <w:rFonts w:ascii="Arial" w:cs="Arial" w:eastAsia="Arial" w:hAnsi="Arial"/>
          <w:sz w:val="14"/>
          <w:szCs w:val="14"/>
          <w:color w:val="auto"/>
        </w:rPr>
        <w:t>Indenture, dated May 8, 2012 governing the 9.0% Senior Series B Notes due 2017.(27)</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4.26</w:t>
      </w:r>
      <w:r>
        <w:rPr>
          <w:sz w:val="20"/>
          <w:szCs w:val="20"/>
          <w:color w:val="auto"/>
        </w:rPr>
        <w:tab/>
      </w:r>
      <w:r>
        <w:rPr>
          <w:rFonts w:ascii="Arial" w:cs="Arial" w:eastAsia="Arial" w:hAnsi="Arial"/>
          <w:sz w:val="14"/>
          <w:szCs w:val="14"/>
          <w:color w:val="auto"/>
        </w:rPr>
        <w:t>Twenty-First Supplemental Indenture, dated as of November 13, 2012 governing the 7.125% Senior Notes due 2018.(30)</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4.27</w:t>
      </w:r>
      <w:r>
        <w:rPr>
          <w:sz w:val="20"/>
          <w:szCs w:val="20"/>
          <w:color w:val="auto"/>
        </w:rPr>
        <w:tab/>
      </w:r>
      <w:r>
        <w:rPr>
          <w:rFonts w:ascii="Arial" w:cs="Arial" w:eastAsia="Arial" w:hAnsi="Arial"/>
          <w:sz w:val="14"/>
          <w:szCs w:val="14"/>
          <w:color w:val="auto"/>
        </w:rPr>
        <w:t>Twenty-Second Supplemental Indenture, dated as of November 13, 2012 governing the 3.00% Convertible Senior Notes due 2016.(30)</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4"/>
          <w:szCs w:val="14"/>
          <w:color w:val="auto"/>
        </w:rPr>
        <w:t>iStar Financial Inc. 2009 Long Term Incentive Compensation Plan.(19)</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4"/>
          <w:szCs w:val="14"/>
          <w:color w:val="auto"/>
        </w:rPr>
        <w:t>Performance Retention Grant Agreement, dated February 11, 2004.(9)</w:t>
      </w:r>
    </w:p>
    <w:p>
      <w:pPr>
        <w:spacing w:after="0" w:line="35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Amended and Restated Employment Agreement, dated January 19, 2005, by and between Falcon Financial Investment Trust and Vernon B.</w:t>
      </w:r>
    </w:p>
    <w:p>
      <w:pPr>
        <w:spacing w:after="0" w:line="48"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4"/>
          <w:szCs w:val="14"/>
          <w:color w:val="auto"/>
        </w:rPr>
        <w:t>Schwartz.(14)</w:t>
      </w:r>
    </w:p>
    <w:p>
      <w:pPr>
        <w:spacing w:after="0" w:line="340"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4"/>
          <w:szCs w:val="14"/>
          <w:color w:val="auto"/>
        </w:rPr>
        <w:t>Non-Employee Directors' Deferral Plan.(11)</w:t>
      </w:r>
    </w:p>
    <w:p>
      <w:pPr>
        <w:spacing w:after="0" w:line="351"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4"/>
          <w:szCs w:val="14"/>
          <w:color w:val="auto"/>
        </w:rPr>
        <w:t>Form of Restricted Stock Unit Award Agreement.(21)</w:t>
      </w: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680"/>
          </w:cols>
          <w:pgMar w:left="240" w:top="120" w:right="979" w:bottom="1440" w:gutter="0" w:footer="0" w:header="0"/>
        </w:sectPr>
      </w:pPr>
    </w:p>
    <w:bookmarkStart w:id="118" w:name="page119"/>
    <w:bookmarkEnd w:id="118"/>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1"/>
        <w:spacing w:after="0" w:line="196" w:lineRule="exact"/>
        <w:tabs>
          <w:tab w:leader="none" w:pos="142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4"/>
          <w:szCs w:val="14"/>
          <w:color w:val="auto"/>
        </w:rPr>
        <w:t>Form of Restricted Stock Unit Award Agreement (Performance</w:t>
      </w:r>
      <w:r>
        <w:rPr>
          <w:rFonts w:ascii="MS PGothic" w:cs="MS PGothic" w:eastAsia="MS PGothic" w:hAnsi="MS PGothic"/>
          <w:sz w:val="14"/>
          <w:szCs w:val="14"/>
          <w:color w:val="auto"/>
        </w:rPr>
        <w:t>‑</w:t>
      </w:r>
      <w:r>
        <w:rPr>
          <w:rFonts w:ascii="Arial" w:cs="Arial" w:eastAsia="Arial" w:hAnsi="Arial"/>
          <w:sz w:val="14"/>
          <w:szCs w:val="14"/>
          <w:color w:val="auto"/>
        </w:rPr>
        <w:t>Based Vesting).(24)</w:t>
      </w:r>
    </w:p>
    <w:p>
      <w:pPr>
        <w:spacing w:after="0" w:line="351" w:lineRule="exact"/>
        <w:rPr>
          <w:sz w:val="20"/>
          <w:szCs w:val="20"/>
          <w:color w:val="auto"/>
        </w:rPr>
      </w:pPr>
    </w:p>
    <w:p>
      <w:pPr>
        <w:ind w:left="1441" w:right="120"/>
        <w:spacing w:after="0" w:line="301" w:lineRule="auto"/>
        <w:rPr>
          <w:sz w:val="20"/>
          <w:szCs w:val="20"/>
          <w:color w:val="auto"/>
        </w:rPr>
      </w:pPr>
      <w:r>
        <w:rPr>
          <w:rFonts w:ascii="Arial" w:cs="Arial" w:eastAsia="Arial" w:hAnsi="Arial"/>
          <w:sz w:val="14"/>
          <w:szCs w:val="14"/>
          <w:color w:val="auto"/>
        </w:rPr>
        <w:t>Credit Agreement, dated March 19, 2012, by and among the Company, the banks set forth therein and Barclays Bank PLC, as administrative agent, Bank Of America, N.A., as syndication agent, JPMorgan Chase Bank, N.A., as documentation agent, Barclays Capital and Merrill Lynch, Pierce, Fenner &amp; Smith Incorporated, as joint lead arrangers and joint bookrunners and J.P. Morgan Securities, LLC, as joint</w:t>
      </w:r>
    </w:p>
    <w:p>
      <w:pPr>
        <w:spacing w:after="0" w:line="1"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4"/>
          <w:szCs w:val="14"/>
          <w:color w:val="auto"/>
        </w:rPr>
        <w:t>bookrunner.(26)</w:t>
      </w:r>
    </w:p>
    <w:p>
      <w:pPr>
        <w:spacing w:after="0" w:line="340" w:lineRule="exact"/>
        <w:rPr>
          <w:sz w:val="20"/>
          <w:szCs w:val="20"/>
          <w:color w:val="auto"/>
        </w:rPr>
      </w:pPr>
    </w:p>
    <w:p>
      <w:pPr>
        <w:ind w:left="1441"/>
        <w:spacing w:after="0"/>
        <w:rPr>
          <w:sz w:val="20"/>
          <w:szCs w:val="20"/>
          <w:color w:val="auto"/>
        </w:rPr>
      </w:pPr>
      <w:r>
        <w:rPr>
          <w:rFonts w:ascii="Arial" w:cs="Arial" w:eastAsia="Arial" w:hAnsi="Arial"/>
          <w:sz w:val="14"/>
          <w:szCs w:val="14"/>
          <w:color w:val="auto"/>
        </w:rPr>
        <w:t>Security Agreement, dated March 19, 2012, made by the Company, and other parties thereto in favor of Barclays Bank PLC, as administrative</w:t>
      </w:r>
    </w:p>
    <w:p>
      <w:pPr>
        <w:spacing w:after="0" w:line="48"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4"/>
          <w:szCs w:val="14"/>
          <w:color w:val="auto"/>
        </w:rPr>
        <w:t>agent.(26)</w:t>
      </w:r>
    </w:p>
    <w:p>
      <w:pPr>
        <w:spacing w:after="0" w:line="340" w:lineRule="exact"/>
        <w:rPr>
          <w:sz w:val="20"/>
          <w:szCs w:val="20"/>
          <w:color w:val="auto"/>
        </w:rPr>
      </w:pPr>
    </w:p>
    <w:p>
      <w:pPr>
        <w:ind w:left="1441"/>
        <w:spacing w:after="0"/>
        <w:rPr>
          <w:sz w:val="20"/>
          <w:szCs w:val="20"/>
          <w:color w:val="auto"/>
        </w:rPr>
      </w:pPr>
      <w:r>
        <w:rPr>
          <w:rFonts w:ascii="Arial" w:cs="Arial" w:eastAsia="Arial" w:hAnsi="Arial"/>
          <w:sz w:val="14"/>
          <w:szCs w:val="14"/>
          <w:color w:val="auto"/>
        </w:rPr>
        <w:t>Credit Agreement, dated October 15, 2012, by and among the Company, JPMorgan Chase Bank, N.A., as administrative agent, Barclays Bank</w:t>
      </w:r>
    </w:p>
    <w:p>
      <w:pPr>
        <w:spacing w:after="0" w:line="48"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4"/>
          <w:szCs w:val="14"/>
          <w:color w:val="auto"/>
        </w:rPr>
        <w:t>PLC, as syndication agent and Bank of America, N.A., as documentation agent.(29)</w:t>
      </w:r>
    </w:p>
    <w:p>
      <w:pPr>
        <w:spacing w:after="0" w:line="340" w:lineRule="exact"/>
        <w:rPr>
          <w:sz w:val="20"/>
          <w:szCs w:val="20"/>
          <w:color w:val="auto"/>
        </w:rPr>
      </w:pPr>
    </w:p>
    <w:p>
      <w:pPr>
        <w:ind w:left="761" w:right="500" w:firstLine="689"/>
        <w:spacing w:after="0" w:line="260" w:lineRule="auto"/>
        <w:rPr>
          <w:sz w:val="20"/>
          <w:szCs w:val="20"/>
          <w:color w:val="auto"/>
        </w:rPr>
      </w:pPr>
      <w:r>
        <w:rPr>
          <w:rFonts w:ascii="Arial" w:cs="Arial" w:eastAsia="Arial" w:hAnsi="Arial"/>
          <w:sz w:val="17"/>
          <w:szCs w:val="17"/>
          <w:color w:val="auto"/>
        </w:rPr>
        <w:t>Security Agreement, dated October 15, 2012, by iStar Tara Holdings LLC, SFI Belmont LLC and the others parties thereto, in favor of 10.10 JPMorgan Chase Bank, N.A., as administrative agent.(29)</w:t>
      </w:r>
    </w:p>
    <w:p>
      <w:pPr>
        <w:spacing w:after="0" w:line="321" w:lineRule="exact"/>
        <w:rPr>
          <w:sz w:val="20"/>
          <w:szCs w:val="20"/>
          <w:color w:val="auto"/>
        </w:rPr>
      </w:pPr>
    </w:p>
    <w:p>
      <w:pPr>
        <w:ind w:left="761" w:right="380" w:firstLine="686"/>
        <w:spacing w:after="0" w:line="260" w:lineRule="auto"/>
        <w:rPr>
          <w:sz w:val="20"/>
          <w:szCs w:val="20"/>
          <w:color w:val="auto"/>
        </w:rPr>
      </w:pPr>
      <w:r>
        <w:rPr>
          <w:rFonts w:ascii="Arial" w:cs="Arial" w:eastAsia="Arial" w:hAnsi="Arial"/>
          <w:sz w:val="17"/>
          <w:szCs w:val="17"/>
          <w:color w:val="auto"/>
        </w:rPr>
        <w:t>Guarantee Agreement, dated October 15, 2012, by iStar Tara Holdings LLC, SFI Belmont LLC and the others parties thereto, in favor of 10.11 JPMorgan Chase Bank, N.A., as administrative agent.(29)</w:t>
      </w:r>
    </w:p>
    <w:p>
      <w:pPr>
        <w:spacing w:after="0" w:line="321" w:lineRule="exact"/>
        <w:rPr>
          <w:sz w:val="20"/>
          <w:szCs w:val="20"/>
          <w:color w:val="auto"/>
        </w:rPr>
      </w:pPr>
    </w:p>
    <w:p>
      <w:pPr>
        <w:ind w:left="761" w:right="800" w:firstLine="689"/>
        <w:spacing w:after="0" w:line="368" w:lineRule="auto"/>
        <w:rPr>
          <w:sz w:val="20"/>
          <w:szCs w:val="20"/>
          <w:color w:val="auto"/>
        </w:rPr>
      </w:pPr>
      <w:r>
        <w:rPr>
          <w:rFonts w:ascii="Arial" w:cs="Arial" w:eastAsia="Arial" w:hAnsi="Arial"/>
          <w:sz w:val="14"/>
          <w:szCs w:val="14"/>
          <w:color w:val="auto"/>
        </w:rPr>
        <w:t>Amended and Restated Credit Agreement, dated February 11, 2013, by and among the Company, JPMorgan Chase Bank, N.A., as 10.12 administrative agent, Barclays Bank, PLC, as syndication agent and Bank of America, N.A., as documentation agent. (31)</w:t>
      </w:r>
    </w:p>
    <w:p>
      <w:pPr>
        <w:spacing w:after="0" w:line="400"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4"/>
          <w:szCs w:val="14"/>
          <w:color w:val="auto"/>
        </w:rPr>
        <w:t>Computation of Ratio of Earnings to fixed charges and Earnings to fixed charges and preferred stock dividends.</w:t>
      </w:r>
    </w:p>
    <w:p>
      <w:pPr>
        <w:spacing w:after="0" w:line="351"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4"/>
          <w:szCs w:val="14"/>
          <w:color w:val="auto"/>
        </w:rPr>
        <w:t>Computation of Ratio of Adjusted EBITDA to interest expense and preferred dividends.</w:t>
      </w:r>
    </w:p>
    <w:p>
      <w:pPr>
        <w:spacing w:after="0" w:line="351"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14.0</w:t>
      </w:r>
      <w:r>
        <w:rPr>
          <w:sz w:val="20"/>
          <w:szCs w:val="20"/>
          <w:color w:val="auto"/>
        </w:rPr>
        <w:tab/>
      </w:r>
      <w:r>
        <w:rPr>
          <w:rFonts w:ascii="Arial" w:cs="Arial" w:eastAsia="Arial" w:hAnsi="Arial"/>
          <w:sz w:val="14"/>
          <w:szCs w:val="14"/>
          <w:color w:val="auto"/>
        </w:rPr>
        <w:t>iStar Financial Inc. Code of Conduct.(13)</w:t>
      </w:r>
    </w:p>
    <w:p>
      <w:pPr>
        <w:spacing w:after="0" w:line="351"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4"/>
          <w:szCs w:val="14"/>
          <w:color w:val="auto"/>
        </w:rPr>
        <w:t>Subsidiaries of the Company.</w:t>
      </w:r>
    </w:p>
    <w:p>
      <w:pPr>
        <w:spacing w:after="0" w:line="351" w:lineRule="exact"/>
        <w:rPr>
          <w:sz w:val="20"/>
          <w:szCs w:val="20"/>
          <w:color w:val="auto"/>
        </w:rPr>
      </w:pPr>
    </w:p>
    <w:p>
      <w:pPr>
        <w:ind w:left="801"/>
        <w:spacing w:after="0"/>
        <w:tabs>
          <w:tab w:leader="none" w:pos="142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4"/>
          <w:szCs w:val="14"/>
          <w:color w:val="auto"/>
        </w:rPr>
        <w:t>Consent of PricewaterhouseCoopers LLP.</w:t>
      </w:r>
    </w:p>
    <w:p>
      <w:pPr>
        <w:spacing w:after="0" w:line="351" w:lineRule="exact"/>
        <w:rPr>
          <w:sz w:val="20"/>
          <w:szCs w:val="20"/>
          <w:color w:val="auto"/>
        </w:rPr>
      </w:pPr>
    </w:p>
    <w:p>
      <w:pPr>
        <w:ind w:left="801"/>
        <w:spacing w:after="0" w:line="196" w:lineRule="exact"/>
        <w:tabs>
          <w:tab w:leader="none" w:pos="142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4"/>
          <w:szCs w:val="14"/>
          <w:color w:val="auto"/>
        </w:rPr>
        <w:t>Certifications pursuant to Section 302 of the Sarbanes</w:t>
      </w:r>
      <w:r>
        <w:rPr>
          <w:rFonts w:ascii="MS PGothic" w:cs="MS PGothic" w:eastAsia="MS PGothic" w:hAnsi="MS PGothic"/>
          <w:sz w:val="14"/>
          <w:szCs w:val="14"/>
          <w:color w:val="auto"/>
        </w:rPr>
        <w:t>‑</w:t>
      </w:r>
      <w:r>
        <w:rPr>
          <w:rFonts w:ascii="Arial" w:cs="Arial" w:eastAsia="Arial" w:hAnsi="Arial"/>
          <w:sz w:val="14"/>
          <w:szCs w:val="14"/>
          <w:color w:val="auto"/>
        </w:rPr>
        <w:t>Oxley Act.</w:t>
      </w:r>
    </w:p>
    <w:p>
      <w:pPr>
        <w:spacing w:after="0" w:line="351" w:lineRule="exact"/>
        <w:rPr>
          <w:sz w:val="20"/>
          <w:szCs w:val="20"/>
          <w:color w:val="auto"/>
        </w:rPr>
      </w:pPr>
    </w:p>
    <w:p>
      <w:pPr>
        <w:ind w:left="801"/>
        <w:spacing w:after="0" w:line="196" w:lineRule="exact"/>
        <w:tabs>
          <w:tab w:leader="none" w:pos="1420" w:val="left"/>
        </w:tabs>
        <w:rPr>
          <w:sz w:val="20"/>
          <w:szCs w:val="20"/>
          <w:color w:val="auto"/>
        </w:rPr>
      </w:pPr>
      <w:r>
        <w:rPr>
          <w:rFonts w:ascii="Arial" w:cs="Arial" w:eastAsia="Arial" w:hAnsi="Arial"/>
          <w:sz w:val="17"/>
          <w:szCs w:val="17"/>
          <w:color w:val="auto"/>
        </w:rPr>
        <w:t>32.0</w:t>
      </w:r>
      <w:r>
        <w:rPr>
          <w:sz w:val="20"/>
          <w:szCs w:val="20"/>
          <w:color w:val="auto"/>
        </w:rPr>
        <w:tab/>
      </w:r>
      <w:r>
        <w:rPr>
          <w:rFonts w:ascii="Arial" w:cs="Arial" w:eastAsia="Arial" w:hAnsi="Arial"/>
          <w:sz w:val="14"/>
          <w:szCs w:val="14"/>
          <w:color w:val="auto"/>
        </w:rPr>
        <w:t>Certifications pursuant to Section 906 of the Sarbanes</w:t>
      </w:r>
      <w:r>
        <w:rPr>
          <w:rFonts w:ascii="MS PGothic" w:cs="MS PGothic" w:eastAsia="MS PGothic" w:hAnsi="MS PGothic"/>
          <w:sz w:val="14"/>
          <w:szCs w:val="14"/>
          <w:color w:val="auto"/>
        </w:rPr>
        <w:t>‑</w:t>
      </w:r>
      <w:r>
        <w:rPr>
          <w:rFonts w:ascii="Arial" w:cs="Arial" w:eastAsia="Arial" w:hAnsi="Arial"/>
          <w:sz w:val="14"/>
          <w:szCs w:val="14"/>
          <w:color w:val="auto"/>
        </w:rPr>
        <w:t>Oxley Act.</w:t>
      </w:r>
    </w:p>
    <w:p>
      <w:pPr>
        <w:spacing w:after="0" w:line="351" w:lineRule="exact"/>
        <w:rPr>
          <w:sz w:val="20"/>
          <w:szCs w:val="20"/>
          <w:color w:val="auto"/>
        </w:rPr>
      </w:pPr>
    </w:p>
    <w:p>
      <w:pPr>
        <w:ind w:left="1441" w:hanging="628"/>
        <w:spacing w:after="0"/>
        <w:tabs>
          <w:tab w:leader="none" w:pos="1441" w:val="left"/>
        </w:tabs>
        <w:numPr>
          <w:ilvl w:val="0"/>
          <w:numId w:val="58"/>
        </w:numPr>
        <w:rPr>
          <w:rFonts w:ascii="Arial" w:cs="Arial" w:eastAsia="Arial" w:hAnsi="Arial"/>
          <w:sz w:val="17"/>
          <w:szCs w:val="17"/>
          <w:color w:val="auto"/>
        </w:rPr>
      </w:pPr>
      <w:r>
        <w:rPr>
          <w:rFonts w:ascii="Arial" w:cs="Arial" w:eastAsia="Arial" w:hAnsi="Arial"/>
          <w:sz w:val="17"/>
          <w:szCs w:val="17"/>
          <w:color w:val="auto"/>
        </w:rPr>
        <w:t>XBRL-related documents</w:t>
      </w:r>
    </w:p>
    <w:p>
      <w:pPr>
        <w:spacing w:after="0" w:line="350" w:lineRule="exact"/>
        <w:rPr>
          <w:rFonts w:ascii="Arial" w:cs="Arial" w:eastAsia="Arial" w:hAnsi="Arial"/>
          <w:sz w:val="17"/>
          <w:szCs w:val="17"/>
          <w:color w:val="auto"/>
        </w:rPr>
      </w:pPr>
    </w:p>
    <w:p>
      <w:pPr>
        <w:ind w:left="1441" w:hanging="628"/>
        <w:spacing w:after="0"/>
        <w:tabs>
          <w:tab w:leader="none" w:pos="144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Interactive data file</w:t>
      </w:r>
    </w:p>
    <w:p>
      <w:pPr>
        <w:spacing w:after="0" w:line="21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w:t>
      </w:r>
    </w:p>
    <w:p>
      <w:pPr>
        <w:spacing w:after="0" w:line="188" w:lineRule="exact"/>
        <w:rPr>
          <w:sz w:val="20"/>
          <w:szCs w:val="20"/>
          <w:color w:val="auto"/>
        </w:rPr>
      </w:pPr>
    </w:p>
    <w:p>
      <w:pPr>
        <w:ind w:left="601" w:hanging="601"/>
        <w:spacing w:after="0"/>
        <w:tabs>
          <w:tab w:leader="none" w:pos="601"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Incorporated by reference from the Company's Annual Report on Form 10-K for the year ended December 31, 1999 filed on March 30, 2000.</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Incorporated by reference from the Company's Quarterly Report on Form 10-Q for the quarter ended March 31, 2000 filed on May 15, 2000.</w:t>
      </w:r>
    </w:p>
    <w:p>
      <w:pPr>
        <w:spacing w:after="0" w:line="388" w:lineRule="exact"/>
        <w:rPr>
          <w:sz w:val="20"/>
          <w:szCs w:val="20"/>
          <w:color w:val="auto"/>
        </w:rPr>
      </w:pPr>
    </w:p>
    <w:p>
      <w:pPr>
        <w:ind w:left="5601"/>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861"/>
          </w:cols>
          <w:pgMar w:left="239" w:top="120" w:right="799" w:bottom="1440" w:gutter="0" w:footer="0" w:header="0"/>
        </w:sectPr>
      </w:pPr>
    </w:p>
    <w:bookmarkStart w:id="119" w:name="page120"/>
    <w:bookmarkEnd w:id="119"/>
    <w:p>
      <w:pPr>
        <w:ind w:left="1"/>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27" w:lineRule="exact"/>
        <w:rPr>
          <w:sz w:val="20"/>
          <w:szCs w:val="20"/>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Quarterly Report on Form 10-Q for the quarter ended June 30, 2000 filed on August 14, 2000.</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Form S-3 Registration Statement filed on February 12, 2001.</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Quarterly Report on Form 10-Q for the quarter ended September 30, 2002 filed on November 14, 2002.</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8-A filed on July 8, 2003.</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8-A filed on September 25, 2003.</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8-A filed on December 10, 2003.</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Annual Report on Form 10-K for the year ended December 31, 2003 filed on March 15, 2004.</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8-A filed on February 27, 2004.</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Definitive Proxy Statement filed on April 28, 2004.</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Form S-4 Registration Statement filed on May 21, 2004.</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Annual Report on Form 10-K for the year ended December 31, 2004 filed on March 16, 2005.</w:t>
      </w:r>
    </w:p>
    <w:p>
      <w:pPr>
        <w:spacing w:after="0" w:line="123"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Falcon Financial Investment Trust's Form 8-K filed on January 24, 2005.</w:t>
      </w:r>
    </w:p>
    <w:p>
      <w:pPr>
        <w:spacing w:after="0" w:line="123"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April 20, 2005.</w:t>
      </w:r>
    </w:p>
    <w:p>
      <w:pPr>
        <w:spacing w:after="0" w:line="123"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Annual Report on Form 10-K for the year ended December 31, 2005 filed on March 16, 2006.</w:t>
      </w:r>
    </w:p>
    <w:p>
      <w:pPr>
        <w:spacing w:after="0" w:line="123"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February 24, 2006.</w:t>
      </w:r>
    </w:p>
    <w:p>
      <w:pPr>
        <w:spacing w:after="0" w:line="123"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Quarterly Report on Form 10-Q for the quarter ended September 30, 2006 filed on November 8, 2006.</w:t>
      </w:r>
    </w:p>
    <w:p>
      <w:pPr>
        <w:spacing w:after="0" w:line="123"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Definitive Proxy Statement filed on April 27, 2009.</w:t>
      </w:r>
    </w:p>
    <w:p>
      <w:pPr>
        <w:spacing w:after="0" w:line="123"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January 16, 2007.</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January 25, 2007.</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March 15, 2007.</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Quarterly Report on Form 10-Q for the quarter ended March 31, 2007 filed on May 9, 2007.</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Quarterly Report on Form 10-Q for the quarter ended March 31, 2008 filed on May 9, 2008.</w:t>
      </w:r>
    </w:p>
    <w:p>
      <w:pPr>
        <w:spacing w:after="0" w:line="160" w:lineRule="exact"/>
        <w:rPr>
          <w:rFonts w:ascii="Arial" w:cs="Arial" w:eastAsia="Arial" w:hAnsi="Arial"/>
          <w:sz w:val="13"/>
          <w:szCs w:val="13"/>
          <w:color w:val="auto"/>
        </w:rPr>
      </w:pPr>
    </w:p>
    <w:p>
      <w:pPr>
        <w:ind w:left="601" w:hanging="601"/>
        <w:spacing w:after="0"/>
        <w:tabs>
          <w:tab w:leader="none" w:pos="6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May 27, 2008.</w:t>
      </w:r>
    </w:p>
    <w:p>
      <w:pPr>
        <w:spacing w:after="0" w:line="197" w:lineRule="exact"/>
        <w:rPr>
          <w:rFonts w:ascii="Arial" w:cs="Arial" w:eastAsia="Arial" w:hAnsi="Arial"/>
          <w:sz w:val="13"/>
          <w:szCs w:val="13"/>
          <w:color w:val="auto"/>
        </w:rPr>
      </w:pPr>
    </w:p>
    <w:p>
      <w:pPr>
        <w:ind w:left="381" w:hanging="381"/>
        <w:spacing w:after="0"/>
        <w:tabs>
          <w:tab w:leader="none" w:pos="3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March 23, 2012.</w:t>
      </w:r>
    </w:p>
    <w:p>
      <w:pPr>
        <w:spacing w:after="0" w:line="260" w:lineRule="exact"/>
        <w:rPr>
          <w:rFonts w:ascii="Arial" w:cs="Arial" w:eastAsia="Arial" w:hAnsi="Arial"/>
          <w:sz w:val="13"/>
          <w:szCs w:val="13"/>
          <w:color w:val="auto"/>
        </w:rPr>
      </w:pPr>
    </w:p>
    <w:p>
      <w:pPr>
        <w:ind w:left="381" w:hanging="381"/>
        <w:spacing w:after="0"/>
        <w:tabs>
          <w:tab w:leader="none" w:pos="3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May 11, 2012.</w:t>
      </w:r>
    </w:p>
    <w:p>
      <w:pPr>
        <w:spacing w:after="0" w:line="260" w:lineRule="exact"/>
        <w:rPr>
          <w:rFonts w:ascii="Arial" w:cs="Arial" w:eastAsia="Arial" w:hAnsi="Arial"/>
          <w:sz w:val="13"/>
          <w:szCs w:val="13"/>
          <w:color w:val="auto"/>
        </w:rPr>
      </w:pPr>
    </w:p>
    <w:p>
      <w:pPr>
        <w:ind w:left="381" w:hanging="381"/>
        <w:spacing w:after="0"/>
        <w:tabs>
          <w:tab w:leader="none" w:pos="3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Form S-4 Registration Statement filed on June 8, 2012.</w:t>
      </w:r>
    </w:p>
    <w:p>
      <w:pPr>
        <w:spacing w:after="0" w:line="260" w:lineRule="exact"/>
        <w:rPr>
          <w:rFonts w:ascii="Arial" w:cs="Arial" w:eastAsia="Arial" w:hAnsi="Arial"/>
          <w:sz w:val="13"/>
          <w:szCs w:val="13"/>
          <w:color w:val="auto"/>
        </w:rPr>
      </w:pPr>
    </w:p>
    <w:p>
      <w:pPr>
        <w:ind w:left="381" w:hanging="381"/>
        <w:spacing w:after="0"/>
        <w:tabs>
          <w:tab w:leader="none" w:pos="3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October 19, 2012.</w:t>
      </w:r>
    </w:p>
    <w:p>
      <w:pPr>
        <w:spacing w:after="0" w:line="260" w:lineRule="exact"/>
        <w:rPr>
          <w:rFonts w:ascii="Arial" w:cs="Arial" w:eastAsia="Arial" w:hAnsi="Arial"/>
          <w:sz w:val="13"/>
          <w:szCs w:val="13"/>
          <w:color w:val="auto"/>
        </w:rPr>
      </w:pPr>
    </w:p>
    <w:p>
      <w:pPr>
        <w:ind w:left="381" w:hanging="381"/>
        <w:spacing w:after="0"/>
        <w:tabs>
          <w:tab w:leader="none" w:pos="3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November 19, 2012.</w:t>
      </w:r>
    </w:p>
    <w:p>
      <w:pPr>
        <w:spacing w:after="0" w:line="222" w:lineRule="exact"/>
        <w:rPr>
          <w:rFonts w:ascii="Arial" w:cs="Arial" w:eastAsia="Arial" w:hAnsi="Arial"/>
          <w:sz w:val="13"/>
          <w:szCs w:val="13"/>
          <w:color w:val="auto"/>
        </w:rPr>
      </w:pPr>
    </w:p>
    <w:p>
      <w:pPr>
        <w:ind w:left="361" w:hanging="361"/>
        <w:spacing w:after="0"/>
        <w:tabs>
          <w:tab w:leader="none" w:pos="361"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Incorporated by reference from the Company's Current Report on Form 8-K filed on February 15, 2013.</w:t>
      </w:r>
    </w:p>
    <w:p>
      <w:pPr>
        <w:spacing w:after="0" w:line="200" w:lineRule="exact"/>
        <w:rPr>
          <w:sz w:val="20"/>
          <w:szCs w:val="20"/>
          <w:color w:val="auto"/>
        </w:rPr>
      </w:pPr>
    </w:p>
    <w:p>
      <w:pPr>
        <w:spacing w:after="0" w:line="321" w:lineRule="exact"/>
        <w:rPr>
          <w:sz w:val="20"/>
          <w:szCs w:val="20"/>
          <w:color w:val="auto"/>
        </w:rPr>
      </w:pPr>
    </w:p>
    <w:p>
      <w:pPr>
        <w:ind w:left="1" w:hanging="1"/>
        <w:spacing w:after="0" w:line="265" w:lineRule="auto"/>
        <w:tabs>
          <w:tab w:leader="none" w:pos="1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361"/>
          </w:cols>
          <w:pgMar w:left="239" w:top="120" w:right="29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5"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iSTAR FINANCIAL INC.</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Registrant</w:t>
      </w:r>
    </w:p>
    <w:p>
      <w:pPr>
        <w:spacing w:after="0" w:line="42" w:lineRule="exact"/>
        <w:rPr>
          <w:sz w:val="20"/>
          <w:szCs w:val="20"/>
          <w:color w:val="auto"/>
        </w:rPr>
      </w:pPr>
    </w:p>
    <w:p>
      <w:pPr>
        <w:ind w:left="320"/>
        <w:spacing w:after="0"/>
        <w:tabs>
          <w:tab w:leader="none" w:pos="7920" w:val="left"/>
        </w:tabs>
        <w:rPr>
          <w:sz w:val="20"/>
          <w:szCs w:val="20"/>
          <w:color w:val="auto"/>
        </w:rPr>
      </w:pPr>
      <w:r>
        <w:rPr>
          <w:rFonts w:ascii="Arial" w:cs="Arial" w:eastAsia="Arial" w:hAnsi="Arial"/>
          <w:sz w:val="17"/>
          <w:szCs w:val="17"/>
          <w:color w:val="auto"/>
        </w:rPr>
        <w:t>Date: March 1, 2013</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25400</wp:posOffset>
            </wp:positionV>
            <wp:extent cx="34829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2975" cy="7620"/>
                    </a:xfrm>
                    <a:prstGeom prst="rect">
                      <a:avLst/>
                    </a:prstGeom>
                    <a:noFill/>
                  </pic:spPr>
                </pic:pic>
              </a:graphicData>
            </a:graphic>
          </wp:anchor>
        </w:drawing>
      </w:r>
    </w:p>
    <w:p>
      <w:pPr>
        <w:spacing w:after="0" w:line="45" w:lineRule="exact"/>
        <w:rPr>
          <w:sz w:val="20"/>
          <w:szCs w:val="20"/>
          <w:color w:val="auto"/>
        </w:rPr>
      </w:pPr>
    </w:p>
    <w:p>
      <w:pPr>
        <w:jc w:val="center"/>
        <w:ind w:left="5940"/>
        <w:spacing w:after="0"/>
        <w:rPr>
          <w:sz w:val="20"/>
          <w:szCs w:val="20"/>
          <w:color w:val="auto"/>
        </w:rPr>
      </w:pPr>
      <w:r>
        <w:rPr>
          <w:rFonts w:ascii="Arial" w:cs="Arial" w:eastAsia="Arial" w:hAnsi="Arial"/>
          <w:sz w:val="17"/>
          <w:szCs w:val="17"/>
          <w:color w:val="auto"/>
        </w:rPr>
        <w:t>Jay Sugarman</w:t>
      </w:r>
    </w:p>
    <w:p>
      <w:pPr>
        <w:spacing w:after="0" w:line="14" w:lineRule="exact"/>
        <w:rPr>
          <w:sz w:val="20"/>
          <w:szCs w:val="20"/>
          <w:color w:val="auto"/>
        </w:rPr>
      </w:pPr>
    </w:p>
    <w:p>
      <w:pPr>
        <w:jc w:val="center"/>
        <w:ind w:left="5980"/>
        <w:spacing w:after="0"/>
        <w:rPr>
          <w:sz w:val="20"/>
          <w:szCs w:val="20"/>
          <w:color w:val="auto"/>
        </w:rPr>
      </w:pPr>
      <w:r>
        <w:rPr>
          <w:rFonts w:ascii="Arial" w:cs="Arial" w:eastAsia="Arial" w:hAnsi="Arial"/>
          <w:sz w:val="17"/>
          <w:szCs w:val="17"/>
          <w:i w:val="1"/>
          <w:iCs w:val="1"/>
          <w:color w:val="auto"/>
        </w:rPr>
        <w:t>Chairman of the Board of Directors and Chief</w:t>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7"/>
          <w:szCs w:val="17"/>
          <w:i w:val="1"/>
          <w:iCs w:val="1"/>
          <w:color w:val="auto"/>
        </w:rPr>
        <w:t>Executive Officer (principal executive officer)</w:t>
      </w:r>
    </w:p>
    <w:p>
      <w:pPr>
        <w:spacing w:after="0" w:line="4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iSTAR FINANCIAL INC.</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Registrant</w:t>
      </w:r>
    </w:p>
    <w:p>
      <w:pPr>
        <w:spacing w:after="0" w:line="42" w:lineRule="exact"/>
        <w:rPr>
          <w:sz w:val="20"/>
          <w:szCs w:val="20"/>
          <w:color w:val="auto"/>
        </w:rPr>
      </w:pPr>
    </w:p>
    <w:p>
      <w:pPr>
        <w:ind w:left="320"/>
        <w:spacing w:after="0"/>
        <w:tabs>
          <w:tab w:leader="none" w:pos="7840" w:val="left"/>
        </w:tabs>
        <w:rPr>
          <w:sz w:val="20"/>
          <w:szCs w:val="20"/>
          <w:color w:val="auto"/>
        </w:rPr>
      </w:pPr>
      <w:r>
        <w:rPr>
          <w:rFonts w:ascii="Arial" w:cs="Arial" w:eastAsia="Arial" w:hAnsi="Arial"/>
          <w:sz w:val="17"/>
          <w:szCs w:val="17"/>
          <w:color w:val="auto"/>
        </w:rPr>
        <w:t>Date: March 1, 2013</w:t>
      </w:r>
      <w:r>
        <w:rPr>
          <w:sz w:val="20"/>
          <w:szCs w:val="20"/>
          <w:color w:val="auto"/>
        </w:rPr>
        <w:tab/>
      </w:r>
      <w:r>
        <w:rPr>
          <w:rFonts w:ascii="Arial" w:cs="Arial" w:eastAsia="Arial" w:hAnsi="Arial"/>
          <w:sz w:val="14"/>
          <w:szCs w:val="14"/>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25400</wp:posOffset>
            </wp:positionV>
            <wp:extent cx="34829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2975" cy="7620"/>
                    </a:xfrm>
                    <a:prstGeom prst="rect">
                      <a:avLst/>
                    </a:prstGeom>
                    <a:noFill/>
                  </pic:spPr>
                </pic:pic>
              </a:graphicData>
            </a:graphic>
          </wp:anchor>
        </w:drawing>
      </w:r>
    </w:p>
    <w:p>
      <w:pPr>
        <w:spacing w:after="0" w:line="45" w:lineRule="exact"/>
        <w:rPr>
          <w:sz w:val="20"/>
          <w:szCs w:val="20"/>
          <w:color w:val="auto"/>
        </w:rPr>
      </w:pPr>
    </w:p>
    <w:p>
      <w:pPr>
        <w:jc w:val="center"/>
        <w:ind w:left="5940"/>
        <w:spacing w:after="0"/>
        <w:rPr>
          <w:sz w:val="20"/>
          <w:szCs w:val="20"/>
          <w:color w:val="auto"/>
        </w:rPr>
      </w:pPr>
      <w:r>
        <w:rPr>
          <w:rFonts w:ascii="Arial" w:cs="Arial" w:eastAsia="Arial" w:hAnsi="Arial"/>
          <w:sz w:val="17"/>
          <w:szCs w:val="17"/>
          <w:color w:val="auto"/>
        </w:rPr>
        <w:t>David M. DiStaso</w:t>
      </w:r>
    </w:p>
    <w:p>
      <w:pPr>
        <w:spacing w:after="0" w:line="14" w:lineRule="exact"/>
        <w:rPr>
          <w:sz w:val="20"/>
          <w:szCs w:val="20"/>
          <w:color w:val="auto"/>
        </w:rPr>
      </w:pPr>
    </w:p>
    <w:p>
      <w:pPr>
        <w:jc w:val="center"/>
        <w:ind w:left="5980"/>
        <w:spacing w:after="0"/>
        <w:rPr>
          <w:sz w:val="20"/>
          <w:szCs w:val="20"/>
          <w:color w:val="auto"/>
        </w:rPr>
      </w:pPr>
      <w:r>
        <w:rPr>
          <w:rFonts w:ascii="Arial" w:cs="Arial" w:eastAsia="Arial" w:hAnsi="Arial"/>
          <w:sz w:val="17"/>
          <w:szCs w:val="17"/>
          <w:i w:val="1"/>
          <w:iCs w:val="1"/>
          <w:color w:val="auto"/>
        </w:rPr>
        <w:t>Chief Financial Officer (principal financial and</w:t>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7"/>
          <w:szCs w:val="17"/>
          <w:i w:val="1"/>
          <w:iCs w:val="1"/>
          <w:color w:val="auto"/>
        </w:rPr>
        <w:t>accounting officer)</w:t>
      </w:r>
    </w:p>
    <w:p>
      <w:pPr>
        <w:spacing w:after="0" w:line="290"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3040" w:type="dxa"/>
        <w:tblCellMar>
          <w:top w:w="0" w:type="dxa"/>
          <w:left w:w="0" w:type="dxa"/>
          <w:bottom w:w="0" w:type="dxa"/>
          <w:right w:w="0" w:type="dxa"/>
        </w:tblCellMar>
      </w:tblPr>
      <w:tr>
        <w:trPr>
          <w:trHeight w:val="209"/>
        </w:trPr>
        <w:tc>
          <w:tcPr>
            <w:tcW w:w="1960" w:type="dxa"/>
            <w:vAlign w:val="bottom"/>
          </w:tcPr>
          <w:p>
            <w:pPr>
              <w:spacing w:after="0"/>
              <w:rPr>
                <w:sz w:val="20"/>
                <w:szCs w:val="20"/>
                <w:color w:val="auto"/>
              </w:rPr>
            </w:pPr>
            <w:r>
              <w:rPr>
                <w:rFonts w:ascii="Arial" w:cs="Arial" w:eastAsia="Arial" w:hAnsi="Arial"/>
                <w:sz w:val="17"/>
                <w:szCs w:val="17"/>
                <w:color w:val="auto"/>
              </w:rPr>
              <w:t>Date: March 1, 2013</w:t>
            </w: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4"/>
              </w:rPr>
              <w:t>/s/ JAY SUGARMAN</w:t>
            </w:r>
          </w:p>
        </w:tc>
      </w:tr>
      <w:tr>
        <w:trPr>
          <w:trHeight w:val="26"/>
        </w:trPr>
        <w:tc>
          <w:tcPr>
            <w:tcW w:w="1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03"/>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85"/>
              </w:rPr>
              <w:t>Jay Sugarman</w:t>
            </w:r>
          </w:p>
        </w:tc>
      </w:tr>
      <w:tr>
        <w:trPr>
          <w:trHeight w:val="199"/>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90"/>
              </w:rPr>
              <w:t>Chairman of the Board of Directors</w:t>
            </w:r>
          </w:p>
        </w:tc>
      </w:tr>
      <w:tr>
        <w:trPr>
          <w:trHeight w:val="209"/>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89"/>
              </w:rPr>
              <w:t>Chief Executive Officer</w:t>
            </w:r>
          </w:p>
        </w:tc>
      </w:tr>
      <w:tr>
        <w:trPr>
          <w:trHeight w:val="546"/>
        </w:trPr>
        <w:tc>
          <w:tcPr>
            <w:tcW w:w="1960" w:type="dxa"/>
            <w:vAlign w:val="bottom"/>
          </w:tcPr>
          <w:p>
            <w:pPr>
              <w:spacing w:after="0"/>
              <w:rPr>
                <w:sz w:val="20"/>
                <w:szCs w:val="20"/>
                <w:color w:val="auto"/>
              </w:rPr>
            </w:pPr>
            <w:r>
              <w:rPr>
                <w:rFonts w:ascii="Arial" w:cs="Arial" w:eastAsia="Arial" w:hAnsi="Arial"/>
                <w:sz w:val="17"/>
                <w:szCs w:val="17"/>
                <w:color w:val="auto"/>
              </w:rPr>
              <w:t>Date: March 1, 2013</w:t>
            </w:r>
          </w:p>
        </w:tc>
        <w:tc>
          <w:tcPr>
            <w:tcW w:w="30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2"/>
              </w:rPr>
              <w:t>/s/ ROBERT W. HOLMAN, JR.</w:t>
            </w:r>
          </w:p>
        </w:tc>
      </w:tr>
      <w:tr>
        <w:trPr>
          <w:trHeight w:val="26"/>
        </w:trPr>
        <w:tc>
          <w:tcPr>
            <w:tcW w:w="1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03"/>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87"/>
              </w:rPr>
              <w:t>Robert W. Holman, Jr.</w:t>
            </w:r>
          </w:p>
        </w:tc>
      </w:tr>
      <w:tr>
        <w:trPr>
          <w:trHeight w:val="209"/>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w:t>
            </w:r>
          </w:p>
        </w:tc>
      </w:tr>
      <w:tr>
        <w:trPr>
          <w:trHeight w:val="546"/>
        </w:trPr>
        <w:tc>
          <w:tcPr>
            <w:tcW w:w="1960" w:type="dxa"/>
            <w:vAlign w:val="bottom"/>
          </w:tcPr>
          <w:p>
            <w:pPr>
              <w:spacing w:after="0"/>
              <w:rPr>
                <w:sz w:val="20"/>
                <w:szCs w:val="20"/>
                <w:color w:val="auto"/>
              </w:rPr>
            </w:pPr>
            <w:r>
              <w:rPr>
                <w:rFonts w:ascii="Arial" w:cs="Arial" w:eastAsia="Arial" w:hAnsi="Arial"/>
                <w:sz w:val="17"/>
                <w:szCs w:val="17"/>
                <w:color w:val="auto"/>
              </w:rPr>
              <w:t>Date: March 1, 2013</w:t>
            </w:r>
          </w:p>
        </w:tc>
        <w:tc>
          <w:tcPr>
            <w:tcW w:w="30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89"/>
              </w:rPr>
              <w:t>/s/ ROBIN JOSEPHS</w:t>
            </w:r>
          </w:p>
        </w:tc>
      </w:tr>
      <w:tr>
        <w:trPr>
          <w:trHeight w:val="26"/>
        </w:trPr>
        <w:tc>
          <w:tcPr>
            <w:tcW w:w="1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03"/>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85"/>
              </w:rPr>
              <w:t>Robin Josephs</w:t>
            </w:r>
          </w:p>
        </w:tc>
      </w:tr>
      <w:tr>
        <w:trPr>
          <w:trHeight w:val="209"/>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w:t>
            </w:r>
          </w:p>
        </w:tc>
      </w:tr>
      <w:tr>
        <w:trPr>
          <w:trHeight w:val="546"/>
        </w:trPr>
        <w:tc>
          <w:tcPr>
            <w:tcW w:w="1960" w:type="dxa"/>
            <w:vAlign w:val="bottom"/>
          </w:tcPr>
          <w:p>
            <w:pPr>
              <w:spacing w:after="0"/>
              <w:rPr>
                <w:sz w:val="20"/>
                <w:szCs w:val="20"/>
                <w:color w:val="auto"/>
              </w:rPr>
            </w:pPr>
            <w:r>
              <w:rPr>
                <w:rFonts w:ascii="Arial" w:cs="Arial" w:eastAsia="Arial" w:hAnsi="Arial"/>
                <w:sz w:val="17"/>
                <w:szCs w:val="17"/>
                <w:color w:val="auto"/>
              </w:rPr>
              <w:t>Date: March 1, 2013</w:t>
            </w:r>
          </w:p>
        </w:tc>
        <w:tc>
          <w:tcPr>
            <w:tcW w:w="30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/s/ JOHN G. MCDONALD</w:t>
            </w:r>
          </w:p>
        </w:tc>
      </w:tr>
      <w:tr>
        <w:trPr>
          <w:trHeight w:val="26"/>
        </w:trPr>
        <w:tc>
          <w:tcPr>
            <w:tcW w:w="1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03"/>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89"/>
              </w:rPr>
              <w:t>John G. McDonald</w:t>
            </w:r>
          </w:p>
        </w:tc>
      </w:tr>
      <w:tr>
        <w:trPr>
          <w:trHeight w:val="209"/>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w:t>
            </w:r>
          </w:p>
        </w:tc>
      </w:tr>
      <w:tr>
        <w:trPr>
          <w:trHeight w:val="546"/>
        </w:trPr>
        <w:tc>
          <w:tcPr>
            <w:tcW w:w="1960" w:type="dxa"/>
            <w:vAlign w:val="bottom"/>
          </w:tcPr>
          <w:p>
            <w:pPr>
              <w:spacing w:after="0"/>
              <w:rPr>
                <w:sz w:val="20"/>
                <w:szCs w:val="20"/>
                <w:color w:val="auto"/>
              </w:rPr>
            </w:pPr>
            <w:r>
              <w:rPr>
                <w:rFonts w:ascii="Arial" w:cs="Arial" w:eastAsia="Arial" w:hAnsi="Arial"/>
                <w:sz w:val="17"/>
                <w:szCs w:val="17"/>
                <w:color w:val="auto"/>
              </w:rPr>
              <w:t>Date: March 1, 2013</w:t>
            </w:r>
          </w:p>
        </w:tc>
        <w:tc>
          <w:tcPr>
            <w:tcW w:w="30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0"/>
              </w:rPr>
              <w:t>/s/ GEORGE R. PUSKAR</w:t>
            </w:r>
          </w:p>
        </w:tc>
      </w:tr>
      <w:tr>
        <w:trPr>
          <w:trHeight w:val="26"/>
        </w:trPr>
        <w:tc>
          <w:tcPr>
            <w:tcW w:w="1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03"/>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86"/>
              </w:rPr>
              <w:t>George R. Puskar</w:t>
            </w:r>
          </w:p>
        </w:tc>
      </w:tr>
      <w:tr>
        <w:trPr>
          <w:trHeight w:val="209"/>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w:t>
            </w:r>
          </w:p>
        </w:tc>
      </w:tr>
      <w:tr>
        <w:trPr>
          <w:trHeight w:val="546"/>
        </w:trPr>
        <w:tc>
          <w:tcPr>
            <w:tcW w:w="1960" w:type="dxa"/>
            <w:vAlign w:val="bottom"/>
          </w:tcPr>
          <w:p>
            <w:pPr>
              <w:spacing w:after="0"/>
              <w:rPr>
                <w:sz w:val="20"/>
                <w:szCs w:val="20"/>
                <w:color w:val="auto"/>
              </w:rPr>
            </w:pPr>
            <w:r>
              <w:rPr>
                <w:rFonts w:ascii="Arial" w:cs="Arial" w:eastAsia="Arial" w:hAnsi="Arial"/>
                <w:sz w:val="17"/>
                <w:szCs w:val="17"/>
                <w:color w:val="auto"/>
              </w:rPr>
              <w:t>Date: March 1, 2013</w:t>
            </w:r>
          </w:p>
        </w:tc>
        <w:tc>
          <w:tcPr>
            <w:tcW w:w="30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/s/ DALE A. REISS</w:t>
            </w:r>
          </w:p>
        </w:tc>
      </w:tr>
      <w:tr>
        <w:trPr>
          <w:trHeight w:val="26"/>
        </w:trPr>
        <w:tc>
          <w:tcPr>
            <w:tcW w:w="1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03"/>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89"/>
              </w:rPr>
              <w:t>Dale A. Reiss</w:t>
            </w:r>
          </w:p>
        </w:tc>
      </w:tr>
      <w:tr>
        <w:trPr>
          <w:trHeight w:val="209"/>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w:t>
            </w:r>
          </w:p>
        </w:tc>
      </w:tr>
      <w:tr>
        <w:trPr>
          <w:trHeight w:val="546"/>
        </w:trPr>
        <w:tc>
          <w:tcPr>
            <w:tcW w:w="1960" w:type="dxa"/>
            <w:vAlign w:val="bottom"/>
          </w:tcPr>
          <w:p>
            <w:pPr>
              <w:spacing w:after="0"/>
              <w:rPr>
                <w:sz w:val="20"/>
                <w:szCs w:val="20"/>
                <w:color w:val="auto"/>
              </w:rPr>
            </w:pPr>
            <w:r>
              <w:rPr>
                <w:rFonts w:ascii="Arial" w:cs="Arial" w:eastAsia="Arial" w:hAnsi="Arial"/>
                <w:sz w:val="17"/>
                <w:szCs w:val="17"/>
                <w:color w:val="auto"/>
              </w:rPr>
              <w:t>Date: March 1, 2013</w:t>
            </w:r>
          </w:p>
        </w:tc>
        <w:tc>
          <w:tcPr>
            <w:tcW w:w="30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/s/ BARRY W. RIDINGS</w:t>
            </w:r>
          </w:p>
        </w:tc>
      </w:tr>
      <w:tr>
        <w:trPr>
          <w:trHeight w:val="26"/>
        </w:trPr>
        <w:tc>
          <w:tcPr>
            <w:tcW w:w="1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03"/>
        </w:trPr>
        <w:tc>
          <w:tcPr>
            <w:tcW w:w="1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0"/>
              </w:rPr>
              <w:t>Barry W. Ridings</w:t>
            </w:r>
          </w:p>
        </w:tc>
      </w:tr>
      <w:tr>
        <w:trPr>
          <w:trHeight w:val="209"/>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w:t>
            </w:r>
          </w:p>
        </w:tc>
      </w:tr>
      <w:tr>
        <w:trPr>
          <w:trHeight w:val="447"/>
        </w:trPr>
        <w:tc>
          <w:tcPr>
            <w:tcW w:w="1960" w:type="dxa"/>
            <w:vAlign w:val="bottom"/>
          </w:tcPr>
          <w:p>
            <w:pPr>
              <w:spacing w:after="0"/>
              <w:rPr>
                <w:sz w:val="24"/>
                <w:szCs w:val="24"/>
                <w:color w:val="auto"/>
              </w:rPr>
            </w:pPr>
          </w:p>
        </w:tc>
        <w:tc>
          <w:tcPr>
            <w:tcW w:w="3080" w:type="dxa"/>
            <w:vAlign w:val="bottom"/>
          </w:tcPr>
          <w:p>
            <w:pPr>
              <w:jc w:val="right"/>
              <w:ind w:right="2157"/>
              <w:spacing w:after="0"/>
              <w:rPr>
                <w:sz w:val="20"/>
                <w:szCs w:val="20"/>
                <w:color w:val="auto"/>
              </w:rPr>
            </w:pPr>
            <w:r>
              <w:rPr>
                <w:rFonts w:ascii="Arial" w:cs="Arial" w:eastAsia="Arial" w:hAnsi="Arial"/>
                <w:sz w:val="17"/>
                <w:szCs w:val="17"/>
                <w:color w:val="auto"/>
              </w:rPr>
              <w:t>120</w:t>
            </w:r>
          </w:p>
        </w:tc>
        <w:tc>
          <w:tcPr>
            <w:tcW w:w="3340" w:type="dxa"/>
            <w:vAlign w:val="bottom"/>
          </w:tcPr>
          <w:p>
            <w:pPr>
              <w:spacing w:after="0"/>
              <w:rPr>
                <w:sz w:val="24"/>
                <w:szCs w:val="24"/>
                <w:color w:val="auto"/>
              </w:rPr>
            </w:pPr>
          </w:p>
        </w:tc>
      </w:tr>
    </w:tbl>
    <w:p>
      <w:pPr>
        <w:sectPr>
          <w:pgSz w:w="11900" w:h="16838" w:orient="portrait"/>
          <w:cols w:equalWidth="0" w:num="1">
            <w:col w:w="11420"/>
          </w:cols>
          <w:pgMar w:left="240" w:top="120" w:right="2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FF"/>
        </w:rPr>
      </w:pPr>
      <w:hyperlink w:anchor="page48">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219"/>
          </w:cols>
          <w:pgMar w:left="240" w:top="12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12.1</w:t>
      </w:r>
    </w:p>
    <w:p>
      <w:pPr>
        <w:spacing w:after="0" w:line="202"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Computation of Ratio of Earnings to Fixed Charges and Earnings to Fixed Charges and Preferred Dividends</w:t>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 in thousands, except ratios)</w:t>
      </w:r>
    </w:p>
    <w:p>
      <w:pPr>
        <w:spacing w:after="0" w:line="394" w:lineRule="exact"/>
        <w:rPr>
          <w:sz w:val="20"/>
          <w:szCs w:val="20"/>
          <w:color w:val="auto"/>
        </w:rPr>
      </w:pPr>
    </w:p>
    <w:tbl>
      <w:tblPr>
        <w:tblLayout w:type="fixed"/>
        <w:tblInd w:w="3021"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For the Years Ended December 31,</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39"/>
        </w:trPr>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2008</w:t>
            </w:r>
          </w:p>
        </w:tc>
      </w:tr>
      <w:tr>
        <w:trPr>
          <w:trHeight w:val="222"/>
        </w:trPr>
        <w:tc>
          <w:tcPr>
            <w:tcW w:w="3480" w:type="dxa"/>
            <w:vAlign w:val="bottom"/>
          </w:tcPr>
          <w:p>
            <w:pPr>
              <w:ind w:left="40"/>
              <w:spacing w:after="0"/>
              <w:rPr>
                <w:sz w:val="20"/>
                <w:szCs w:val="20"/>
                <w:color w:val="auto"/>
              </w:rPr>
            </w:pPr>
            <w:r>
              <w:rPr>
                <w:rFonts w:ascii="Arial" w:cs="Arial" w:eastAsia="Arial" w:hAnsi="Arial"/>
                <w:sz w:val="17"/>
                <w:szCs w:val="17"/>
                <w:b w:val="1"/>
                <w:bCs w:val="1"/>
                <w:color w:val="auto"/>
              </w:rPr>
              <w:t>Earnings: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1"/>
        </w:trPr>
        <w:tc>
          <w:tcPr>
            <w:tcW w:w="3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Pre-tax income from continuing operations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9"/>
        </w:trPr>
        <w:tc>
          <w:tcPr>
            <w:tcW w:w="34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before earnings from equity method investments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and other items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(407,258)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(153,762)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(250,537)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(793,786)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(322,646)</w:t>
            </w:r>
          </w:p>
        </w:tc>
      </w:tr>
      <w:tr>
        <w:trPr>
          <w:trHeight w:val="222"/>
        </w:trPr>
        <w:tc>
          <w:tcPr>
            <w:tcW w:w="3480" w:type="dxa"/>
            <w:vAlign w:val="bottom"/>
          </w:tcPr>
          <w:p>
            <w:pPr>
              <w:ind w:left="180"/>
              <w:spacing w:after="0"/>
              <w:rPr>
                <w:sz w:val="20"/>
                <w:szCs w:val="20"/>
                <w:color w:val="auto"/>
              </w:rPr>
            </w:pPr>
            <w:r>
              <w:rPr>
                <w:rFonts w:ascii="Arial" w:cs="Arial" w:eastAsia="Arial" w:hAnsi="Arial"/>
                <w:sz w:val="17"/>
                <w:szCs w:val="17"/>
                <w:color w:val="auto"/>
              </w:rPr>
              <w:t>Add: Fixed charges as calculated below</w:t>
            </w:r>
          </w:p>
        </w:tc>
        <w:tc>
          <w:tcPr>
            <w:tcW w:w="18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359,845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348,664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349,041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8"/>
              <w:spacing w:after="0"/>
              <w:rPr>
                <w:sz w:val="20"/>
                <w:szCs w:val="20"/>
                <w:color w:val="auto"/>
              </w:rPr>
            </w:pPr>
            <w:r>
              <w:rPr>
                <w:rFonts w:ascii="Arial" w:cs="Arial" w:eastAsia="Arial" w:hAnsi="Arial"/>
                <w:sz w:val="17"/>
                <w:szCs w:val="17"/>
                <w:color w:val="auto"/>
              </w:rPr>
              <w:t>485,624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671,304</w:t>
            </w: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1"/>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 Distributions of earnings from equity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method investments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105,586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85,766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36,766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48,196</w:t>
            </w:r>
          </w:p>
        </w:tc>
      </w:tr>
      <w:tr>
        <w:trPr>
          <w:trHeight w:val="222"/>
        </w:trPr>
        <w:tc>
          <w:tcPr>
            <w:tcW w:w="3480" w:type="dxa"/>
            <w:vAlign w:val="bottom"/>
          </w:tcPr>
          <w:p>
            <w:pPr>
              <w:ind w:left="180"/>
              <w:spacing w:after="0"/>
              <w:rPr>
                <w:sz w:val="20"/>
                <w:szCs w:val="20"/>
                <w:color w:val="auto"/>
              </w:rPr>
            </w:pPr>
            <w:r>
              <w:rPr>
                <w:rFonts w:ascii="Arial" w:cs="Arial" w:eastAsia="Arial" w:hAnsi="Arial"/>
                <w:sz w:val="17"/>
                <w:szCs w:val="17"/>
                <w:color w:val="auto"/>
              </w:rPr>
              <w:t>Less: Capitalized interest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(2,501)</w:t>
            </w:r>
          </w:p>
        </w:tc>
      </w:tr>
      <w:tr>
        <w:trPr>
          <w:trHeight w:val="26"/>
        </w:trPr>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56,379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279,880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130,688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(271,659)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394,353</w:t>
            </w:r>
          </w:p>
        </w:tc>
      </w:tr>
      <w:tr>
        <w:trPr>
          <w:trHeight w:val="222"/>
        </w:trPr>
        <w:tc>
          <w:tcPr>
            <w:tcW w:w="3480" w:type="dxa"/>
            <w:vAlign w:val="bottom"/>
          </w:tcPr>
          <w:p>
            <w:pPr>
              <w:ind w:left="40"/>
              <w:spacing w:after="0"/>
              <w:rPr>
                <w:sz w:val="20"/>
                <w:szCs w:val="20"/>
                <w:color w:val="auto"/>
              </w:rPr>
            </w:pPr>
            <w:r>
              <w:rPr>
                <w:rFonts w:ascii="Arial" w:cs="Arial" w:eastAsia="Arial" w:hAnsi="Arial"/>
                <w:sz w:val="17"/>
                <w:szCs w:val="17"/>
                <w:b w:val="1"/>
                <w:bCs w:val="1"/>
                <w:color w:val="auto"/>
              </w:rPr>
              <w:t>Fixed charges: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Interest expense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356,161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345,914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346,500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481,116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666,706</w:t>
            </w:r>
          </w:p>
        </w:tc>
      </w:tr>
      <w:tr>
        <w:trPr>
          <w:trHeight w:val="222"/>
        </w:trPr>
        <w:tc>
          <w:tcPr>
            <w:tcW w:w="3480" w:type="dxa"/>
            <w:vAlign w:val="bottom"/>
          </w:tcPr>
          <w:p>
            <w:pPr>
              <w:ind w:left="180"/>
              <w:spacing w:after="0"/>
              <w:rPr>
                <w:sz w:val="20"/>
                <w:szCs w:val="20"/>
                <w:color w:val="auto"/>
              </w:rPr>
            </w:pPr>
            <w:r>
              <w:rPr>
                <w:rFonts w:ascii="Arial" w:cs="Arial" w:eastAsia="Arial" w:hAnsi="Arial"/>
                <w:sz w:val="17"/>
                <w:szCs w:val="17"/>
                <w:color w:val="auto"/>
              </w:rPr>
              <w:t>Add: Capitalized interest</w:t>
            </w:r>
          </w:p>
        </w:tc>
        <w:tc>
          <w:tcPr>
            <w:tcW w:w="18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1,794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8"/>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2,501</w:t>
            </w: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1"/>
        </w:trPr>
        <w:tc>
          <w:tcPr>
            <w:tcW w:w="34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Implied interest component on the company's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 obligations</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4,245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2,097</w:t>
            </w:r>
          </w:p>
        </w:tc>
      </w:tr>
      <w:tr>
        <w:trPr>
          <w:trHeight w:val="214"/>
        </w:trPr>
        <w:tc>
          <w:tcPr>
            <w:tcW w:w="3480" w:type="dxa"/>
            <w:vAlign w:val="bottom"/>
          </w:tcPr>
          <w:p>
            <w:pPr>
              <w:ind w:left="40"/>
              <w:spacing w:after="0"/>
              <w:rPr>
                <w:sz w:val="20"/>
                <w:szCs w:val="20"/>
                <w:color w:val="auto"/>
              </w:rPr>
            </w:pPr>
            <w:r>
              <w:rPr>
                <w:rFonts w:ascii="Arial" w:cs="Arial" w:eastAsia="Arial" w:hAnsi="Arial"/>
                <w:sz w:val="17"/>
                <w:szCs w:val="17"/>
                <w:b w:val="1"/>
                <w:bCs w:val="1"/>
                <w:color w:val="auto"/>
              </w:rPr>
              <w:t>Fixed charges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359,844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348,664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349,041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485,624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671,304</w:t>
            </w: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Preferred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42,320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42,320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42,320</w:t>
            </w:r>
          </w:p>
        </w:tc>
      </w:tr>
      <w:tr>
        <w:trPr>
          <w:trHeight w:val="214"/>
        </w:trPr>
        <w:tc>
          <w:tcPr>
            <w:tcW w:w="3480" w:type="dxa"/>
            <w:vAlign w:val="bottom"/>
          </w:tcPr>
          <w:p>
            <w:pPr>
              <w:ind w:left="40"/>
              <w:spacing w:after="0"/>
              <w:rPr>
                <w:sz w:val="20"/>
                <w:szCs w:val="20"/>
                <w:color w:val="auto"/>
              </w:rPr>
            </w:pPr>
            <w:r>
              <w:rPr>
                <w:rFonts w:ascii="Arial" w:cs="Arial" w:eastAsia="Arial" w:hAnsi="Arial"/>
                <w:sz w:val="17"/>
                <w:szCs w:val="17"/>
                <w:b w:val="1"/>
                <w:bCs w:val="1"/>
                <w:color w:val="auto"/>
              </w:rPr>
              <w:t>Fixed charges and preferred dividends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402,164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390,984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391,361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527,944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713,624</w:t>
            </w: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Earnings to fixed charges (3)</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3480" w:type="dxa"/>
            <w:vAlign w:val="bottom"/>
          </w:tcPr>
          <w:p>
            <w:pPr>
              <w:ind w:left="200"/>
              <w:spacing w:after="0"/>
              <w:rPr>
                <w:sz w:val="20"/>
                <w:szCs w:val="20"/>
                <w:color w:val="auto"/>
              </w:rPr>
            </w:pPr>
            <w:r>
              <w:rPr>
                <w:rFonts w:ascii="Arial" w:cs="Arial" w:eastAsia="Arial" w:hAnsi="Arial"/>
                <w:sz w:val="17"/>
                <w:szCs w:val="17"/>
                <w:color w:val="auto"/>
              </w:rPr>
              <w:t>Earnings to fixed charges and preferred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3480" w:type="dxa"/>
            <w:vAlign w:val="bottom"/>
          </w:tcPr>
          <w:p>
            <w:pPr>
              <w:ind w:left="40"/>
              <w:spacing w:after="0"/>
              <w:rPr>
                <w:sz w:val="20"/>
                <w:szCs w:val="20"/>
                <w:color w:val="auto"/>
              </w:rPr>
            </w:pPr>
            <w:r>
              <w:rPr>
                <w:rFonts w:ascii="Arial" w:cs="Arial" w:eastAsia="Arial" w:hAnsi="Arial"/>
                <w:sz w:val="17"/>
                <w:szCs w:val="17"/>
                <w:color w:val="auto"/>
              </w:rPr>
              <w:t>dividends (3)</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5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ind w:left="601" w:hanging="601"/>
        <w:spacing w:after="0"/>
        <w:tabs>
          <w:tab w:leader="none" w:pos="601"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Prior period presentation has been restated to conform to current period presentation.</w:t>
      </w:r>
    </w:p>
    <w:p>
      <w:pPr>
        <w:spacing w:after="0" w:line="9" w:lineRule="exact"/>
        <w:rPr>
          <w:rFonts w:ascii="Arial" w:cs="Arial" w:eastAsia="Arial" w:hAnsi="Arial"/>
          <w:sz w:val="13"/>
          <w:szCs w:val="13"/>
          <w:color w:val="auto"/>
        </w:rPr>
      </w:pPr>
    </w:p>
    <w:p>
      <w:pPr>
        <w:ind w:left="601" w:hanging="601"/>
        <w:spacing w:after="0" w:line="239" w:lineRule="auto"/>
        <w:tabs>
          <w:tab w:leader="none" w:pos="601"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interest expense includes $1,064, $3,728, $32,734, $69,227 and $51,173, respectively, of interest expense reclassified to discontinued operations.</w:t>
      </w:r>
    </w:p>
    <w:p>
      <w:pPr>
        <w:ind w:left="601" w:hanging="601"/>
        <w:spacing w:after="0" w:line="249" w:lineRule="auto"/>
        <w:tabs>
          <w:tab w:leader="none" w:pos="601"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earnings were not sufficient to cover fixed charges by $303,465, $68,784, $218,353, $757,283 and $276,951, respectively, and earnings were not sufficient to cover fixed charges and preferred dividends by $345,785, $111,104, $260,673, $799,603 and $319,271, respectively.</w:t>
      </w:r>
    </w:p>
    <w:p>
      <w:pPr>
        <w:sectPr>
          <w:pgSz w:w="11900" w:h="16838" w:orient="portrait"/>
          <w:cols w:equalWidth="0" w:num="1">
            <w:col w:w="11421"/>
          </w:cols>
          <w:pgMar w:left="239" w:top="74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12.2</w:t>
      </w:r>
    </w:p>
    <w:p>
      <w:pPr>
        <w:spacing w:after="0" w:line="202"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Computation of Ratio of Adjusted EBITDA to Interest Expense and Preferred Dividends</w:t>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 in thousands, except ratios)</w:t>
      </w:r>
    </w:p>
    <w:p>
      <w:pPr>
        <w:spacing w:after="0" w:line="394" w:lineRule="exact"/>
        <w:rPr>
          <w:sz w:val="20"/>
          <w:szCs w:val="20"/>
          <w:color w:val="auto"/>
        </w:rPr>
      </w:pPr>
    </w:p>
    <w:tbl>
      <w:tblPr>
        <w:tblLayout w:type="fixed"/>
        <w:tblInd w:w="3021"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For the Years Ended December 31,</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39"/>
        </w:trPr>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2008</w:t>
            </w:r>
          </w:p>
        </w:tc>
      </w:tr>
      <w:tr>
        <w:trPr>
          <w:trHeight w:val="222"/>
        </w:trPr>
        <w:tc>
          <w:tcPr>
            <w:tcW w:w="3480" w:type="dxa"/>
            <w:vAlign w:val="bottom"/>
          </w:tcPr>
          <w:p>
            <w:pPr>
              <w:ind w:left="40"/>
              <w:spacing w:after="0"/>
              <w:rPr>
                <w:sz w:val="20"/>
                <w:szCs w:val="20"/>
                <w:color w:val="auto"/>
              </w:rPr>
            </w:pPr>
            <w:r>
              <w:rPr>
                <w:rFonts w:ascii="Arial" w:cs="Arial" w:eastAsia="Arial" w:hAnsi="Arial"/>
                <w:sz w:val="17"/>
                <w:szCs w:val="17"/>
                <w:b w:val="1"/>
                <w:bCs w:val="1"/>
                <w:color w:val="auto"/>
              </w:rPr>
              <w:t>Adjusted EBITDA (1):</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(241,430)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80,206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(769,847)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(181,767)</w:t>
            </w:r>
          </w:p>
        </w:tc>
      </w:tr>
      <w:tr>
        <w:trPr>
          <w:trHeight w:val="222"/>
        </w:trPr>
        <w:tc>
          <w:tcPr>
            <w:tcW w:w="3480" w:type="dxa"/>
            <w:vAlign w:val="bottom"/>
          </w:tcPr>
          <w:p>
            <w:pPr>
              <w:ind w:left="180"/>
              <w:spacing w:after="0"/>
              <w:rPr>
                <w:sz w:val="20"/>
                <w:szCs w:val="20"/>
                <w:color w:val="auto"/>
              </w:rPr>
            </w:pPr>
            <w:r>
              <w:rPr>
                <w:rFonts w:ascii="Arial" w:cs="Arial" w:eastAsia="Arial" w:hAnsi="Arial"/>
                <w:sz w:val="17"/>
                <w:szCs w:val="17"/>
                <w:color w:val="auto"/>
              </w:rPr>
              <w:t>Add: Interest expense (2)</w:t>
            </w:r>
          </w:p>
        </w:tc>
        <w:tc>
          <w:tcPr>
            <w:tcW w:w="18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356,161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345,914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346,500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481,116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666,706</w:t>
            </w: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 Income tax expense (benefit)</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8,445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10,375</w:t>
            </w:r>
          </w:p>
        </w:tc>
      </w:tr>
      <w:tr>
        <w:trPr>
          <w:trHeight w:val="222"/>
        </w:trPr>
        <w:tc>
          <w:tcPr>
            <w:tcW w:w="3480" w:type="dxa"/>
            <w:vAlign w:val="bottom"/>
          </w:tcPr>
          <w:p>
            <w:pPr>
              <w:ind w:left="180"/>
              <w:spacing w:after="0"/>
              <w:rPr>
                <w:sz w:val="20"/>
                <w:szCs w:val="20"/>
                <w:color w:val="auto"/>
              </w:rPr>
            </w:pPr>
            <w:r>
              <w:rPr>
                <w:rFonts w:ascii="Arial" w:cs="Arial" w:eastAsia="Arial" w:hAnsi="Arial"/>
                <w:sz w:val="17"/>
                <w:szCs w:val="17"/>
                <w:color w:val="auto"/>
              </w:rPr>
              <w:t>Add: Depreciation and amortization (3)</w:t>
            </w:r>
          </w:p>
        </w:tc>
        <w:tc>
          <w:tcPr>
            <w:tcW w:w="18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70,786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70,786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98,238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102,745</w:t>
            </w: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 Provision for loan losses</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81,740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331,487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w w:val="87"/>
              </w:rPr>
              <w:t>1,255,357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1,029,322</w:t>
            </w:r>
          </w:p>
        </w:tc>
      </w:tr>
      <w:tr>
        <w:trPr>
          <w:trHeight w:val="222"/>
        </w:trPr>
        <w:tc>
          <w:tcPr>
            <w:tcW w:w="3480" w:type="dxa"/>
            <w:vAlign w:val="bottom"/>
          </w:tcPr>
          <w:p>
            <w:pPr>
              <w:ind w:left="180"/>
              <w:spacing w:after="0"/>
              <w:rPr>
                <w:sz w:val="20"/>
                <w:szCs w:val="20"/>
                <w:color w:val="auto"/>
              </w:rPr>
            </w:pPr>
            <w:r>
              <w:rPr>
                <w:rFonts w:ascii="Arial" w:cs="Arial" w:eastAsia="Arial" w:hAnsi="Arial"/>
                <w:sz w:val="17"/>
                <w:szCs w:val="17"/>
                <w:color w:val="auto"/>
              </w:rPr>
              <w:t>Add: Impairment of assets (4)</w:t>
            </w:r>
          </w:p>
        </w:tc>
        <w:tc>
          <w:tcPr>
            <w:tcW w:w="18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36,354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141,018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334,830</w:t>
            </w: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 Stock-based compensation expense</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15,293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23,593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23,542</w:t>
            </w:r>
          </w:p>
        </w:tc>
      </w:tr>
      <w:tr>
        <w:trPr>
          <w:trHeight w:val="211"/>
        </w:trPr>
        <w:tc>
          <w:tcPr>
            <w:tcW w:w="3480" w:type="dxa"/>
            <w:vAlign w:val="bottom"/>
          </w:tcPr>
          <w:p>
            <w:pPr>
              <w:ind w:left="200"/>
              <w:spacing w:after="0"/>
              <w:rPr>
                <w:sz w:val="20"/>
                <w:szCs w:val="20"/>
                <w:color w:val="auto"/>
              </w:rPr>
            </w:pPr>
            <w:r>
              <w:rPr>
                <w:rFonts w:ascii="Arial" w:cs="Arial" w:eastAsia="Arial" w:hAnsi="Arial"/>
                <w:sz w:val="17"/>
                <w:szCs w:val="17"/>
                <w:color w:val="auto"/>
                <w:w w:val="98"/>
              </w:rPr>
              <w:t>Less: (Gain) loss on early extinguishment of</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9"/>
        </w:trPr>
        <w:tc>
          <w:tcPr>
            <w:tcW w:w="3480" w:type="dxa"/>
            <w:vAlign w:val="bottom"/>
          </w:tcPr>
          <w:p>
            <w:pPr>
              <w:ind w:left="40"/>
              <w:spacing w:after="0"/>
              <w:rPr>
                <w:sz w:val="20"/>
                <w:szCs w:val="20"/>
                <w:color w:val="auto"/>
              </w:rPr>
            </w:pPr>
            <w:r>
              <w:rPr>
                <w:rFonts w:ascii="Arial" w:cs="Arial" w:eastAsia="Arial" w:hAnsi="Arial"/>
                <w:sz w:val="17"/>
                <w:szCs w:val="17"/>
                <w:color w:val="auto"/>
              </w:rPr>
              <w:t>debt, net (5)</w:t>
            </w:r>
          </w:p>
        </w:tc>
        <w:tc>
          <w:tcPr>
            <w:tcW w:w="18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22,405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3"/>
              </w:rPr>
              <w:t>(101,466)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3"/>
              </w:rPr>
              <w:t>(110,075)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8"/>
              </w:rPr>
              <w:t>(547,349)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(393,131)</w:t>
            </w:r>
          </w:p>
        </w:tc>
      </w:tr>
      <w:tr>
        <w:trPr>
          <w:trHeight w:val="26"/>
        </w:trPr>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Adjusted EBITDA (1)(6)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349,754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376,464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767,663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686,267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1,592,622</w:t>
            </w:r>
          </w:p>
        </w:tc>
      </w:tr>
      <w:tr>
        <w:trPr>
          <w:trHeight w:val="222"/>
        </w:trPr>
        <w:tc>
          <w:tcPr>
            <w:tcW w:w="3480" w:type="dxa"/>
            <w:vAlign w:val="bottom"/>
          </w:tcPr>
          <w:p>
            <w:pPr>
              <w:ind w:left="40"/>
              <w:spacing w:after="0"/>
              <w:rPr>
                <w:sz w:val="20"/>
                <w:szCs w:val="20"/>
                <w:color w:val="auto"/>
              </w:rPr>
            </w:pPr>
            <w:r>
              <w:rPr>
                <w:rFonts w:ascii="Arial" w:cs="Arial" w:eastAsia="Arial" w:hAnsi="Arial"/>
                <w:sz w:val="17"/>
                <w:szCs w:val="17"/>
                <w:b w:val="1"/>
                <w:bCs w:val="1"/>
                <w:color w:val="auto"/>
              </w:rPr>
              <w:t>Interest expense and preferred dividends: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Interest expense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356,161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345,914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346,500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481,116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666,706</w:t>
            </w:r>
          </w:p>
        </w:tc>
      </w:tr>
      <w:tr>
        <w:trPr>
          <w:trHeight w:val="222"/>
        </w:trPr>
        <w:tc>
          <w:tcPr>
            <w:tcW w:w="3480" w:type="dxa"/>
            <w:vAlign w:val="bottom"/>
          </w:tcPr>
          <w:p>
            <w:pPr>
              <w:ind w:left="200"/>
              <w:spacing w:after="0"/>
              <w:rPr>
                <w:sz w:val="20"/>
                <w:szCs w:val="20"/>
                <w:color w:val="auto"/>
              </w:rPr>
            </w:pPr>
            <w:r>
              <w:rPr>
                <w:rFonts w:ascii="Arial" w:cs="Arial" w:eastAsia="Arial" w:hAnsi="Arial"/>
                <w:sz w:val="17"/>
                <w:szCs w:val="17"/>
                <w:color w:val="auto"/>
              </w:rPr>
              <w:t>Preferred dividends</w:t>
            </w:r>
          </w:p>
        </w:tc>
        <w:tc>
          <w:tcPr>
            <w:tcW w:w="18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42,320</w:t>
            </w:r>
          </w:p>
        </w:tc>
      </w:tr>
      <w:tr>
        <w:trPr>
          <w:trHeight w:val="26"/>
        </w:trPr>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w w:val="90"/>
              </w:rPr>
              <w:t>Total interest expense and preferred dividends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398,481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388,234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388,820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523,436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709,026</w:t>
            </w:r>
          </w:p>
        </w:tc>
      </w:tr>
      <w:tr>
        <w:trPr>
          <w:trHeight w:val="211"/>
        </w:trPr>
        <w:tc>
          <w:tcPr>
            <w:tcW w:w="3480" w:type="dxa"/>
            <w:vAlign w:val="bottom"/>
          </w:tcPr>
          <w:p>
            <w:pPr>
              <w:ind w:left="180"/>
              <w:spacing w:after="0"/>
              <w:rPr>
                <w:sz w:val="20"/>
                <w:szCs w:val="20"/>
                <w:color w:val="auto"/>
              </w:rPr>
            </w:pPr>
            <w:r>
              <w:rPr>
                <w:rFonts w:ascii="Arial" w:cs="Arial" w:eastAsia="Arial" w:hAnsi="Arial"/>
                <w:sz w:val="17"/>
                <w:szCs w:val="17"/>
                <w:color w:val="auto"/>
              </w:rPr>
              <w:t>Adjusted EBITDA/Interest expense and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9"/>
        </w:trPr>
        <w:tc>
          <w:tcPr>
            <w:tcW w:w="3480" w:type="dxa"/>
            <w:vAlign w:val="bottom"/>
          </w:tcPr>
          <w:p>
            <w:pPr>
              <w:ind w:left="40"/>
              <w:spacing w:after="0"/>
              <w:rPr>
                <w:sz w:val="20"/>
                <w:szCs w:val="20"/>
                <w:color w:val="auto"/>
              </w:rPr>
            </w:pPr>
            <w:r>
              <w:rPr>
                <w:rFonts w:ascii="Arial" w:cs="Arial" w:eastAsia="Arial" w:hAnsi="Arial"/>
                <w:sz w:val="17"/>
                <w:szCs w:val="17"/>
                <w:color w:val="auto"/>
              </w:rPr>
              <w:t>preferred dividends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0.9x</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1.0x</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2.0x</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1.3x</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2.2x</w:t>
            </w:r>
          </w:p>
        </w:tc>
      </w:tr>
    </w:tbl>
    <w:p>
      <w:pPr>
        <w:spacing w:after="0" w:line="15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Explanatory Notes:</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38" w:lineRule="exact"/>
        <w:rPr>
          <w:sz w:val="20"/>
          <w:szCs w:val="20"/>
          <w:color w:val="auto"/>
        </w:rPr>
      </w:pPr>
    </w:p>
    <w:p>
      <w:pPr>
        <w:jc w:val="both"/>
        <w:ind w:left="301" w:hanging="301"/>
        <w:spacing w:after="0" w:line="242" w:lineRule="auto"/>
        <w:tabs>
          <w:tab w:leader="none" w:pos="301" w:val="left"/>
        </w:tabs>
        <w:numPr>
          <w:ilvl w:val="0"/>
          <w:numId w:val="63"/>
        </w:numPr>
        <w:rPr>
          <w:rFonts w:ascii="Arial" w:cs="Arial" w:eastAsia="Arial" w:hAnsi="Arial"/>
          <w:sz w:val="13"/>
          <w:szCs w:val="13"/>
          <w:color w:val="auto"/>
        </w:rPr>
      </w:pPr>
      <w:r>
        <w:rPr>
          <w:rFonts w:ascii="Arial" w:cs="Arial" w:eastAsia="Arial" w:hAnsi="Arial"/>
          <w:sz w:val="13"/>
          <w:szCs w:val="13"/>
          <w:color w:val="auto"/>
        </w:rPr>
        <w:t>Adjusted EBITDA should be examined in conjunction with net income (loss) as shown in the Company's Consolidated Statements of Operations. Adjusted EBITDA should not be considered as an alternative to net income (loss) (determined in accordance with GAAP), as an indicator of the Company's performance, or to cash flows from operating activities (determined in accordance with GAAP) as a measure of the Company's liquidity, nor is Adjusted EBITDA an indicative of funds available to fund the Company's cash needs or available for distribution to shareholders. Rather, Adjusted EBITDA is an additional measure for the Company to use to analyze how the business is performing. It should be noted that the Company's manner of calculating Adjusted EBITDA may differ from the calculations of similarly-titled measures by other companies. See computation of Adjusted EBITDA on page 36.</w:t>
      </w:r>
    </w:p>
    <w:p>
      <w:pPr>
        <w:ind w:left="301" w:hanging="301"/>
        <w:spacing w:after="0" w:line="239" w:lineRule="auto"/>
        <w:tabs>
          <w:tab w:leader="none" w:pos="301" w:val="left"/>
        </w:tabs>
        <w:numPr>
          <w:ilvl w:val="0"/>
          <w:numId w:val="63"/>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interest expense includes $1,064, $3,728, $32,734, $69,227 and $51,173, respectively, of interest expense reclassified to discontinued operations.</w:t>
      </w:r>
    </w:p>
    <w:p>
      <w:pPr>
        <w:ind w:left="301" w:hanging="301"/>
        <w:spacing w:after="0" w:line="239" w:lineRule="auto"/>
        <w:tabs>
          <w:tab w:leader="none" w:pos="301" w:val="left"/>
        </w:tabs>
        <w:numPr>
          <w:ilvl w:val="0"/>
          <w:numId w:val="63"/>
        </w:numPr>
        <w:rPr>
          <w:rFonts w:ascii="Arial" w:cs="Arial" w:eastAsia="Arial" w:hAnsi="Arial"/>
          <w:sz w:val="13"/>
          <w:szCs w:val="13"/>
          <w:color w:val="auto"/>
        </w:rPr>
      </w:pPr>
      <w:r>
        <w:rPr>
          <w:rFonts w:ascii="Arial" w:cs="Arial" w:eastAsia="Arial" w:hAnsi="Arial"/>
          <w:sz w:val="13"/>
          <w:szCs w:val="13"/>
          <w:color w:val="auto"/>
        </w:rPr>
        <w:t>For the years ended December 31, 2012, 2011, 2010, 2009 and 2008, depreciation and amortization includes $1,436, $5,266, $13,566, $41,547, and $45,973, respectively, of depreciation and amortization reclassified to discontinued operations.</w:t>
      </w:r>
    </w:p>
    <w:p>
      <w:pPr>
        <w:ind w:left="301" w:hanging="301"/>
        <w:spacing w:after="0"/>
        <w:tabs>
          <w:tab w:leader="none" w:pos="301" w:val="left"/>
        </w:tabs>
        <w:numPr>
          <w:ilvl w:val="0"/>
          <w:numId w:val="63"/>
        </w:numPr>
        <w:rPr>
          <w:rFonts w:ascii="Arial" w:cs="Arial" w:eastAsia="Arial" w:hAnsi="Arial"/>
          <w:sz w:val="12"/>
          <w:szCs w:val="12"/>
          <w:color w:val="auto"/>
        </w:rPr>
      </w:pPr>
      <w:r>
        <w:rPr>
          <w:rFonts w:ascii="Arial" w:cs="Arial" w:eastAsia="Arial" w:hAnsi="Arial"/>
          <w:sz w:val="12"/>
          <w:szCs w:val="12"/>
          <w:color w:val="auto"/>
        </w:rPr>
        <w:t>For the years ended December 31, 2012, 2011, 2010, 2009, 2008 impairment of assets includes $22,576, $9,147, $9,572, $26,901 and $31,219 of impairment of assets reclassified to discontinued operations.</w:t>
      </w:r>
    </w:p>
    <w:p>
      <w:pPr>
        <w:spacing w:after="0" w:line="10" w:lineRule="exact"/>
        <w:rPr>
          <w:rFonts w:ascii="Arial" w:cs="Arial" w:eastAsia="Arial" w:hAnsi="Arial"/>
          <w:sz w:val="12"/>
          <w:szCs w:val="12"/>
          <w:color w:val="auto"/>
        </w:rPr>
      </w:pPr>
    </w:p>
    <w:p>
      <w:pPr>
        <w:ind w:left="301" w:hanging="301"/>
        <w:spacing w:after="0"/>
        <w:tabs>
          <w:tab w:leader="none" w:pos="301" w:val="left"/>
        </w:tabs>
        <w:numPr>
          <w:ilvl w:val="0"/>
          <w:numId w:val="63"/>
        </w:numPr>
        <w:rPr>
          <w:rFonts w:ascii="Arial" w:cs="Arial" w:eastAsia="Arial" w:hAnsi="Arial"/>
          <w:sz w:val="13"/>
          <w:szCs w:val="13"/>
          <w:color w:val="auto"/>
        </w:rPr>
      </w:pPr>
      <w:r>
        <w:rPr>
          <w:rFonts w:ascii="Arial" w:cs="Arial" w:eastAsia="Arial" w:hAnsi="Arial"/>
          <w:sz w:val="13"/>
          <w:szCs w:val="13"/>
          <w:color w:val="auto"/>
        </w:rPr>
        <w:t>For the years ended December 31, 2012 and 2010, (Gain) loss on early extinguishment of debt excludes the portion of losses paid in cash of $15,411 and $1,152, respectively.</w:t>
      </w:r>
    </w:p>
    <w:p>
      <w:pPr>
        <w:ind w:left="301" w:hanging="301"/>
        <w:spacing w:after="0"/>
        <w:tabs>
          <w:tab w:leader="none" w:pos="301" w:val="left"/>
        </w:tabs>
        <w:numPr>
          <w:ilvl w:val="0"/>
          <w:numId w:val="63"/>
        </w:numPr>
        <w:rPr>
          <w:rFonts w:ascii="Arial" w:cs="Arial" w:eastAsia="Arial" w:hAnsi="Arial"/>
          <w:sz w:val="13"/>
          <w:szCs w:val="13"/>
          <w:color w:val="auto"/>
        </w:rPr>
      </w:pPr>
      <w:r>
        <w:rPr>
          <w:rFonts w:ascii="Arial" w:cs="Arial" w:eastAsia="Arial" w:hAnsi="Arial"/>
          <w:sz w:val="13"/>
          <w:szCs w:val="13"/>
          <w:color w:val="auto"/>
        </w:rPr>
        <w:t>Prior year presentation has been restated to conform to current period presentation.</w:t>
      </w:r>
    </w:p>
    <w:p>
      <w:pPr>
        <w:sectPr>
          <w:pgSz w:w="11900" w:h="16838" w:orient="portrait"/>
          <w:cols w:equalWidth="0" w:num="1">
            <w:col w:w="11421"/>
          </w:cols>
          <w:pgMar w:left="239" w:top="54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21.1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 of Subsidiaries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Subsidiary</w:t>
            </w:r>
          </w:p>
        </w:tc>
        <w:tc>
          <w:tcPr>
            <w:tcW w:w="262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State of Formation</w:t>
            </w:r>
          </w:p>
        </w:tc>
        <w:tc>
          <w:tcPr>
            <w:tcW w:w="4180" w:type="dxa"/>
            <w:vAlign w:val="bottom"/>
            <w:tcBorders>
              <w:bottom w:val="single" w:sz="8" w:color="auto"/>
            </w:tcBorders>
          </w:tcPr>
          <w:p>
            <w:pPr>
              <w:ind w:left="1720"/>
              <w:spacing w:after="0"/>
              <w:rPr>
                <w:sz w:val="20"/>
                <w:szCs w:val="20"/>
                <w:color w:val="auto"/>
              </w:rPr>
            </w:pPr>
            <w:r>
              <w:rPr>
                <w:rFonts w:ascii="Arial" w:cs="Arial" w:eastAsia="Arial" w:hAnsi="Arial"/>
                <w:sz w:val="13"/>
                <w:szCs w:val="13"/>
                <w:b w:val="1"/>
                <w:bCs w:val="1"/>
                <w:color w:val="auto"/>
              </w:rPr>
              <w:t>Other Names Used</w:t>
            </w:r>
          </w:p>
        </w:tc>
        <w:tc>
          <w:tcPr>
            <w:tcW w:w="0" w:type="dxa"/>
            <w:vAlign w:val="bottom"/>
          </w:tcPr>
          <w:p>
            <w:pPr>
              <w:spacing w:after="0"/>
              <w:rPr>
                <w:sz w:val="1"/>
                <w:szCs w:val="1"/>
                <w:color w:val="auto"/>
              </w:rPr>
            </w:pPr>
          </w:p>
        </w:tc>
      </w:tr>
      <w:tr>
        <w:trPr>
          <w:trHeight w:val="253"/>
        </w:trPr>
        <w:tc>
          <w:tcPr>
            <w:tcW w:w="4620" w:type="dxa"/>
            <w:vAlign w:val="bottom"/>
            <w:gridSpan w:val="2"/>
          </w:tcPr>
          <w:p>
            <w:pPr>
              <w:ind w:left="20"/>
              <w:spacing w:after="0" w:line="253" w:lineRule="exact"/>
              <w:rPr>
                <w:sz w:val="20"/>
                <w:szCs w:val="20"/>
                <w:color w:val="auto"/>
              </w:rPr>
            </w:pPr>
            <w:r>
              <w:rPr>
                <w:rFonts w:ascii="Arial" w:cs="Arial" w:eastAsia="Arial" w:hAnsi="Arial"/>
                <w:sz w:val="17"/>
                <w:szCs w:val="17"/>
                <w:color w:val="auto"/>
              </w:rPr>
              <w:t>11</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Avenue B Participation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12 Union Street—Westborough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100 Elkhorn Road—Sun Valley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100 Elkhorn Road—Sun Valley TRS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100 Riverview Condominium Association Inc.</w:t>
            </w:r>
          </w:p>
        </w:tc>
        <w:tc>
          <w:tcPr>
            <w:tcW w:w="2620" w:type="dxa"/>
            <w:vAlign w:val="bottom"/>
          </w:tcPr>
          <w:p>
            <w:pPr>
              <w:ind w:left="1240"/>
              <w:spacing w:after="0"/>
              <w:rPr>
                <w:sz w:val="20"/>
                <w:szCs w:val="20"/>
                <w:color w:val="auto"/>
              </w:rPr>
            </w:pPr>
            <w:r>
              <w:rPr>
                <w:rFonts w:ascii="Arial" w:cs="Arial" w:eastAsia="Arial" w:hAnsi="Arial"/>
                <w:sz w:val="17"/>
                <w:szCs w:val="17"/>
                <w:color w:val="auto"/>
              </w:rPr>
              <w:t>New Jersey</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20 Chapel Street Owner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20 Chapel Street Lender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20 Chapel Street Operator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34 Leonard Street—New York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45-10 19</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Avenue—Astoria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221 American Boulevard—Bloomington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240 S Pineapple Land—Sarasota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vMerge w:val="restart"/>
          </w:tcPr>
          <w:p>
            <w:pPr>
              <w:ind w:left="20"/>
              <w:spacing w:after="0"/>
              <w:rPr>
                <w:sz w:val="20"/>
                <w:szCs w:val="20"/>
                <w:color w:val="auto"/>
              </w:rPr>
            </w:pPr>
            <w:r>
              <w:rPr>
                <w:rFonts w:ascii="Arial" w:cs="Arial" w:eastAsia="Arial" w:hAnsi="Arial"/>
                <w:sz w:val="17"/>
                <w:szCs w:val="17"/>
                <w:color w:val="auto"/>
              </w:rPr>
              <w:t>240 S Pineapple Office—Sarasota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vMerge w:val="restart"/>
          </w:tcPr>
          <w:p>
            <w:pPr>
              <w:ind w:left="320"/>
              <w:spacing w:after="0"/>
              <w:rPr>
                <w:sz w:val="20"/>
                <w:szCs w:val="20"/>
                <w:color w:val="auto"/>
              </w:rPr>
            </w:pPr>
            <w:r>
              <w:rPr>
                <w:rFonts w:ascii="Arial" w:cs="Arial" w:eastAsia="Arial" w:hAnsi="Arial"/>
                <w:sz w:val="17"/>
                <w:szCs w:val="17"/>
                <w:color w:val="auto"/>
              </w:rPr>
              <w:t>240 S Pineapple Parking—Sarasota LLC</w:t>
            </w:r>
          </w:p>
        </w:tc>
        <w:tc>
          <w:tcPr>
            <w:tcW w:w="0" w:type="dxa"/>
            <w:vAlign w:val="bottom"/>
          </w:tcPr>
          <w:p>
            <w:pPr>
              <w:spacing w:after="0"/>
              <w:rPr>
                <w:sz w:val="1"/>
                <w:szCs w:val="1"/>
                <w:color w:val="auto"/>
              </w:rPr>
            </w:pPr>
          </w:p>
        </w:tc>
      </w:tr>
      <w:tr>
        <w:trPr>
          <w:trHeight w:val="199"/>
        </w:trPr>
        <w:tc>
          <w:tcPr>
            <w:tcW w:w="462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4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246 Spring Street LOC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300 Riverview Condominium Association Inc.</w:t>
            </w:r>
          </w:p>
        </w:tc>
        <w:tc>
          <w:tcPr>
            <w:tcW w:w="2620" w:type="dxa"/>
            <w:vAlign w:val="bottom"/>
          </w:tcPr>
          <w:p>
            <w:pPr>
              <w:ind w:left="1240"/>
              <w:spacing w:after="0"/>
              <w:rPr>
                <w:sz w:val="20"/>
                <w:szCs w:val="20"/>
                <w:color w:val="auto"/>
              </w:rPr>
            </w:pPr>
            <w:r>
              <w:rPr>
                <w:rFonts w:ascii="Arial" w:cs="Arial" w:eastAsia="Arial" w:hAnsi="Arial"/>
                <w:sz w:val="17"/>
                <w:szCs w:val="17"/>
                <w:color w:val="auto"/>
              </w:rPr>
              <w:t>New Jersey</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328-342 Washington Blvd—Jersey City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328-342 Washington Blvd—Jersey City TRS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333 Rector Park—River Rose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ind w:left="320"/>
              <w:spacing w:after="0"/>
              <w:rPr>
                <w:sz w:val="20"/>
                <w:szCs w:val="20"/>
                <w:color w:val="auto"/>
              </w:rPr>
            </w:pPr>
            <w:r>
              <w:rPr>
                <w:rFonts w:ascii="Arial" w:cs="Arial" w:eastAsia="Arial" w:hAnsi="Arial"/>
                <w:sz w:val="17"/>
                <w:szCs w:val="17"/>
                <w:color w:val="auto"/>
              </w:rPr>
              <w:t>iStar Garden City LLC</w:t>
            </w: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345 Los Coches Street—Milpitas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401 W Michigan Street—Milwaukee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475-525 Sycamore Drive—Milpitas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500 Woodward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560 Cottonwood Drive—Milpitas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615 2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Avenue South—Minneapolis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615 E. Weber Drive—Tempe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628 East Cleveland Street—Clearwater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649 First Street West—Sonoma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1050 N. El Mirage Road—Avondale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vMerge w:val="restart"/>
          </w:tcPr>
          <w:p>
            <w:pPr>
              <w:ind w:left="20"/>
              <w:spacing w:after="0"/>
              <w:rPr>
                <w:sz w:val="20"/>
                <w:szCs w:val="20"/>
                <w:color w:val="auto"/>
              </w:rPr>
            </w:pPr>
            <w:r>
              <w:rPr>
                <w:rFonts w:ascii="Arial" w:cs="Arial" w:eastAsia="Arial" w:hAnsi="Arial"/>
                <w:sz w:val="17"/>
                <w:szCs w:val="17"/>
                <w:color w:val="auto"/>
              </w:rPr>
              <w:t>1200 Holiday Drive—Coconut Grove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ind w:left="320"/>
              <w:spacing w:after="0"/>
              <w:rPr>
                <w:sz w:val="20"/>
                <w:szCs w:val="20"/>
                <w:color w:val="auto"/>
              </w:rPr>
            </w:pPr>
            <w:r>
              <w:rPr>
                <w:rFonts w:ascii="Arial" w:cs="Arial" w:eastAsia="Arial" w:hAnsi="Arial"/>
                <w:sz w:val="17"/>
                <w:szCs w:val="17"/>
                <w:color w:val="auto"/>
              </w:rPr>
              <w:t>8440 Warner Crossing—Tempe LLC</w:t>
            </w:r>
          </w:p>
        </w:tc>
        <w:tc>
          <w:tcPr>
            <w:tcW w:w="0" w:type="dxa"/>
            <w:vAlign w:val="bottom"/>
          </w:tcPr>
          <w:p>
            <w:pPr>
              <w:spacing w:after="0"/>
              <w:rPr>
                <w:sz w:val="1"/>
                <w:szCs w:val="1"/>
                <w:color w:val="auto"/>
              </w:rPr>
            </w:pPr>
          </w:p>
        </w:tc>
      </w:tr>
      <w:tr>
        <w:trPr>
          <w:trHeight w:val="199"/>
        </w:trPr>
        <w:tc>
          <w:tcPr>
            <w:tcW w:w="462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1250 N. El Mirage Road—Avondale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1281</w:t>
            </w:r>
          </w:p>
        </w:tc>
        <w:tc>
          <w:tcPr>
            <w:tcW w:w="4260" w:type="dxa"/>
            <w:vAlign w:val="bottom"/>
          </w:tcPr>
          <w:p>
            <w:pPr>
              <w:ind w:left="20"/>
              <w:spacing w:after="0"/>
              <w:rPr>
                <w:sz w:val="20"/>
                <w:szCs w:val="20"/>
                <w:color w:val="auto"/>
              </w:rPr>
            </w:pPr>
            <w:r>
              <w:rPr>
                <w:rFonts w:ascii="Arial" w:cs="Arial" w:eastAsia="Arial" w:hAnsi="Arial"/>
                <w:sz w:val="17"/>
                <w:szCs w:val="17"/>
                <w:color w:val="auto"/>
              </w:rPr>
              <w:t>Galleria Drive—Henderson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1301</w:t>
            </w:r>
          </w:p>
        </w:tc>
        <w:tc>
          <w:tcPr>
            <w:tcW w:w="4260" w:type="dxa"/>
            <w:vAlign w:val="bottom"/>
          </w:tcPr>
          <w:p>
            <w:pPr>
              <w:ind w:left="20"/>
              <w:spacing w:after="0"/>
              <w:rPr>
                <w:sz w:val="20"/>
                <w:szCs w:val="20"/>
                <w:color w:val="auto"/>
              </w:rPr>
            </w:pPr>
            <w:r>
              <w:rPr>
                <w:rFonts w:ascii="Arial" w:cs="Arial" w:eastAsia="Arial" w:hAnsi="Arial"/>
                <w:sz w:val="17"/>
                <w:szCs w:val="17"/>
                <w:color w:val="auto"/>
              </w:rPr>
              <w:t>North Troy Street—Arlington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1419-1425 Locust Street—Philadelphia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1450</w:t>
            </w:r>
          </w:p>
        </w:tc>
        <w:tc>
          <w:tcPr>
            <w:tcW w:w="4260" w:type="dxa"/>
            <w:vAlign w:val="bottom"/>
          </w:tcPr>
          <w:p>
            <w:pPr>
              <w:ind w:left="20"/>
              <w:spacing w:after="0"/>
              <w:rPr>
                <w:sz w:val="20"/>
                <w:szCs w:val="20"/>
                <w:color w:val="auto"/>
              </w:rPr>
            </w:pPr>
            <w:r>
              <w:rPr>
                <w:rFonts w:ascii="Arial" w:cs="Arial" w:eastAsia="Arial" w:hAnsi="Arial"/>
                <w:sz w:val="17"/>
                <w:szCs w:val="17"/>
                <w:color w:val="auto"/>
              </w:rPr>
              <w:t>Executive Circle NE—Melbourne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1504-1530 McCarthy Boulevard—Milpitas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1515 Dock Street—Tacoma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1515 E. Katella Avenue—Anaheim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1700 American Blvd E—Bloomington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1804</w:t>
            </w:r>
          </w:p>
        </w:tc>
        <w:tc>
          <w:tcPr>
            <w:tcW w:w="4260" w:type="dxa"/>
            <w:vAlign w:val="bottom"/>
          </w:tcPr>
          <w:p>
            <w:pPr>
              <w:ind w:left="20"/>
              <w:spacing w:after="0"/>
              <w:rPr>
                <w:sz w:val="20"/>
                <w:szCs w:val="20"/>
                <w:color w:val="auto"/>
              </w:rPr>
            </w:pPr>
            <w:r>
              <w:rPr>
                <w:rFonts w:ascii="Arial" w:cs="Arial" w:eastAsia="Arial" w:hAnsi="Arial"/>
                <w:sz w:val="17"/>
                <w:szCs w:val="17"/>
                <w:color w:val="auto"/>
              </w:rPr>
              <w:t>McCarthy Boulevard—Milpitas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1855</w:t>
            </w:r>
          </w:p>
        </w:tc>
        <w:tc>
          <w:tcPr>
            <w:tcW w:w="4260" w:type="dxa"/>
            <w:vAlign w:val="bottom"/>
          </w:tcPr>
          <w:p>
            <w:pPr>
              <w:ind w:left="20"/>
              <w:spacing w:after="0"/>
              <w:rPr>
                <w:sz w:val="20"/>
                <w:szCs w:val="20"/>
                <w:color w:val="auto"/>
              </w:rPr>
            </w:pPr>
            <w:r>
              <w:rPr>
                <w:rFonts w:ascii="Arial" w:cs="Arial" w:eastAsia="Arial" w:hAnsi="Arial"/>
                <w:sz w:val="17"/>
                <w:szCs w:val="17"/>
                <w:color w:val="auto"/>
              </w:rPr>
              <w:t>Barber Lane—Milpitas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1861 NW South River Drive—Miami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2003-2007 Nonconnah Boulevard—Memphis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2021</w:t>
            </w:r>
          </w:p>
        </w:tc>
        <w:tc>
          <w:tcPr>
            <w:tcW w:w="4260" w:type="dxa"/>
            <w:vAlign w:val="bottom"/>
          </w:tcPr>
          <w:p>
            <w:pPr>
              <w:ind w:left="20"/>
              <w:spacing w:after="0"/>
              <w:rPr>
                <w:sz w:val="20"/>
                <w:szCs w:val="20"/>
                <w:color w:val="auto"/>
              </w:rPr>
            </w:pPr>
            <w:r>
              <w:rPr>
                <w:rFonts w:ascii="Arial" w:cs="Arial" w:eastAsia="Arial" w:hAnsi="Arial"/>
                <w:sz w:val="17"/>
                <w:szCs w:val="17"/>
                <w:color w:val="auto"/>
              </w:rPr>
              <w:t>Lakeside Boulevard—Richardson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2220</w:t>
            </w:r>
          </w:p>
        </w:tc>
        <w:tc>
          <w:tcPr>
            <w:tcW w:w="4260" w:type="dxa"/>
            <w:vAlign w:val="bottom"/>
          </w:tcPr>
          <w:p>
            <w:pPr>
              <w:ind w:left="20"/>
              <w:spacing w:after="0"/>
              <w:rPr>
                <w:sz w:val="20"/>
                <w:szCs w:val="20"/>
                <w:color w:val="auto"/>
              </w:rPr>
            </w:pPr>
            <w:r>
              <w:rPr>
                <w:rFonts w:ascii="Arial" w:cs="Arial" w:eastAsia="Arial" w:hAnsi="Arial"/>
                <w:sz w:val="17"/>
                <w:szCs w:val="17"/>
                <w:color w:val="auto"/>
              </w:rPr>
              <w:t>West First Street—Fort Myers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2227 San Pablo Avenue—Oakland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2611 Corporate W Drive—Lisle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2901</w:t>
            </w:r>
          </w:p>
        </w:tc>
        <w:tc>
          <w:tcPr>
            <w:tcW w:w="4260" w:type="dxa"/>
            <w:vAlign w:val="bottom"/>
          </w:tcPr>
          <w:p>
            <w:pPr>
              <w:ind w:left="20"/>
              <w:spacing w:after="0"/>
              <w:rPr>
                <w:sz w:val="20"/>
                <w:szCs w:val="20"/>
                <w:color w:val="auto"/>
              </w:rPr>
            </w:pPr>
            <w:r>
              <w:rPr>
                <w:rFonts w:ascii="Arial" w:cs="Arial" w:eastAsia="Arial" w:hAnsi="Arial"/>
                <w:sz w:val="17"/>
                <w:szCs w:val="17"/>
                <w:color w:val="auto"/>
              </w:rPr>
              <w:t>Kinwest Parkway—Irving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3000 Waterview Parkway—Richardson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620" w:type="dxa"/>
            <w:vAlign w:val="bottom"/>
            <w:gridSpan w:val="2"/>
          </w:tcPr>
          <w:p>
            <w:pPr>
              <w:ind w:left="20"/>
              <w:spacing w:after="0"/>
              <w:rPr>
                <w:sz w:val="20"/>
                <w:szCs w:val="20"/>
                <w:color w:val="auto"/>
              </w:rPr>
            </w:pPr>
            <w:r>
              <w:rPr>
                <w:rFonts w:ascii="Arial" w:cs="Arial" w:eastAsia="Arial" w:hAnsi="Arial"/>
                <w:sz w:val="17"/>
                <w:szCs w:val="17"/>
                <w:color w:val="auto"/>
              </w:rPr>
              <w:t>3030 N.E.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Avenue—Miami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620" w:type="dxa"/>
            <w:vAlign w:val="bottom"/>
            <w:gridSpan w:val="2"/>
          </w:tcPr>
          <w:p>
            <w:pPr>
              <w:ind w:left="20"/>
              <w:spacing w:after="0" w:line="248" w:lineRule="exact"/>
              <w:rPr>
                <w:sz w:val="20"/>
                <w:szCs w:val="20"/>
                <w:color w:val="auto"/>
              </w:rPr>
            </w:pPr>
            <w:r>
              <w:rPr>
                <w:rFonts w:ascii="Arial" w:cs="Arial" w:eastAsia="Arial" w:hAnsi="Arial"/>
                <w:sz w:val="17"/>
                <w:szCs w:val="17"/>
                <w:color w:val="auto"/>
              </w:rPr>
              <w:t>3110 N.E.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Avenue—Miami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gridSpan w:val="2"/>
          </w:tcPr>
          <w:p>
            <w:pPr>
              <w:ind w:left="20"/>
              <w:spacing w:after="0" w:line="250" w:lineRule="exact"/>
              <w:rPr>
                <w:sz w:val="20"/>
                <w:szCs w:val="20"/>
                <w:color w:val="auto"/>
              </w:rPr>
            </w:pPr>
            <w:r>
              <w:rPr>
                <w:rFonts w:ascii="Arial" w:cs="Arial" w:eastAsia="Arial" w:hAnsi="Arial"/>
                <w:sz w:val="17"/>
                <w:szCs w:val="17"/>
                <w:color w:val="auto"/>
              </w:rPr>
              <w:t>3150 SW 38</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Avenue—Miami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Commercial Unit 1 LLC</w:t>
            </w:r>
          </w:p>
        </w:tc>
        <w:tc>
          <w:tcPr>
            <w:tcW w:w="2620" w:type="dxa"/>
            <w:vAlign w:val="bottom"/>
          </w:tcPr>
          <w:p>
            <w:pPr>
              <w:ind w:left="122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Commercial Unit 2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Hotel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Residential LLC</w:t>
            </w:r>
          </w:p>
        </w:tc>
        <w:tc>
          <w:tcPr>
            <w:tcW w:w="2620" w:type="dxa"/>
            <w:vAlign w:val="bottom"/>
          </w:tcPr>
          <w:p>
            <w:pPr>
              <w:ind w:left="1240"/>
              <w:spacing w:after="0"/>
              <w:rPr>
                <w:sz w:val="20"/>
                <w:szCs w:val="20"/>
                <w:color w:val="auto"/>
              </w:rPr>
            </w:pPr>
            <w:r>
              <w:rPr>
                <w:rFonts w:ascii="Arial" w:cs="Arial" w:eastAsia="Arial" w:hAnsi="Arial"/>
                <w:sz w:val="17"/>
                <w:szCs w:val="17"/>
                <w:color w:val="auto"/>
              </w:rPr>
              <w:t>Georgia</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Retail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Villas LLC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Road - Atlanta LLC</w:t>
            </w:r>
          </w:p>
        </w:tc>
        <w:tc>
          <w:tcPr>
            <w:tcW w:w="2620" w:type="dxa"/>
            <w:vAlign w:val="bottom"/>
          </w:tcPr>
          <w:p>
            <w:pPr>
              <w:ind w:left="122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 w:type="dxa"/>
            <w:vAlign w:val="bottom"/>
          </w:tcPr>
          <w:p>
            <w:pPr>
              <w:ind w:left="20"/>
              <w:spacing w:after="0"/>
              <w:rPr>
                <w:sz w:val="20"/>
                <w:szCs w:val="20"/>
                <w:color w:val="auto"/>
              </w:rPr>
            </w:pPr>
            <w:r>
              <w:rPr>
                <w:rFonts w:ascii="Arial" w:cs="Arial" w:eastAsia="Arial" w:hAnsi="Arial"/>
                <w:sz w:val="17"/>
                <w:szCs w:val="17"/>
                <w:color w:val="auto"/>
                <w:w w:val="84"/>
              </w:rPr>
              <w:t>3376</w:t>
            </w:r>
          </w:p>
        </w:tc>
        <w:tc>
          <w:tcPr>
            <w:tcW w:w="4260" w:type="dxa"/>
            <w:vAlign w:val="bottom"/>
          </w:tcPr>
          <w:p>
            <w:pPr>
              <w:ind w:left="20"/>
              <w:spacing w:after="0"/>
              <w:rPr>
                <w:sz w:val="20"/>
                <w:szCs w:val="20"/>
                <w:color w:val="auto"/>
              </w:rPr>
            </w:pPr>
            <w:r>
              <w:rPr>
                <w:rFonts w:ascii="Arial" w:cs="Arial" w:eastAsia="Arial" w:hAnsi="Arial"/>
                <w:sz w:val="17"/>
                <w:szCs w:val="17"/>
                <w:color w:val="auto"/>
              </w:rPr>
              <w:t>Peachtree Road - Atlanta Hotel LL Inc.</w:t>
            </w:r>
          </w:p>
        </w:tc>
        <w:tc>
          <w:tcPr>
            <w:tcW w:w="2620" w:type="dxa"/>
            <w:vAlign w:val="bottom"/>
          </w:tcPr>
          <w:p>
            <w:pPr>
              <w:ind w:left="1240"/>
              <w:spacing w:after="0"/>
              <w:rPr>
                <w:sz w:val="20"/>
                <w:szCs w:val="20"/>
                <w:color w:val="auto"/>
              </w:rPr>
            </w:pPr>
            <w:r>
              <w:rPr>
                <w:rFonts w:ascii="Arial" w:cs="Arial" w:eastAsia="Arial" w:hAnsi="Arial"/>
                <w:sz w:val="17"/>
                <w:szCs w:val="17"/>
                <w:color w:val="auto"/>
              </w:rPr>
              <w:t>Delaware</w:t>
            </w: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6" w:right="239" w:bottom="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00" w:type="dxa"/>
            <w:vAlign w:val="bottom"/>
          </w:tcPr>
          <w:p>
            <w:pPr>
              <w:spacing w:after="0"/>
              <w:rPr>
                <w:sz w:val="20"/>
                <w:szCs w:val="20"/>
                <w:color w:val="auto"/>
              </w:rPr>
            </w:pPr>
            <w:r>
              <w:rPr>
                <w:rFonts w:ascii="Arial" w:cs="Arial" w:eastAsia="Arial" w:hAnsi="Arial"/>
                <w:sz w:val="17"/>
                <w:szCs w:val="17"/>
                <w:color w:val="auto"/>
              </w:rPr>
              <w:t>3376 Peachtree Road - Atlanta Restaurant LL Inc.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3376 Residential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900" w:type="dxa"/>
            <w:vAlign w:val="bottom"/>
          </w:tcPr>
          <w:p>
            <w:pPr>
              <w:spacing w:after="0"/>
              <w:rPr>
                <w:sz w:val="20"/>
                <w:szCs w:val="20"/>
                <w:color w:val="auto"/>
              </w:rPr>
            </w:pPr>
            <w:r>
              <w:rPr>
                <w:rFonts w:ascii="Arial" w:cs="Arial" w:eastAsia="Arial" w:hAnsi="Arial"/>
                <w:sz w:val="17"/>
                <w:szCs w:val="17"/>
                <w:color w:val="auto"/>
              </w:rPr>
              <w:t>3460 14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NW—Washington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7"/>
                <w:szCs w:val="17"/>
                <w:color w:val="auto"/>
              </w:rPr>
              <w:t>3800 Brockett Trail—Clarkston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00" w:type="dxa"/>
            <w:vAlign w:val="bottom"/>
            <w:vMerge w:val="restart"/>
          </w:tcPr>
          <w:p>
            <w:pPr>
              <w:spacing w:after="0"/>
              <w:rPr>
                <w:sz w:val="20"/>
                <w:szCs w:val="20"/>
                <w:color w:val="auto"/>
              </w:rPr>
            </w:pPr>
            <w:r>
              <w:rPr>
                <w:rFonts w:ascii="Arial" w:cs="Arial" w:eastAsia="Arial" w:hAnsi="Arial"/>
                <w:sz w:val="17"/>
                <w:szCs w:val="17"/>
                <w:color w:val="auto"/>
              </w:rPr>
              <w:t>4471 Dean Martin Drive—Las Vegas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vMerge w:val="restart"/>
          </w:tcPr>
          <w:p>
            <w:pPr>
              <w:ind w:left="460"/>
              <w:spacing w:after="0"/>
              <w:rPr>
                <w:sz w:val="20"/>
                <w:szCs w:val="20"/>
                <w:color w:val="auto"/>
              </w:rPr>
            </w:pPr>
            <w:r>
              <w:rPr>
                <w:rFonts w:ascii="Arial" w:cs="Arial" w:eastAsia="Arial" w:hAnsi="Arial"/>
                <w:sz w:val="17"/>
                <w:szCs w:val="17"/>
                <w:color w:val="auto"/>
                <w:w w:val="88"/>
              </w:rPr>
              <w:t>4230 S. Decatur Boulevard—Las Vegas LLC</w:t>
            </w:r>
          </w:p>
        </w:tc>
        <w:tc>
          <w:tcPr>
            <w:tcW w:w="0" w:type="dxa"/>
            <w:vAlign w:val="bottom"/>
          </w:tcPr>
          <w:p>
            <w:pPr>
              <w:spacing w:after="0"/>
              <w:rPr>
                <w:sz w:val="1"/>
                <w:szCs w:val="1"/>
                <w:color w:val="auto"/>
              </w:rPr>
            </w:pPr>
          </w:p>
        </w:tc>
      </w:tr>
      <w:tr>
        <w:trPr>
          <w:trHeight w:val="199"/>
        </w:trPr>
        <w:tc>
          <w:tcPr>
            <w:tcW w:w="490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6087 Sunset Boulevard—Hollywood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6162 S Willow Drive—Englewood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6400 Christie Avenue—Emeryville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6801 Woolridge Road GenPar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6801 Woolridge Road – Moseley LP re</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ind w:left="460"/>
              <w:spacing w:after="0"/>
              <w:rPr>
                <w:sz w:val="20"/>
                <w:szCs w:val="20"/>
                <w:color w:val="auto"/>
              </w:rPr>
            </w:pPr>
            <w:r>
              <w:rPr>
                <w:rFonts w:ascii="Arial" w:cs="Arial" w:eastAsia="Arial" w:hAnsi="Arial"/>
                <w:sz w:val="17"/>
                <w:szCs w:val="17"/>
                <w:color w:val="auto"/>
                <w:w w:val="92"/>
              </w:rPr>
              <w:t>6801 Woolridge Road – Moseley TRS LLC</w:t>
            </w: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7445 East Chaparral Road—Scottsdale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11650 Central Parkway—Jacksonville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vMerge w:val="restart"/>
          </w:tcPr>
          <w:p>
            <w:pPr>
              <w:spacing w:after="0"/>
              <w:rPr>
                <w:sz w:val="20"/>
                <w:szCs w:val="20"/>
                <w:color w:val="auto"/>
              </w:rPr>
            </w:pPr>
            <w:r>
              <w:rPr>
                <w:rFonts w:ascii="Arial" w:cs="Arial" w:eastAsia="Arial" w:hAnsi="Arial"/>
                <w:sz w:val="17"/>
                <w:szCs w:val="17"/>
                <w:color w:val="auto"/>
              </w:rPr>
              <w:t>13351 Overseas Highway—Marathon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vMerge w:val="restart"/>
          </w:tcPr>
          <w:p>
            <w:pPr>
              <w:ind w:left="460"/>
              <w:spacing w:after="0"/>
              <w:rPr>
                <w:sz w:val="20"/>
                <w:szCs w:val="20"/>
                <w:color w:val="auto"/>
              </w:rPr>
            </w:pPr>
            <w:r>
              <w:rPr>
                <w:rFonts w:ascii="Arial" w:cs="Arial" w:eastAsia="Arial" w:hAnsi="Arial"/>
                <w:sz w:val="17"/>
                <w:szCs w:val="17"/>
                <w:color w:val="auto"/>
                <w:w w:val="99"/>
              </w:rPr>
              <w:t>475-525 Sycamore Drive—Milpitas LLC</w:t>
            </w:r>
          </w:p>
        </w:tc>
        <w:tc>
          <w:tcPr>
            <w:tcW w:w="0" w:type="dxa"/>
            <w:vAlign w:val="bottom"/>
          </w:tcPr>
          <w:p>
            <w:pPr>
              <w:spacing w:after="0"/>
              <w:rPr>
                <w:sz w:val="1"/>
                <w:szCs w:val="1"/>
                <w:color w:val="auto"/>
              </w:rPr>
            </w:pPr>
          </w:p>
        </w:tc>
      </w:tr>
      <w:tr>
        <w:trPr>
          <w:trHeight w:val="199"/>
        </w:trPr>
        <w:tc>
          <w:tcPr>
            <w:tcW w:w="490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14000 N. Hayden Road—Scottsdale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14951 Royal Oaks (Biscayne Landing)—North Miami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17093 Biscayne Boulevard—North Miami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17623-17695 N Dale Mabry Hwy—Lutz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21625 Red Rum Drive—Ashburn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46702 Bayside Parkway—Fremont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46831 Lakeview Boulevard—Fremont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Acquest Government Holdings II,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York</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Acquest Government Holdings,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York</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Acquest Holdings FC,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York</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ACRE IDG Manager,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ACRE IDG,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ACRE Seymour,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ACRE Simon,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Almaden Kicker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American Financial Exchange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AP Block 146 Developer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AP Block 176 Venture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AP Fifteen Property Holding,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AP Five Property Holding,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AP Ten Property Holding,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Asbury Convention Hall Limited Liability Company</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Asbury Partners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60" w:type="dxa"/>
            <w:vAlign w:val="bottom"/>
          </w:tcPr>
          <w:p>
            <w:pPr>
              <w:ind w:left="460"/>
              <w:spacing w:after="0"/>
              <w:rPr>
                <w:sz w:val="20"/>
                <w:szCs w:val="20"/>
                <w:color w:val="auto"/>
              </w:rPr>
            </w:pPr>
            <w:r>
              <w:rPr>
                <w:rFonts w:ascii="Arial" w:cs="Arial" w:eastAsia="Arial" w:hAnsi="Arial"/>
                <w:sz w:val="17"/>
                <w:szCs w:val="17"/>
                <w:color w:val="auto"/>
              </w:rPr>
              <w:t>Asbury Shores Community, LLC</w:t>
            </w: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12203 East Colonial Drive—Orlando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1360 Greely Chapel Road—Lima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325 Route 17M—Monroe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AR1,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AR2,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FL1,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FL10,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FL2,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FL3,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FL4,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FL5,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FL6,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FL7,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FL8,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FL9,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GA1,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GA2,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GA3,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Holdings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NC1,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NC2,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NC3,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NC4,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TX1 GenPar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TX1 LimPar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TX1 LP</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VA1,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ASB VA2,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ASTAR CHA NM1,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60" w:top="127" w:right="1099" w:bottom="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20" w:type="dxa"/>
            <w:vAlign w:val="bottom"/>
          </w:tcPr>
          <w:p>
            <w:pPr>
              <w:spacing w:after="0"/>
              <w:rPr>
                <w:sz w:val="20"/>
                <w:szCs w:val="20"/>
                <w:color w:val="auto"/>
              </w:rPr>
            </w:pPr>
            <w:r>
              <w:rPr>
                <w:rFonts w:ascii="Arial" w:cs="Arial" w:eastAsia="Arial" w:hAnsi="Arial"/>
                <w:sz w:val="17"/>
                <w:szCs w:val="17"/>
                <w:color w:val="auto"/>
              </w:rPr>
              <w:t>ASTAR Finance Falcon I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18"/>
                <w:szCs w:val="18"/>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Finance Falcon II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Finance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rPr>
              <w:t>ASTAR AF NH1, LLC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FRR FL1,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FRR Holdings,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FRR TX1 GenPar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FRR TX1 LP</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G1A NH1,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Highway 290—North Hempstead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rPr>
              <w:t>SFI Dallas FC LLC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Los Angeles Honda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National City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w w:val="99"/>
              </w:rPr>
              <w:t>Falcon 1999-1 Turlock 815015 LLC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Pima Road—Scottsdale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ROU AL1,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ROU LA1,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Route 33 – Hamilton NJ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Spokane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Suncadia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Two Notch Columbia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UAG AZ1,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UAG AZ2,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UAG AZ3,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UAG FL1,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UAG NJ1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West Genesee Street II—Syracuse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ASTAR West Genesee Street I—Syracuse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AutoStar F Funding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rPr>
              <w:t>iStar MLV Investor LLC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Autostar Investors Partnership LLP</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AutoStar Realty Operating Partnership, L.P.</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w w:val="88"/>
              </w:rPr>
              <w:t>Milestone Realty Operating Partnership</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Autostar Realty GP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Bond Portfolio Holdings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BPT 40H Holding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Cajun Fish Holdings,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New Jersey</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Campbell Commons—Richardson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Coney Island Holdings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CTL I Maryland, Inc.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Every Bear Investments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2003-1 Columbus 818007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2003-1 Dryden 818019</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w w:val="89"/>
              </w:rPr>
              <w:t>855 Avenue of the Americas – SFI LLC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2003-1 Englewood 818021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2003-1 Manteca 818017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2003-1 Rimrock 818018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2003-1 Seneca 818020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Auto Dealership Loan Trust 2001-1</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Auto Dealership Loan Trust 2003-1</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Auto Dealership,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Financial II,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Franchise Loan Corp.</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Franchise Loan Trust 1999-1</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Franchise Loan Trust 2000-1</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Falcon Franchise Loan,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Florida 2005 Theaters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rPr>
              <w:t>MUVICO Realty, LLC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Freezer Bear Investments,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Harbor Bear,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Harry Bear Manager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Harry Bear, LLC</w:t>
            </w:r>
          </w:p>
        </w:tc>
        <w:tc>
          <w:tcPr>
            <w:tcW w:w="2560" w:type="dxa"/>
            <w:vAlign w:val="bottom"/>
          </w:tcPr>
          <w:p>
            <w:pPr>
              <w:ind w:left="1320"/>
              <w:spacing w:after="0"/>
              <w:rPr>
                <w:sz w:val="20"/>
                <w:szCs w:val="20"/>
                <w:color w:val="auto"/>
              </w:rPr>
            </w:pPr>
            <w:r>
              <w:rPr>
                <w:rFonts w:ascii="Arial" w:cs="Arial" w:eastAsia="Arial" w:hAnsi="Arial"/>
                <w:sz w:val="17"/>
                <w:szCs w:val="17"/>
                <w:color w:val="auto"/>
              </w:rPr>
              <w:t>Florida</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100 Management Inc.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100 Riverview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100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200-300 Management Inc.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200-300 Riverview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200-300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85 10th L/C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spacing w:after="0"/>
              <w:rPr>
                <w:sz w:val="21"/>
                <w:szCs w:val="21"/>
                <w:color w:val="auto"/>
              </w:rPr>
            </w:pP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Alpha Holdings TRS II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w w:val="96"/>
              </w:rPr>
              <w:t>iStar Alpha LLC Holdings TRS II Inc.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Alpha Holdings TRS III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w w:val="94"/>
              </w:rPr>
              <w:t>iStar Alpha LLC Holdings TRS III Inc.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Alpha Holdings TRS Inc.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rPr>
              <w:t>iStar Alpha LLC Holdings TRS Inc.</w:t>
            </w:r>
          </w:p>
        </w:tc>
      </w:tr>
      <w:tr>
        <w:trPr>
          <w:trHeight w:val="248"/>
        </w:trPr>
        <w:tc>
          <w:tcPr>
            <w:tcW w:w="4520" w:type="dxa"/>
            <w:vAlign w:val="bottom"/>
          </w:tcPr>
          <w:p>
            <w:pPr>
              <w:spacing w:after="0"/>
              <w:rPr>
                <w:sz w:val="20"/>
                <w:szCs w:val="20"/>
                <w:color w:val="auto"/>
              </w:rPr>
            </w:pPr>
            <w:r>
              <w:rPr>
                <w:rFonts w:ascii="Arial" w:cs="Arial" w:eastAsia="Arial" w:hAnsi="Arial"/>
                <w:sz w:val="17"/>
                <w:szCs w:val="17"/>
                <w:color w:val="auto"/>
              </w:rPr>
              <w:t>iStar Alpha TRS LLC</w:t>
            </w:r>
          </w:p>
        </w:tc>
        <w:tc>
          <w:tcPr>
            <w:tcW w:w="2560" w:type="dxa"/>
            <w:vAlign w:val="bottom"/>
          </w:tcPr>
          <w:p>
            <w:pPr>
              <w:ind w:left="1320"/>
              <w:spacing w:after="0"/>
              <w:rPr>
                <w:sz w:val="20"/>
                <w:szCs w:val="20"/>
                <w:color w:val="auto"/>
              </w:rPr>
            </w:pPr>
            <w:r>
              <w:rPr>
                <w:rFonts w:ascii="Arial" w:cs="Arial" w:eastAsia="Arial" w:hAnsi="Arial"/>
                <w:sz w:val="17"/>
                <w:szCs w:val="17"/>
                <w:color w:val="auto"/>
              </w:rPr>
              <w:t>Delaware</w:t>
            </w:r>
          </w:p>
        </w:tc>
        <w:tc>
          <w:tcPr>
            <w:tcW w:w="3120" w:type="dxa"/>
            <w:vAlign w:val="bottom"/>
          </w:tcPr>
          <w:p>
            <w:pPr>
              <w:ind w:left="460"/>
              <w:spacing w:after="0"/>
              <w:rPr>
                <w:sz w:val="20"/>
                <w:szCs w:val="20"/>
                <w:color w:val="auto"/>
              </w:rPr>
            </w:pPr>
            <w:r>
              <w:rPr>
                <w:rFonts w:ascii="Arial" w:cs="Arial" w:eastAsia="Arial" w:hAnsi="Arial"/>
                <w:sz w:val="17"/>
                <w:szCs w:val="17"/>
                <w:color w:val="auto"/>
              </w:rPr>
              <w:t>iStar Alpha TRS inc.</w:t>
            </w:r>
          </w:p>
        </w:tc>
      </w:tr>
    </w:tbl>
    <w:p>
      <w:pPr>
        <w:sectPr>
          <w:pgSz w:w="11900" w:h="16838" w:orient="portrait"/>
          <w:cols w:equalWidth="0" w:num="1">
            <w:col w:w="10200"/>
          </w:cols>
          <w:pgMar w:left="260" w:top="127" w:right="1439" w:bottom="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tcPr>
          <w:p>
            <w:pPr>
              <w:spacing w:after="0"/>
              <w:rPr>
                <w:sz w:val="20"/>
                <w:szCs w:val="20"/>
                <w:color w:val="auto"/>
              </w:rPr>
            </w:pPr>
            <w:r>
              <w:rPr>
                <w:rFonts w:ascii="Arial" w:cs="Arial" w:eastAsia="Arial" w:hAnsi="Arial"/>
                <w:sz w:val="17"/>
                <w:szCs w:val="17"/>
                <w:color w:val="auto"/>
              </w:rPr>
              <w:t>iStar Alpha Structured Products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18"/>
                <w:szCs w:val="18"/>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Asset Receivables Trust</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Asset Services,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Starwood Asset Services, Inc.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Automotive Investments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BEST Finance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Bishops Gate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Blues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Bowling Centers Business Trust</w:t>
            </w:r>
          </w:p>
        </w:tc>
        <w:tc>
          <w:tcPr>
            <w:tcW w:w="2820" w:type="dxa"/>
            <w:vAlign w:val="bottom"/>
          </w:tcPr>
          <w:p>
            <w:pPr>
              <w:ind w:left="1440"/>
              <w:spacing w:after="0"/>
              <w:rPr>
                <w:sz w:val="20"/>
                <w:szCs w:val="20"/>
                <w:color w:val="auto"/>
              </w:rPr>
            </w:pPr>
            <w:r>
              <w:rPr>
                <w:rFonts w:ascii="Arial" w:cs="Arial" w:eastAsia="Arial" w:hAnsi="Arial"/>
                <w:sz w:val="17"/>
                <w:szCs w:val="17"/>
                <w:color w:val="auto"/>
              </w:rPr>
              <w:t>Massachusetts</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Bowling Centers I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iStar Fort Collins USGS LLC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Bowling Centers I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Bowling Centers II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Bowling Centers II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Bowling Centers PR GenPar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Bowling Centers PR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Busco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Columbus Circle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Corporate Collateral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CP Investment Fund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CS Emery Bay North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CS Kicker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CS Palatine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CTL I GenPar,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CTL I,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CTL RiverEdge Summit—Atlanta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CTL Sunset Hills—Reston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Dallas GL GenPar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Dallas GL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DB Holdco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DB Seller,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DH Holdings TRS Inc.</w:t>
            </w:r>
          </w:p>
        </w:tc>
        <w:tc>
          <w:tcPr>
            <w:tcW w:w="2820" w:type="dxa"/>
            <w:vAlign w:val="bottom"/>
          </w:tcPr>
          <w:p>
            <w:pPr>
              <w:ind w:left="1440"/>
              <w:spacing w:after="0"/>
              <w:rPr>
                <w:sz w:val="20"/>
                <w:szCs w:val="20"/>
                <w:color w:val="auto"/>
              </w:rPr>
            </w:pPr>
            <w:r>
              <w:rPr>
                <w:rFonts w:ascii="Arial" w:cs="Arial" w:eastAsia="Arial" w:hAnsi="Arial"/>
                <w:sz w:val="17"/>
                <w:szCs w:val="17"/>
                <w:color w:val="auto"/>
              </w:rPr>
              <w:t>Cayman Islands</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Diplomat Drive—Farmers Branch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DMI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Financial Protective Trust</w:t>
            </w:r>
          </w:p>
        </w:tc>
        <w:tc>
          <w:tcPr>
            <w:tcW w:w="2820" w:type="dxa"/>
            <w:vAlign w:val="bottom"/>
          </w:tcPr>
          <w:p>
            <w:pPr>
              <w:ind w:left="1440"/>
              <w:spacing w:after="0"/>
              <w:rPr>
                <w:sz w:val="20"/>
                <w:szCs w:val="20"/>
                <w:color w:val="auto"/>
              </w:rPr>
            </w:pPr>
            <w:r>
              <w:rPr>
                <w:rFonts w:ascii="Arial" w:cs="Arial" w:eastAsia="Arial" w:hAnsi="Arial"/>
                <w:sz w:val="17"/>
                <w:szCs w:val="17"/>
                <w:color w:val="auto"/>
              </w:rPr>
              <w:t>Maryland</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Financial Statutory Trust I</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FM Kicker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FM Loans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FM REO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Ginn Holdings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GT GenPar,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GT Statutory Trust</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GT,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Harborside Member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Harborside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ACRE Chandler, LLC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Harrisburg Business Trust</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Harrisburg GenPar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Harrisburg,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HQ GT Illinois,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SFT II Illinois, Inc.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HQ I GenPar,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HQ I,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HQ I,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IF III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Marlin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Madison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iStar Madison TRS Inc.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Merger Co. I</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Starwood Merger Co. I</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Minnesota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NG GenPar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NG Inc.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NG LP</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OHACS TRS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iStar OHACS TRS Inc.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OHAFF TRS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iStar OHAFF TRS Inc.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OHCOF GP TRS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ind w:left="320"/>
              <w:spacing w:after="0"/>
              <w:rPr>
                <w:sz w:val="20"/>
                <w:szCs w:val="20"/>
                <w:color w:val="auto"/>
              </w:rPr>
            </w:pPr>
            <w:r>
              <w:rPr>
                <w:rFonts w:ascii="Arial" w:cs="Arial" w:eastAsia="Arial" w:hAnsi="Arial"/>
                <w:sz w:val="17"/>
                <w:szCs w:val="17"/>
                <w:color w:val="auto"/>
              </w:rPr>
              <w:t>iStar OHCOF GP TRS Inc.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Page Mill Road—Palo Alto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RC Paradise Valley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Real Estate Services, Inc.</w:t>
            </w:r>
          </w:p>
        </w:tc>
        <w:tc>
          <w:tcPr>
            <w:tcW w:w="2820" w:type="dxa"/>
            <w:vAlign w:val="bottom"/>
          </w:tcPr>
          <w:p>
            <w:pPr>
              <w:ind w:left="1440"/>
              <w:spacing w:after="0"/>
              <w:rPr>
                <w:sz w:val="20"/>
                <w:szCs w:val="20"/>
                <w:color w:val="auto"/>
              </w:rPr>
            </w:pPr>
            <w:r>
              <w:rPr>
                <w:rFonts w:ascii="Arial" w:cs="Arial" w:eastAsia="Arial" w:hAnsi="Arial"/>
                <w:sz w:val="17"/>
                <w:szCs w:val="17"/>
                <w:color w:val="auto"/>
              </w:rPr>
              <w:t>Maryland</w:t>
            </w:r>
          </w:p>
        </w:tc>
        <w:tc>
          <w:tcPr>
            <w:tcW w:w="2620" w:type="dxa"/>
            <w:vAlign w:val="bottom"/>
          </w:tcPr>
          <w:p>
            <w:pPr>
              <w:ind w:left="320"/>
              <w:spacing w:after="0"/>
              <w:rPr>
                <w:sz w:val="20"/>
                <w:szCs w:val="20"/>
                <w:color w:val="auto"/>
              </w:rPr>
            </w:pPr>
            <w:r>
              <w:rPr>
                <w:rFonts w:ascii="Arial" w:cs="Arial" w:eastAsia="Arial" w:hAnsi="Arial"/>
                <w:sz w:val="17"/>
                <w:szCs w:val="17"/>
                <w:color w:val="auto"/>
                <w:w w:val="89"/>
              </w:rPr>
              <w:t>TriNet Property Management, Inc.</w:t>
            </w: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REO Holdings TRS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r>
        <w:trPr>
          <w:trHeight w:val="248"/>
        </w:trPr>
        <w:tc>
          <w:tcPr>
            <w:tcW w:w="4400" w:type="dxa"/>
            <w:vAlign w:val="bottom"/>
          </w:tcPr>
          <w:p>
            <w:pPr>
              <w:spacing w:after="0"/>
              <w:rPr>
                <w:sz w:val="20"/>
                <w:szCs w:val="20"/>
                <w:color w:val="auto"/>
              </w:rPr>
            </w:pPr>
            <w:r>
              <w:rPr>
                <w:rFonts w:ascii="Arial" w:cs="Arial" w:eastAsia="Arial" w:hAnsi="Arial"/>
                <w:sz w:val="17"/>
                <w:szCs w:val="17"/>
                <w:color w:val="auto"/>
              </w:rPr>
              <w:t>iStar San Jose, L.L.C.</w:t>
            </w:r>
          </w:p>
        </w:tc>
        <w:tc>
          <w:tcPr>
            <w:tcW w:w="2820" w:type="dxa"/>
            <w:vAlign w:val="bottom"/>
          </w:tcPr>
          <w:p>
            <w:pPr>
              <w:ind w:left="1440"/>
              <w:spacing w:after="0"/>
              <w:rPr>
                <w:sz w:val="20"/>
                <w:szCs w:val="20"/>
                <w:color w:val="auto"/>
              </w:rPr>
            </w:pPr>
            <w:r>
              <w:rPr>
                <w:rFonts w:ascii="Arial" w:cs="Arial" w:eastAsia="Arial" w:hAnsi="Arial"/>
                <w:sz w:val="17"/>
                <w:szCs w:val="17"/>
                <w:color w:val="auto"/>
              </w:rPr>
              <w:t>Delaware</w:t>
            </w:r>
          </w:p>
        </w:tc>
        <w:tc>
          <w:tcPr>
            <w:tcW w:w="2620" w:type="dxa"/>
            <w:vAlign w:val="bottom"/>
          </w:tcPr>
          <w:p>
            <w:pPr>
              <w:spacing w:after="0"/>
              <w:rPr>
                <w:sz w:val="21"/>
                <w:szCs w:val="21"/>
                <w:color w:val="auto"/>
              </w:rPr>
            </w:pPr>
          </w:p>
        </w:tc>
      </w:tr>
    </w:tbl>
    <w:p>
      <w:pPr>
        <w:sectPr>
          <w:pgSz w:w="11900" w:h="16838" w:orient="portrait"/>
          <w:cols w:equalWidth="0" w:num="1">
            <w:col w:w="10199"/>
          </w:cols>
          <w:pgMar w:left="260" w:top="127" w:right="1440" w:bottom="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00" w:type="dxa"/>
            <w:vAlign w:val="bottom"/>
          </w:tcPr>
          <w:p>
            <w:pPr>
              <w:spacing w:after="0"/>
              <w:rPr>
                <w:sz w:val="20"/>
                <w:szCs w:val="20"/>
                <w:color w:val="auto"/>
              </w:rPr>
            </w:pPr>
            <w:r>
              <w:rPr>
                <w:rFonts w:ascii="Arial" w:cs="Arial" w:eastAsia="Arial" w:hAnsi="Arial"/>
                <w:sz w:val="17"/>
                <w:szCs w:val="17"/>
                <w:color w:val="auto"/>
              </w:rPr>
              <w:t>iStar SLC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iStar SLC TRS Inc.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Solo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SPP II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iStar SPP II TRS Inc.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SPP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iStar SPP TRS inc.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Statutory Trust</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Sunnyvale Partners, L.P.</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Sunnyvale,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TALF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Tara Holdings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Tara Kickers TRS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Tara REO TRS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Tara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Timberland Investments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TN TRS Inc.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WALH Investor TRS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iStar WALH Investor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iStar Woodward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Jade Eight Properties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Jersey Star GenPar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Jersey Star LP</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Jersey Star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LA Bear II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LA Bear,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Los Valles Company, L.P.</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Lucky Bear II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Lucky Bear,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Lysol Limited</w:t>
            </w:r>
          </w:p>
        </w:tc>
        <w:tc>
          <w:tcPr>
            <w:tcW w:w="2180" w:type="dxa"/>
            <w:vAlign w:val="bottom"/>
          </w:tcPr>
          <w:p>
            <w:pPr>
              <w:ind w:left="940"/>
              <w:spacing w:after="0"/>
              <w:rPr>
                <w:sz w:val="20"/>
                <w:szCs w:val="20"/>
                <w:color w:val="auto"/>
              </w:rPr>
            </w:pPr>
            <w:r>
              <w:rPr>
                <w:rFonts w:ascii="Arial" w:cs="Arial" w:eastAsia="Arial" w:hAnsi="Arial"/>
                <w:sz w:val="17"/>
                <w:szCs w:val="17"/>
                <w:color w:val="auto"/>
              </w:rPr>
              <w:t>Cyprus</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Madison Asbury Retail,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Asbury Park Retail,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MF III Albion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MN Theaters 2006 LLC</w:t>
            </w:r>
          </w:p>
        </w:tc>
        <w:tc>
          <w:tcPr>
            <w:tcW w:w="2180" w:type="dxa"/>
            <w:vAlign w:val="bottom"/>
          </w:tcPr>
          <w:p>
            <w:pPr>
              <w:ind w:left="940"/>
              <w:spacing w:after="0"/>
              <w:rPr>
                <w:sz w:val="20"/>
                <w:szCs w:val="20"/>
                <w:color w:val="auto"/>
              </w:rPr>
            </w:pPr>
            <w:r>
              <w:rPr>
                <w:rFonts w:ascii="Arial" w:cs="Arial" w:eastAsia="Arial" w:hAnsi="Arial"/>
                <w:sz w:val="17"/>
                <w:szCs w:val="17"/>
                <w:color w:val="auto"/>
              </w:rPr>
              <w:t>Minnesota</w:t>
            </w:r>
          </w:p>
        </w:tc>
        <w:tc>
          <w:tcPr>
            <w:tcW w:w="3440" w:type="dxa"/>
            <w:vAlign w:val="bottom"/>
          </w:tcPr>
          <w:p>
            <w:pPr>
              <w:ind w:left="460"/>
              <w:spacing w:after="0"/>
              <w:rPr>
                <w:sz w:val="20"/>
                <w:szCs w:val="20"/>
                <w:color w:val="auto"/>
              </w:rPr>
            </w:pPr>
            <w:r>
              <w:rPr>
                <w:rFonts w:ascii="Arial" w:cs="Arial" w:eastAsia="Arial" w:hAnsi="Arial"/>
                <w:sz w:val="17"/>
                <w:szCs w:val="17"/>
                <w:color w:val="auto"/>
              </w:rPr>
              <w:t>GAC Theaters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MSK Resort Finance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Navy Bear,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Paramount Bay Owner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Peachy Bear II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Peachy Bear,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Piscataway Road—Clinton MD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Plaza X Leasing Associates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Plaza X Realty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Plaza X Urban Renewal Associates L.L.C.</w:t>
            </w:r>
          </w:p>
        </w:tc>
        <w:tc>
          <w:tcPr>
            <w:tcW w:w="2180" w:type="dxa"/>
            <w:vAlign w:val="bottom"/>
          </w:tcPr>
          <w:p>
            <w:pPr>
              <w:ind w:left="940"/>
              <w:spacing w:after="0"/>
              <w:rPr>
                <w:sz w:val="20"/>
                <w:szCs w:val="20"/>
                <w:color w:val="auto"/>
              </w:rPr>
            </w:pPr>
            <w:r>
              <w:rPr>
                <w:rFonts w:ascii="Arial" w:cs="Arial" w:eastAsia="Arial" w:hAnsi="Arial"/>
                <w:sz w:val="17"/>
                <w:szCs w:val="17"/>
                <w:color w:val="auto"/>
              </w:rPr>
              <w:t>New Jersey</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PPD Gower 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Red Lion G.P., Inc.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RLH Partnership, L.P.</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Royal Oaks Lane (Biscayne Landing)—North Miami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SCC Distribution Centers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iStar SCC Distribution Centers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10 Rittenhouse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1120 Warner—Tempe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10255 East Via Linda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6121West Sunset Boulevard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SFI Los Valles TRS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8320 Warner – Tempe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AHBR Falk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Ambassador East TRS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Ambassador East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Artesia Land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w w:val="90"/>
              </w:rPr>
              <w:t>SI Menifee Heights – Riverside County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Artesia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SFI Artesia Retail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Artesia Residential TRS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SFI Coronation- Riverside County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Ballpark Village TRS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Ballpark Village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Belmont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Biscayne Boulevard Acquisitions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BR Villa Luisa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Bridgeview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SFI Harbor View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Bullseye - Chicago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Cascade Highlands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Center Horseheads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Chicago Tollway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ind w:left="460"/>
              <w:spacing w:after="0"/>
              <w:rPr>
                <w:sz w:val="20"/>
                <w:szCs w:val="20"/>
                <w:color w:val="auto"/>
              </w:rPr>
            </w:pPr>
            <w:r>
              <w:rPr>
                <w:rFonts w:ascii="Arial" w:cs="Arial" w:eastAsia="Arial" w:hAnsi="Arial"/>
                <w:sz w:val="17"/>
                <w:szCs w:val="17"/>
                <w:color w:val="auto"/>
              </w:rPr>
              <w:t>SFI Wilton Oases LLC</w:t>
            </w: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College Park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Coney Island Manager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DT Holdings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7"/>
                <w:szCs w:val="17"/>
                <w:color w:val="auto"/>
              </w:rPr>
              <w:t>SFI Eagle Land LLC</w:t>
            </w:r>
          </w:p>
        </w:tc>
        <w:tc>
          <w:tcPr>
            <w:tcW w:w="2180" w:type="dxa"/>
            <w:vAlign w:val="bottom"/>
          </w:tcPr>
          <w:p>
            <w:pPr>
              <w:ind w:left="940"/>
              <w:spacing w:after="0"/>
              <w:rPr>
                <w:sz w:val="20"/>
                <w:szCs w:val="20"/>
                <w:color w:val="auto"/>
              </w:rPr>
            </w:pPr>
            <w:r>
              <w:rPr>
                <w:rFonts w:ascii="Arial" w:cs="Arial" w:eastAsia="Arial" w:hAnsi="Arial"/>
                <w:sz w:val="17"/>
                <w:szCs w:val="17"/>
                <w:color w:val="auto"/>
              </w:rPr>
              <w:t>Delaware</w:t>
            </w:r>
          </w:p>
        </w:tc>
        <w:tc>
          <w:tcPr>
            <w:tcW w:w="3440" w:type="dxa"/>
            <w:vAlign w:val="bottom"/>
          </w:tcPr>
          <w:p>
            <w:pPr>
              <w:spacing w:after="0"/>
              <w:rPr>
                <w:sz w:val="21"/>
                <w:szCs w:val="21"/>
                <w:color w:val="auto"/>
              </w:rPr>
            </w:pPr>
          </w:p>
        </w:tc>
      </w:tr>
    </w:tbl>
    <w:p>
      <w:pPr>
        <w:sectPr>
          <w:pgSz w:w="11900" w:h="16838" w:orient="portrait"/>
          <w:cols w:equalWidth="0" w:num="1">
            <w:col w:w="10520"/>
          </w:cols>
          <w:pgMar w:left="260" w:top="127" w:right="1119" w:bottom="0" w:gutter="0" w:footer="0" w:header="0"/>
        </w:sectPr>
      </w:pPr>
    </w:p>
    <w:bookmarkStart w:id="129" w:name="page130"/>
    <w:bookmarkEnd w:id="129"/>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20" w:type="dxa"/>
            <w:vAlign w:val="bottom"/>
          </w:tcPr>
          <w:p>
            <w:pPr>
              <w:spacing w:after="0"/>
              <w:rPr>
                <w:sz w:val="20"/>
                <w:szCs w:val="20"/>
                <w:color w:val="auto"/>
              </w:rPr>
            </w:pPr>
            <w:r>
              <w:rPr>
                <w:rFonts w:ascii="Arial" w:cs="Arial" w:eastAsia="Arial" w:hAnsi="Arial"/>
                <w:sz w:val="17"/>
                <w:szCs w:val="17"/>
                <w:color w:val="auto"/>
              </w:rPr>
              <w:t>SFI Florida Marina Holdings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Harry Bear Manager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FMC – Sanibel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Ginn Investments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vMerge w:val="restart"/>
          </w:tcPr>
          <w:p>
            <w:pPr>
              <w:spacing w:after="0"/>
              <w:rPr>
                <w:sz w:val="20"/>
                <w:szCs w:val="20"/>
                <w:color w:val="auto"/>
              </w:rPr>
            </w:pPr>
            <w:r>
              <w:rPr>
                <w:rFonts w:ascii="Arial" w:cs="Arial" w:eastAsia="Arial" w:hAnsi="Arial"/>
                <w:sz w:val="17"/>
                <w:szCs w:val="17"/>
                <w:color w:val="auto"/>
              </w:rPr>
              <w:t>SFI Golden Hills—Vacaville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32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20" w:type="dxa"/>
            <w:vAlign w:val="bottom"/>
            <w:vMerge w:val="restart"/>
          </w:tcPr>
          <w:p>
            <w:pPr>
              <w:spacing w:after="0"/>
              <w:rPr>
                <w:sz w:val="20"/>
                <w:szCs w:val="20"/>
                <w:color w:val="auto"/>
              </w:rPr>
            </w:pPr>
            <w:r>
              <w:rPr>
                <w:rFonts w:ascii="Arial" w:cs="Arial" w:eastAsia="Arial" w:hAnsi="Arial"/>
                <w:sz w:val="17"/>
                <w:szCs w:val="17"/>
                <w:color w:val="auto"/>
              </w:rPr>
              <w:t>SFI Grand Vista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32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20" w:type="dxa"/>
            <w:vAlign w:val="bottom"/>
            <w:vMerge w:val="restart"/>
          </w:tcPr>
          <w:p>
            <w:pPr>
              <w:spacing w:after="0"/>
              <w:rPr>
                <w:sz w:val="20"/>
                <w:szCs w:val="20"/>
                <w:color w:val="auto"/>
              </w:rPr>
            </w:pPr>
            <w:r>
              <w:rPr>
                <w:rFonts w:ascii="Arial" w:cs="Arial" w:eastAsia="Arial" w:hAnsi="Arial"/>
                <w:sz w:val="17"/>
                <w:szCs w:val="17"/>
                <w:color w:val="auto"/>
              </w:rPr>
              <w:t>SFI Harborspire GenPar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vMerge w:val="restart"/>
          </w:tcPr>
          <w:p>
            <w:pPr>
              <w:ind w:left="540"/>
              <w:spacing w:after="0"/>
              <w:rPr>
                <w:sz w:val="20"/>
                <w:szCs w:val="20"/>
                <w:color w:val="auto"/>
              </w:rPr>
            </w:pPr>
            <w:r>
              <w:rPr>
                <w:rFonts w:ascii="Arial" w:cs="Arial" w:eastAsia="Arial" w:hAnsi="Arial"/>
                <w:sz w:val="17"/>
                <w:szCs w:val="17"/>
                <w:color w:val="auto"/>
                <w:w w:val="89"/>
              </w:rPr>
              <w:t>328-342 Washington Blvd—Jersey City GenPar LLC</w:t>
            </w:r>
          </w:p>
        </w:tc>
        <w:tc>
          <w:tcPr>
            <w:tcW w:w="0" w:type="dxa"/>
            <w:vAlign w:val="bottom"/>
          </w:tcPr>
          <w:p>
            <w:pPr>
              <w:spacing w:after="0"/>
              <w:rPr>
                <w:sz w:val="1"/>
                <w:szCs w:val="1"/>
                <w:color w:val="auto"/>
              </w:rPr>
            </w:pPr>
          </w:p>
        </w:tc>
      </w:tr>
      <w:tr>
        <w:trPr>
          <w:trHeight w:val="199"/>
        </w:trPr>
        <w:tc>
          <w:tcPr>
            <w:tcW w:w="432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20" w:type="dxa"/>
            <w:vAlign w:val="bottom"/>
            <w:vMerge w:val="restart"/>
          </w:tcPr>
          <w:p>
            <w:pPr>
              <w:spacing w:after="0"/>
              <w:rPr>
                <w:sz w:val="20"/>
                <w:szCs w:val="20"/>
                <w:color w:val="auto"/>
              </w:rPr>
            </w:pPr>
            <w:r>
              <w:rPr>
                <w:rFonts w:ascii="Arial" w:cs="Arial" w:eastAsia="Arial" w:hAnsi="Arial"/>
                <w:sz w:val="17"/>
                <w:szCs w:val="17"/>
                <w:color w:val="auto"/>
              </w:rPr>
              <w:t>SFI Harborspire LimPar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vMerge w:val="restart"/>
          </w:tcPr>
          <w:p>
            <w:pPr>
              <w:ind w:left="540"/>
              <w:spacing w:after="0"/>
              <w:rPr>
                <w:sz w:val="20"/>
                <w:szCs w:val="20"/>
                <w:color w:val="auto"/>
              </w:rPr>
            </w:pPr>
            <w:r>
              <w:rPr>
                <w:rFonts w:ascii="Arial" w:cs="Arial" w:eastAsia="Arial" w:hAnsi="Arial"/>
                <w:sz w:val="17"/>
                <w:szCs w:val="17"/>
                <w:color w:val="auto"/>
                <w:w w:val="90"/>
              </w:rPr>
              <w:t>328-342 Washington Blvd—Jersey City LimPar LLC</w:t>
            </w:r>
          </w:p>
        </w:tc>
        <w:tc>
          <w:tcPr>
            <w:tcW w:w="0" w:type="dxa"/>
            <w:vAlign w:val="bottom"/>
          </w:tcPr>
          <w:p>
            <w:pPr>
              <w:spacing w:after="0"/>
              <w:rPr>
                <w:sz w:val="1"/>
                <w:szCs w:val="1"/>
                <w:color w:val="auto"/>
              </w:rPr>
            </w:pPr>
          </w:p>
        </w:tc>
      </w:tr>
      <w:tr>
        <w:trPr>
          <w:trHeight w:val="199"/>
        </w:trPr>
        <w:tc>
          <w:tcPr>
            <w:tcW w:w="432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Ilikai 104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Ilikai GenPar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Ilikai LL Parent Inc.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Ilikai LL Inc.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Ilikai LP</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Ilikai TRS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Ilikai Property Owner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Ilikai Retail Owner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Kapolei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Kauai GenPar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Kauai LP</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Kauai TRS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Kauai Operator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Kauai Owner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Kaupulehu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Kukio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Kula 1800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Los Valles GenPar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McLaughlin South – Riverside County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Los Valles LimPar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Eucalyptus Grove – Riverside County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Los Valles TRS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Los Valles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Los Valles REO LLC</w:t>
            </w:r>
          </w:p>
        </w:tc>
        <w:tc>
          <w:tcPr>
            <w:tcW w:w="0" w:type="dxa"/>
            <w:vAlign w:val="bottom"/>
          </w:tcPr>
          <w:p>
            <w:pPr>
              <w:spacing w:after="0"/>
              <w:rPr>
                <w:sz w:val="1"/>
                <w:szCs w:val="1"/>
                <w:color w:val="auto"/>
              </w:rPr>
            </w:pPr>
          </w:p>
        </w:tc>
      </w:tr>
      <w:tr>
        <w:trPr>
          <w:trHeight w:val="248"/>
        </w:trPr>
        <w:tc>
          <w:tcPr>
            <w:tcW w:w="4320" w:type="dxa"/>
            <w:vAlign w:val="bottom"/>
            <w:vMerge w:val="restart"/>
          </w:tcPr>
          <w:p>
            <w:pPr>
              <w:spacing w:after="0"/>
              <w:rPr>
                <w:sz w:val="20"/>
                <w:szCs w:val="20"/>
                <w:color w:val="auto"/>
              </w:rPr>
            </w:pPr>
            <w:r>
              <w:rPr>
                <w:rFonts w:ascii="Arial" w:cs="Arial" w:eastAsia="Arial" w:hAnsi="Arial"/>
                <w:sz w:val="17"/>
                <w:szCs w:val="17"/>
                <w:color w:val="auto"/>
              </w:rPr>
              <w:t>SFI Magnolia Avenue—Riverside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vMerge w:val="restart"/>
          </w:tcPr>
          <w:p>
            <w:pPr>
              <w:ind w:left="540"/>
              <w:spacing w:after="0"/>
              <w:rPr>
                <w:sz w:val="20"/>
                <w:szCs w:val="20"/>
                <w:color w:val="auto"/>
              </w:rPr>
            </w:pPr>
            <w:r>
              <w:rPr>
                <w:rFonts w:ascii="Arial" w:cs="Arial" w:eastAsia="Arial" w:hAnsi="Arial"/>
                <w:sz w:val="17"/>
                <w:szCs w:val="17"/>
                <w:color w:val="auto"/>
              </w:rPr>
              <w:t>SFI Emperor Estates – Riverside County LLC</w:t>
            </w:r>
          </w:p>
        </w:tc>
        <w:tc>
          <w:tcPr>
            <w:tcW w:w="0" w:type="dxa"/>
            <w:vAlign w:val="bottom"/>
          </w:tcPr>
          <w:p>
            <w:pPr>
              <w:spacing w:after="0"/>
              <w:rPr>
                <w:sz w:val="1"/>
                <w:szCs w:val="1"/>
                <w:color w:val="auto"/>
              </w:rPr>
            </w:pPr>
          </w:p>
        </w:tc>
      </w:tr>
      <w:tr>
        <w:trPr>
          <w:trHeight w:val="199"/>
        </w:trPr>
        <w:tc>
          <w:tcPr>
            <w:tcW w:w="432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Mammoth Crossing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West Hills – Riverside County LLC</w:t>
            </w:r>
          </w:p>
        </w:tc>
        <w:tc>
          <w:tcPr>
            <w:tcW w:w="0" w:type="dxa"/>
            <w:vAlign w:val="bottom"/>
          </w:tcPr>
          <w:p>
            <w:pPr>
              <w:spacing w:after="0"/>
              <w:rPr>
                <w:sz w:val="1"/>
                <w:szCs w:val="1"/>
                <w:color w:val="auto"/>
              </w:rPr>
            </w:pPr>
          </w:p>
        </w:tc>
      </w:tr>
      <w:tr>
        <w:trPr>
          <w:trHeight w:val="248"/>
        </w:trPr>
        <w:tc>
          <w:tcPr>
            <w:tcW w:w="4320" w:type="dxa"/>
            <w:vAlign w:val="bottom"/>
            <w:vMerge w:val="restart"/>
          </w:tcPr>
          <w:p>
            <w:pPr>
              <w:spacing w:after="0"/>
              <w:rPr>
                <w:sz w:val="20"/>
                <w:szCs w:val="20"/>
                <w:color w:val="auto"/>
              </w:rPr>
            </w:pPr>
            <w:r>
              <w:rPr>
                <w:rFonts w:ascii="Arial" w:cs="Arial" w:eastAsia="Arial" w:hAnsi="Arial"/>
                <w:sz w:val="17"/>
                <w:szCs w:val="17"/>
                <w:color w:val="auto"/>
              </w:rPr>
              <w:t>SFI Mammoth Finance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vMerge w:val="restart"/>
          </w:tcPr>
          <w:p>
            <w:pPr>
              <w:ind w:left="540"/>
              <w:spacing w:after="0"/>
              <w:rPr>
                <w:sz w:val="20"/>
                <w:szCs w:val="20"/>
                <w:color w:val="auto"/>
              </w:rPr>
            </w:pPr>
            <w:r>
              <w:rPr>
                <w:rFonts w:ascii="Arial" w:cs="Arial" w:eastAsia="Arial" w:hAnsi="Arial"/>
                <w:sz w:val="17"/>
                <w:szCs w:val="17"/>
                <w:color w:val="auto"/>
              </w:rPr>
              <w:t>900 North Point Street—San Francisco LLC</w:t>
            </w:r>
          </w:p>
        </w:tc>
        <w:tc>
          <w:tcPr>
            <w:tcW w:w="0" w:type="dxa"/>
            <w:vAlign w:val="bottom"/>
          </w:tcPr>
          <w:p>
            <w:pPr>
              <w:spacing w:after="0"/>
              <w:rPr>
                <w:sz w:val="1"/>
                <w:szCs w:val="1"/>
                <w:color w:val="auto"/>
              </w:rPr>
            </w:pPr>
          </w:p>
        </w:tc>
      </w:tr>
      <w:tr>
        <w:trPr>
          <w:trHeight w:val="199"/>
        </w:trPr>
        <w:tc>
          <w:tcPr>
            <w:tcW w:w="432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Mammoth GenPar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Mammoth Owner LP</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Mammoth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Marina Investments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Marina Stuart TRS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Marlin Holdings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iStar REO TRS Inc.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Marquis – Miami TRS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Mortgage Funding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Naples Reserve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Northwest Investor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One Madison Park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Paramount Bay Owner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Pentagon Park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4550-4930 W. 77th Street – Edina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Raintree—Scottsdale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Rittenhouse Statutory Trust</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Shadelands—Walnut Creek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50 Adrian Court—Burlingame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SMR LP</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SMR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SMR GenPar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SOHO TRS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Theater Investments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Transitional—Dixmoor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Valley Plaza – North Hollywood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Waipouli TRS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Waipouli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Warehouse Funding CA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rPr>
              <w:t>SFI East View – Riverside County LLC</w:t>
            </w: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Warehouse Funding NY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Westgate City Center – Glendale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Windsor—Pembroke Pines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SFI Winkel Way LLC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SFT I, Inc.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SFT II, Inc.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SFT/RLH, Inc.</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Pr>
          <w:p>
            <w:pPr>
              <w:spacing w:after="0"/>
              <w:rPr>
                <w:sz w:val="20"/>
                <w:szCs w:val="20"/>
                <w:color w:val="auto"/>
              </w:rPr>
            </w:pPr>
            <w:r>
              <w:rPr>
                <w:rFonts w:ascii="Arial" w:cs="Arial" w:eastAsia="Arial" w:hAnsi="Arial"/>
                <w:sz w:val="17"/>
                <w:szCs w:val="17"/>
                <w:color w:val="auto"/>
              </w:rPr>
              <w:t>Shore Road – Long Beach LP</w:t>
            </w:r>
          </w:p>
        </w:tc>
        <w:tc>
          <w:tcPr>
            <w:tcW w:w="2680" w:type="dxa"/>
            <w:vAlign w:val="bottom"/>
          </w:tcPr>
          <w:p>
            <w:pPr>
              <w:ind w:left="1520"/>
              <w:spacing w:after="0"/>
              <w:rPr>
                <w:sz w:val="20"/>
                <w:szCs w:val="20"/>
                <w:color w:val="auto"/>
              </w:rPr>
            </w:pPr>
            <w:r>
              <w:rPr>
                <w:rFonts w:ascii="Arial" w:cs="Arial" w:eastAsia="Arial" w:hAnsi="Arial"/>
                <w:sz w:val="17"/>
                <w:szCs w:val="17"/>
                <w:color w:val="auto"/>
              </w:rPr>
              <w:t>Delaware</w:t>
            </w:r>
          </w:p>
        </w:tc>
        <w:tc>
          <w:tcPr>
            <w:tcW w:w="4080" w:type="dxa"/>
            <w:vAlign w:val="bottom"/>
          </w:tcPr>
          <w:p>
            <w:pPr>
              <w:ind w:left="540"/>
              <w:spacing w:after="0"/>
              <w:rPr>
                <w:sz w:val="20"/>
                <w:szCs w:val="20"/>
                <w:color w:val="auto"/>
              </w:rPr>
            </w:pPr>
            <w:r>
              <w:rPr>
                <w:rFonts w:ascii="Arial" w:cs="Arial" w:eastAsia="Arial" w:hAnsi="Arial"/>
                <w:sz w:val="17"/>
                <w:szCs w:val="17"/>
                <w:color w:val="auto"/>
                <w:w w:val="96"/>
              </w:rPr>
              <w:t>Shore Road – Long Beach Superblock TRS LLC</w:t>
            </w:r>
          </w:p>
        </w:tc>
        <w:tc>
          <w:tcPr>
            <w:tcW w:w="0" w:type="dxa"/>
            <w:vAlign w:val="bottom"/>
          </w:tcPr>
          <w:p>
            <w:pPr>
              <w:spacing w:after="0"/>
              <w:rPr>
                <w:sz w:val="1"/>
                <w:szCs w:val="1"/>
                <w:color w:val="auto"/>
              </w:rPr>
            </w:pPr>
          </w:p>
        </w:tc>
      </w:tr>
    </w:tbl>
    <w:p>
      <w:pPr>
        <w:sectPr>
          <w:pgSz w:w="11900" w:h="16868" w:orient="portrait"/>
          <w:cols w:equalWidth="0" w:num="1">
            <w:col w:w="11080"/>
          </w:cols>
          <w:pgMar w:left="260" w:top="127" w:right="559" w:bottom="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20"/>
                <w:szCs w:val="20"/>
                <w:color w:val="auto"/>
              </w:rPr>
            </w:pPr>
            <w:r>
              <w:rPr>
                <w:rFonts w:ascii="Arial" w:cs="Arial" w:eastAsia="Arial" w:hAnsi="Arial"/>
                <w:sz w:val="17"/>
                <w:szCs w:val="17"/>
                <w:color w:val="auto"/>
              </w:rPr>
              <w:t>SFI Shore Road GenPar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18"/>
                <w:szCs w:val="18"/>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Shore Road—Long Beach Superblock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Spring Mountain Ranch REO LLC</w:t>
            </w:r>
          </w:p>
        </w:tc>
        <w:tc>
          <w:tcPr>
            <w:tcW w:w="2200" w:type="dxa"/>
            <w:vAlign w:val="bottom"/>
          </w:tcPr>
          <w:p>
            <w:pPr>
              <w:ind w:left="960"/>
              <w:spacing w:after="0"/>
              <w:rPr>
                <w:sz w:val="20"/>
                <w:szCs w:val="20"/>
                <w:color w:val="auto"/>
              </w:rPr>
            </w:pPr>
            <w:r>
              <w:rPr>
                <w:rFonts w:ascii="Arial" w:cs="Arial" w:eastAsia="Arial" w:hAnsi="Arial"/>
                <w:sz w:val="17"/>
                <w:szCs w:val="17"/>
                <w:color w:val="auto"/>
              </w:rPr>
              <w:t>New Jersey</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State Road 710—Indiantown TRS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State Road 710—Indiantown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Stone Pony Partners,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Talking Partners, LLC</w:t>
            </w:r>
          </w:p>
        </w:tc>
        <w:tc>
          <w:tcPr>
            <w:tcW w:w="2200" w:type="dxa"/>
            <w:vAlign w:val="bottom"/>
          </w:tcPr>
          <w:p>
            <w:pPr>
              <w:ind w:left="960"/>
              <w:spacing w:after="0"/>
              <w:rPr>
                <w:sz w:val="20"/>
                <w:szCs w:val="20"/>
                <w:color w:val="auto"/>
              </w:rPr>
            </w:pPr>
            <w:r>
              <w:rPr>
                <w:rFonts w:ascii="Arial" w:cs="Arial" w:eastAsia="Arial" w:hAnsi="Arial"/>
                <w:sz w:val="17"/>
                <w:szCs w:val="17"/>
                <w:color w:val="auto"/>
              </w:rPr>
              <w:t>New Jersey</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TimberStar Investors Partnership LLP</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TimberStar Operating Partnership, L.P.</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TimberStar Selling Party Representative Holdco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TimberStar Southwest Investor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TimberStar TRS II, Inc.</w:t>
            </w:r>
          </w:p>
        </w:tc>
        <w:tc>
          <w:tcPr>
            <w:tcW w:w="2200" w:type="dxa"/>
            <w:vAlign w:val="bottom"/>
          </w:tcPr>
          <w:p>
            <w:pPr>
              <w:ind w:left="960"/>
              <w:spacing w:after="0"/>
              <w:rPr>
                <w:sz w:val="20"/>
                <w:szCs w:val="20"/>
                <w:color w:val="auto"/>
              </w:rPr>
            </w:pPr>
            <w:r>
              <w:rPr>
                <w:rFonts w:ascii="Arial" w:cs="Arial" w:eastAsia="Arial" w:hAnsi="Arial"/>
                <w:sz w:val="17"/>
                <w:szCs w:val="17"/>
                <w:color w:val="auto"/>
              </w:rPr>
              <w:t>Maryland</w:t>
            </w:r>
          </w:p>
        </w:tc>
        <w:tc>
          <w:tcPr>
            <w:tcW w:w="2100" w:type="dxa"/>
            <w:vAlign w:val="bottom"/>
          </w:tcPr>
          <w:p>
            <w:pPr>
              <w:ind w:left="460"/>
              <w:spacing w:after="0"/>
              <w:rPr>
                <w:sz w:val="20"/>
                <w:szCs w:val="20"/>
                <w:color w:val="auto"/>
              </w:rPr>
            </w:pPr>
            <w:r>
              <w:rPr>
                <w:rFonts w:ascii="Arial" w:cs="Arial" w:eastAsia="Arial" w:hAnsi="Arial"/>
                <w:sz w:val="17"/>
                <w:szCs w:val="17"/>
                <w:color w:val="auto"/>
              </w:rPr>
              <w:t>TRS II, Inc.</w:t>
            </w: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TimberStar TRS, Inc.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TimberStar GP LLC</w:t>
            </w:r>
          </w:p>
        </w:tc>
        <w:tc>
          <w:tcPr>
            <w:tcW w:w="2200" w:type="dxa"/>
            <w:vAlign w:val="bottom"/>
          </w:tcPr>
          <w:p>
            <w:pPr>
              <w:ind w:left="960"/>
              <w:spacing w:after="0"/>
              <w:rPr>
                <w:sz w:val="20"/>
                <w:szCs w:val="20"/>
                <w:color w:val="auto"/>
              </w:rPr>
            </w:pPr>
            <w:r>
              <w:rPr>
                <w:rFonts w:ascii="Arial" w:cs="Arial" w:eastAsia="Arial" w:hAnsi="Arial"/>
                <w:sz w:val="17"/>
                <w:szCs w:val="17"/>
                <w:color w:val="auto"/>
              </w:rPr>
              <w:t>Maryland</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TriNet Essential Facilities X, Inc.</w:t>
            </w:r>
          </w:p>
        </w:tc>
        <w:tc>
          <w:tcPr>
            <w:tcW w:w="2200" w:type="dxa"/>
            <w:vAlign w:val="bottom"/>
          </w:tcPr>
          <w:p>
            <w:pPr>
              <w:ind w:left="960"/>
              <w:spacing w:after="0"/>
              <w:rPr>
                <w:sz w:val="20"/>
                <w:szCs w:val="20"/>
                <w:color w:val="auto"/>
              </w:rPr>
            </w:pPr>
            <w:r>
              <w:rPr>
                <w:rFonts w:ascii="Arial" w:cs="Arial" w:eastAsia="Arial" w:hAnsi="Arial"/>
                <w:sz w:val="17"/>
                <w:szCs w:val="17"/>
                <w:color w:val="auto"/>
              </w:rPr>
              <w:t>Maryland</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TriNet Essential Facilities XX, Inc…………………………</w:t>
            </w:r>
          </w:p>
        </w:tc>
        <w:tc>
          <w:tcPr>
            <w:tcW w:w="2200" w:type="dxa"/>
            <w:vAlign w:val="bottom"/>
          </w:tcPr>
          <w:p>
            <w:pPr>
              <w:ind w:left="960"/>
              <w:spacing w:after="0"/>
              <w:rPr>
                <w:sz w:val="20"/>
                <w:szCs w:val="20"/>
                <w:color w:val="auto"/>
              </w:rPr>
            </w:pPr>
            <w:r>
              <w:rPr>
                <w:rFonts w:ascii="Arial" w:cs="Arial" w:eastAsia="Arial" w:hAnsi="Arial"/>
                <w:sz w:val="17"/>
                <w:szCs w:val="17"/>
                <w:color w:val="auto"/>
              </w:rPr>
              <w:t>Maryland</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TriNet Essential Facilities XXIII, Inc.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TriNet Essential Facilities XXVI, Inc.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TriNet Essential Facilities XXVII, Inc.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TriNet Sunnyvale Partners, L.P.</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ind w:left="460"/>
              <w:spacing w:after="0"/>
              <w:rPr>
                <w:sz w:val="20"/>
                <w:szCs w:val="20"/>
                <w:color w:val="auto"/>
              </w:rPr>
            </w:pPr>
            <w:r>
              <w:rPr>
                <w:rFonts w:ascii="Arial" w:cs="Arial" w:eastAsia="Arial" w:hAnsi="Arial"/>
                <w:sz w:val="17"/>
                <w:szCs w:val="17"/>
                <w:color w:val="auto"/>
                <w:w w:val="86"/>
              </w:rPr>
              <w:t>Sunnyvale Partners, L.P.</w:t>
            </w: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TSM I,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TSM II,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Under Bear, LLC</w:t>
            </w:r>
          </w:p>
        </w:tc>
        <w:tc>
          <w:tcPr>
            <w:tcW w:w="22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2100" w:type="dxa"/>
            <w:vAlign w:val="bottom"/>
          </w:tcPr>
          <w:p>
            <w:pPr>
              <w:spacing w:after="0"/>
              <w:rPr>
                <w:sz w:val="21"/>
                <w:szCs w:val="21"/>
                <w:color w:val="auto"/>
              </w:rPr>
            </w:pPr>
          </w:p>
        </w:tc>
      </w:tr>
      <w:tr>
        <w:trPr>
          <w:trHeight w:val="248"/>
        </w:trPr>
        <w:tc>
          <w:tcPr>
            <w:tcW w:w="4880" w:type="dxa"/>
            <w:vAlign w:val="bottom"/>
          </w:tcPr>
          <w:p>
            <w:pPr>
              <w:spacing w:after="0"/>
              <w:rPr>
                <w:sz w:val="20"/>
                <w:szCs w:val="20"/>
                <w:color w:val="auto"/>
              </w:rPr>
            </w:pPr>
            <w:r>
              <w:rPr>
                <w:rFonts w:ascii="Arial" w:cs="Arial" w:eastAsia="Arial" w:hAnsi="Arial"/>
                <w:sz w:val="17"/>
                <w:szCs w:val="17"/>
                <w:color w:val="auto"/>
              </w:rPr>
              <w:t>Vector Urban Renewal Associates I, L.P.</w:t>
            </w:r>
          </w:p>
        </w:tc>
        <w:tc>
          <w:tcPr>
            <w:tcW w:w="2200" w:type="dxa"/>
            <w:vAlign w:val="bottom"/>
          </w:tcPr>
          <w:p>
            <w:pPr>
              <w:ind w:left="960"/>
              <w:spacing w:after="0"/>
              <w:rPr>
                <w:sz w:val="20"/>
                <w:szCs w:val="20"/>
                <w:color w:val="auto"/>
              </w:rPr>
            </w:pPr>
            <w:r>
              <w:rPr>
                <w:rFonts w:ascii="Arial" w:cs="Arial" w:eastAsia="Arial" w:hAnsi="Arial"/>
                <w:sz w:val="17"/>
                <w:szCs w:val="17"/>
                <w:color w:val="auto"/>
              </w:rPr>
              <w:t>New Jersey</w:t>
            </w:r>
          </w:p>
        </w:tc>
        <w:tc>
          <w:tcPr>
            <w:tcW w:w="2100" w:type="dxa"/>
            <w:vAlign w:val="bottom"/>
          </w:tcPr>
          <w:p>
            <w:pPr>
              <w:spacing w:after="0"/>
              <w:rPr>
                <w:sz w:val="21"/>
                <w:szCs w:val="21"/>
                <w:color w:val="auto"/>
              </w:rPr>
            </w:pPr>
          </w:p>
        </w:tc>
      </w:tr>
    </w:tbl>
    <w:p>
      <w:pPr>
        <w:sectPr>
          <w:pgSz w:w="11900" w:h="16838" w:orient="portrait"/>
          <w:cols w:equalWidth="0" w:num="1">
            <w:col w:w="10199"/>
          </w:cols>
          <w:pgMar w:left="260" w:top="139"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397" w:lineRule="exact"/>
        <w:rPr>
          <w:sz w:val="20"/>
          <w:szCs w:val="20"/>
          <w:color w:val="auto"/>
        </w:rPr>
      </w:pPr>
    </w:p>
    <w:p>
      <w:pPr>
        <w:jc w:val="both"/>
        <w:ind w:firstLine="372"/>
        <w:spacing w:after="0" w:line="202" w:lineRule="exact"/>
        <w:rPr>
          <w:sz w:val="20"/>
          <w:szCs w:val="20"/>
          <w:color w:val="auto"/>
        </w:rPr>
      </w:pPr>
      <w:r>
        <w:rPr>
          <w:rFonts w:ascii="Arial" w:cs="Arial" w:eastAsia="Arial" w:hAnsi="Arial"/>
          <w:sz w:val="17"/>
          <w:szCs w:val="17"/>
          <w:color w:val="auto"/>
        </w:rPr>
        <w:t>We hereby consent to the incorporation by reference in the Registration Statements on Form S-3 (No. 333-181470) and Form S-8 (No. 333-183465) of iStar Financial Inc. of our report dated March 1, 2013 relating to the financial statements, financial statement schedules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March 1, 2013</w:t>
      </w:r>
    </w:p>
    <w:p>
      <w:pPr>
        <w:sectPr>
          <w:pgSz w:w="11900" w:h="16838" w:orient="portrait"/>
          <w:cols w:equalWidth="0" w:num="1">
            <w:col w:w="11420"/>
          </w:cols>
          <w:pgMar w:left="240" w:top="1103"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31.0</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 Jay Sugarman, certify that:</w:t>
      </w:r>
    </w:p>
    <w:p>
      <w:pPr>
        <w:spacing w:after="0" w:line="152" w:lineRule="exact"/>
        <w:rPr>
          <w:sz w:val="20"/>
          <w:szCs w:val="20"/>
          <w:color w:val="auto"/>
        </w:rPr>
      </w:pPr>
    </w:p>
    <w:p>
      <w:pPr>
        <w:ind w:left="460" w:hanging="163"/>
        <w:spacing w:after="0"/>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iStar Financial Inc.;</w:t>
      </w:r>
    </w:p>
    <w:p>
      <w:pPr>
        <w:spacing w:after="0" w:line="152" w:lineRule="exact"/>
        <w:rPr>
          <w:rFonts w:ascii="Arial" w:cs="Arial" w:eastAsia="Arial" w:hAnsi="Arial"/>
          <w:sz w:val="17"/>
          <w:szCs w:val="17"/>
          <w:color w:val="auto"/>
        </w:rPr>
      </w:pPr>
    </w:p>
    <w:p>
      <w:pPr>
        <w:ind w:right="160" w:firstLine="297"/>
        <w:spacing w:after="0" w:line="292" w:lineRule="auto"/>
        <w:tabs>
          <w:tab w:leader="none" w:pos="4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6"/>
          <w:szCs w:val="16"/>
          <w:color w:val="auto"/>
        </w:rPr>
      </w:pPr>
    </w:p>
    <w:p>
      <w:pPr>
        <w:ind w:right="680" w:firstLine="297"/>
        <w:spacing w:after="0" w:line="260" w:lineRule="auto"/>
        <w:tabs>
          <w:tab w:leader="none" w:pos="463"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460" w:hanging="163"/>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52" w:lineRule="exact"/>
        <w:rPr>
          <w:rFonts w:ascii="Arial" w:cs="Arial" w:eastAsia="Arial" w:hAnsi="Arial"/>
          <w:sz w:val="14"/>
          <w:szCs w:val="14"/>
          <w:color w:val="auto"/>
        </w:rPr>
      </w:pPr>
    </w:p>
    <w:p>
      <w:pPr>
        <w:ind w:left="300" w:right="40" w:firstLine="295"/>
        <w:spacing w:after="0" w:line="252" w:lineRule="auto"/>
        <w:tabs>
          <w:tab w:leader="none" w:pos="823"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7"/>
          <w:szCs w:val="17"/>
          <w:color w:val="auto"/>
        </w:rPr>
      </w:pPr>
    </w:p>
    <w:p>
      <w:pPr>
        <w:ind w:left="300" w:firstLine="295"/>
        <w:spacing w:after="0" w:line="252" w:lineRule="auto"/>
        <w:tabs>
          <w:tab w:leader="none" w:pos="832"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7"/>
          <w:szCs w:val="17"/>
          <w:color w:val="auto"/>
        </w:rPr>
      </w:pPr>
    </w:p>
    <w:p>
      <w:pPr>
        <w:ind w:left="300" w:right="380" w:firstLine="295"/>
        <w:spacing w:after="0" w:line="260" w:lineRule="auto"/>
        <w:tabs>
          <w:tab w:leader="none" w:pos="823"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7"/>
          <w:szCs w:val="17"/>
          <w:color w:val="auto"/>
        </w:rPr>
      </w:pPr>
    </w:p>
    <w:p>
      <w:pPr>
        <w:ind w:left="300" w:right="20" w:firstLine="295"/>
        <w:spacing w:after="0" w:line="252" w:lineRule="auto"/>
        <w:tabs>
          <w:tab w:leader="none" w:pos="832"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7"/>
          <w:szCs w:val="17"/>
          <w:color w:val="auto"/>
        </w:rPr>
      </w:pPr>
    </w:p>
    <w:p>
      <w:pPr>
        <w:ind w:right="480" w:firstLine="297"/>
        <w:spacing w:after="0" w:line="260" w:lineRule="auto"/>
        <w:tabs>
          <w:tab w:leader="none" w:pos="46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7"/>
          <w:szCs w:val="17"/>
          <w:color w:val="auto"/>
        </w:rPr>
      </w:pPr>
    </w:p>
    <w:p>
      <w:pPr>
        <w:ind w:left="300" w:right="540" w:firstLine="295"/>
        <w:spacing w:after="0" w:line="260" w:lineRule="auto"/>
        <w:tabs>
          <w:tab w:leader="none" w:pos="823"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7"/>
          <w:szCs w:val="17"/>
          <w:color w:val="auto"/>
        </w:rPr>
      </w:pPr>
    </w:p>
    <w:p>
      <w:pPr>
        <w:ind w:left="300" w:right="140" w:firstLine="295"/>
        <w:spacing w:after="0" w:line="260" w:lineRule="auto"/>
        <w:tabs>
          <w:tab w:leader="none" w:pos="832"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640" w:type="dxa"/>
            <w:vAlign w:val="bottom"/>
          </w:tcPr>
          <w:p>
            <w:pPr>
              <w:spacing w:after="0"/>
              <w:rPr>
                <w:sz w:val="20"/>
                <w:szCs w:val="20"/>
                <w:color w:val="auto"/>
              </w:rPr>
            </w:pPr>
            <w:r>
              <w:rPr>
                <w:rFonts w:ascii="Arial" w:cs="Arial" w:eastAsia="Arial" w:hAnsi="Arial"/>
                <w:sz w:val="17"/>
                <w:szCs w:val="17"/>
                <w:color w:val="auto"/>
              </w:rPr>
              <w:t>Date:   March 1, 2013</w:t>
            </w:r>
          </w:p>
        </w:tc>
        <w:tc>
          <w:tcPr>
            <w:tcW w:w="7760" w:type="dxa"/>
            <w:vAlign w:val="bottom"/>
            <w:gridSpan w:val="3"/>
          </w:tcPr>
          <w:p>
            <w:pPr>
              <w:ind w:left="2100"/>
              <w:spacing w:after="0"/>
              <w:rPr>
                <w:sz w:val="20"/>
                <w:szCs w:val="20"/>
                <w:color w:val="auto"/>
              </w:rPr>
            </w:pPr>
            <w:r>
              <w:rPr>
                <w:rFonts w:ascii="Arial" w:cs="Arial" w:eastAsia="Arial" w:hAnsi="Arial"/>
                <w:sz w:val="17"/>
                <w:szCs w:val="17"/>
                <w:color w:val="auto"/>
                <w:w w:val="94"/>
              </w:rPr>
              <w:t>By:/s/ JAY SUGARMAN</w:t>
            </w:r>
          </w:p>
        </w:tc>
      </w:tr>
      <w:tr>
        <w:trPr>
          <w:trHeight w:val="26"/>
        </w:trPr>
        <w:tc>
          <w:tcPr>
            <w:tcW w:w="3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14"/>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Name:</w:t>
            </w:r>
          </w:p>
        </w:tc>
        <w:tc>
          <w:tcPr>
            <w:tcW w:w="4420" w:type="dxa"/>
            <w:vAlign w:val="bottom"/>
          </w:tcPr>
          <w:p>
            <w:pPr>
              <w:ind w:left="240"/>
              <w:spacing w:after="0"/>
              <w:rPr>
                <w:sz w:val="20"/>
                <w:szCs w:val="20"/>
                <w:color w:val="auto"/>
              </w:rPr>
            </w:pPr>
            <w:r>
              <w:rPr>
                <w:rFonts w:ascii="Arial" w:cs="Arial" w:eastAsia="Arial" w:hAnsi="Arial"/>
                <w:sz w:val="17"/>
                <w:szCs w:val="17"/>
                <w:color w:val="auto"/>
              </w:rPr>
              <w:t>Jay Sugarman</w:t>
            </w:r>
          </w:p>
        </w:tc>
      </w:tr>
      <w:tr>
        <w:trPr>
          <w:trHeight w:val="248"/>
        </w:trPr>
        <w:tc>
          <w:tcPr>
            <w:tcW w:w="36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Title:</w:t>
            </w:r>
          </w:p>
        </w:tc>
        <w:tc>
          <w:tcPr>
            <w:tcW w:w="4420" w:type="dxa"/>
            <w:vAlign w:val="bottom"/>
          </w:tcPr>
          <w:p>
            <w:pPr>
              <w:ind w:left="240"/>
              <w:spacing w:after="0"/>
              <w:rPr>
                <w:sz w:val="20"/>
                <w:szCs w:val="20"/>
                <w:color w:val="auto"/>
              </w:rPr>
            </w:pPr>
            <w:r>
              <w:rPr>
                <w:rFonts w:ascii="Arial" w:cs="Arial" w:eastAsia="Arial" w:hAnsi="Arial"/>
                <w:sz w:val="17"/>
                <w:szCs w:val="17"/>
                <w:i w:val="1"/>
                <w:iCs w:val="1"/>
                <w:color w:val="auto"/>
              </w:rPr>
              <w:t>Chief Executive Officer</w:t>
            </w:r>
          </w:p>
        </w:tc>
      </w:tr>
    </w:tbl>
    <w:p>
      <w:pPr>
        <w:sectPr>
          <w:pgSz w:w="11900" w:h="16838" w:orient="portrait"/>
          <w:cols w:equalWidth="0" w:num="1">
            <w:col w:w="11420"/>
          </w:cols>
          <w:pgMar w:left="240" w:top="197"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7"/>
          <w:szCs w:val="17"/>
          <w:b w:val="1"/>
          <w:bCs w:val="1"/>
          <w:color w:val="auto"/>
        </w:rPr>
        <w:t>CERTIFICATION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 David DiStaso, certify that:</w:t>
      </w:r>
    </w:p>
    <w:p>
      <w:pPr>
        <w:spacing w:after="0" w:line="152" w:lineRule="exact"/>
        <w:rPr>
          <w:sz w:val="20"/>
          <w:szCs w:val="20"/>
          <w:color w:val="auto"/>
        </w:rPr>
      </w:pPr>
    </w:p>
    <w:p>
      <w:pPr>
        <w:ind w:left="460" w:hanging="163"/>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iStar Financial Inc.;</w:t>
      </w:r>
    </w:p>
    <w:p>
      <w:pPr>
        <w:spacing w:after="0" w:line="152" w:lineRule="exact"/>
        <w:rPr>
          <w:rFonts w:ascii="Arial" w:cs="Arial" w:eastAsia="Arial" w:hAnsi="Arial"/>
          <w:sz w:val="17"/>
          <w:szCs w:val="17"/>
          <w:color w:val="auto"/>
        </w:rPr>
      </w:pPr>
    </w:p>
    <w:p>
      <w:pPr>
        <w:ind w:right="160" w:firstLine="297"/>
        <w:spacing w:after="0" w:line="292" w:lineRule="auto"/>
        <w:tabs>
          <w:tab w:leader="none" w:pos="463"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6"/>
          <w:szCs w:val="16"/>
          <w:color w:val="auto"/>
        </w:rPr>
      </w:pPr>
    </w:p>
    <w:p>
      <w:pPr>
        <w:ind w:right="680" w:firstLine="297"/>
        <w:spacing w:after="0" w:line="260" w:lineRule="auto"/>
        <w:tabs>
          <w:tab w:leader="none" w:pos="463"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460" w:hanging="163"/>
        <w:spacing w:after="0"/>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52" w:lineRule="exact"/>
        <w:rPr>
          <w:rFonts w:ascii="Arial" w:cs="Arial" w:eastAsia="Arial" w:hAnsi="Arial"/>
          <w:sz w:val="14"/>
          <w:szCs w:val="14"/>
          <w:color w:val="auto"/>
        </w:rPr>
      </w:pPr>
    </w:p>
    <w:p>
      <w:pPr>
        <w:ind w:left="300" w:right="40" w:firstLine="295"/>
        <w:spacing w:after="0" w:line="252" w:lineRule="auto"/>
        <w:tabs>
          <w:tab w:leader="none" w:pos="823"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7"/>
          <w:szCs w:val="17"/>
          <w:color w:val="auto"/>
        </w:rPr>
      </w:pPr>
    </w:p>
    <w:p>
      <w:pPr>
        <w:ind w:left="300" w:firstLine="295"/>
        <w:spacing w:after="0" w:line="252" w:lineRule="auto"/>
        <w:tabs>
          <w:tab w:leader="none" w:pos="832"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7"/>
          <w:szCs w:val="17"/>
          <w:color w:val="auto"/>
        </w:rPr>
      </w:pPr>
    </w:p>
    <w:p>
      <w:pPr>
        <w:ind w:left="300" w:right="380" w:firstLine="295"/>
        <w:spacing w:after="0" w:line="260" w:lineRule="auto"/>
        <w:tabs>
          <w:tab w:leader="none" w:pos="823"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7"/>
          <w:szCs w:val="17"/>
          <w:color w:val="auto"/>
        </w:rPr>
      </w:pPr>
    </w:p>
    <w:p>
      <w:pPr>
        <w:ind w:left="300" w:right="20" w:firstLine="295"/>
        <w:spacing w:after="0" w:line="252" w:lineRule="auto"/>
        <w:tabs>
          <w:tab w:leader="none" w:pos="832"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7"/>
          <w:szCs w:val="17"/>
          <w:color w:val="auto"/>
        </w:rPr>
      </w:pPr>
    </w:p>
    <w:p>
      <w:pPr>
        <w:ind w:right="480" w:firstLine="297"/>
        <w:spacing w:after="0" w:line="260" w:lineRule="auto"/>
        <w:tabs>
          <w:tab w:leader="none" w:pos="46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7"/>
          <w:szCs w:val="17"/>
          <w:color w:val="auto"/>
        </w:rPr>
      </w:pPr>
    </w:p>
    <w:p>
      <w:pPr>
        <w:ind w:left="300" w:right="540" w:firstLine="295"/>
        <w:spacing w:after="0" w:line="260" w:lineRule="auto"/>
        <w:tabs>
          <w:tab w:leader="none" w:pos="823"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7"/>
          <w:szCs w:val="17"/>
          <w:color w:val="auto"/>
        </w:rPr>
      </w:pPr>
    </w:p>
    <w:p>
      <w:pPr>
        <w:ind w:left="300" w:right="140" w:firstLine="295"/>
        <w:spacing w:after="0" w:line="260" w:lineRule="auto"/>
        <w:tabs>
          <w:tab w:leader="none" w:pos="832"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980" w:type="dxa"/>
            <w:vAlign w:val="bottom"/>
          </w:tcPr>
          <w:p>
            <w:pPr>
              <w:spacing w:after="0"/>
              <w:rPr>
                <w:sz w:val="20"/>
                <w:szCs w:val="20"/>
                <w:color w:val="auto"/>
              </w:rPr>
            </w:pPr>
            <w:r>
              <w:rPr>
                <w:rFonts w:ascii="Arial" w:cs="Arial" w:eastAsia="Arial" w:hAnsi="Arial"/>
                <w:sz w:val="17"/>
                <w:szCs w:val="17"/>
                <w:color w:val="auto"/>
              </w:rPr>
              <w:t>Date:   March 1, 2013</w:t>
            </w:r>
          </w:p>
        </w:tc>
        <w:tc>
          <w:tcPr>
            <w:tcW w:w="1960" w:type="dxa"/>
            <w:vAlign w:val="bottom"/>
          </w:tcPr>
          <w:p>
            <w:pPr>
              <w:ind w:left="1380"/>
              <w:spacing w:after="0"/>
              <w:rPr>
                <w:sz w:val="20"/>
                <w:szCs w:val="20"/>
                <w:color w:val="auto"/>
              </w:rPr>
            </w:pPr>
            <w:r>
              <w:rPr>
                <w:rFonts w:ascii="Arial" w:cs="Arial" w:eastAsia="Arial" w:hAnsi="Arial"/>
                <w:sz w:val="17"/>
                <w:szCs w:val="17"/>
                <w:color w:val="auto"/>
              </w:rPr>
              <w:t>By:</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/s/ DAVID M. DISTASO</w:t>
            </w:r>
          </w:p>
        </w:tc>
      </w:tr>
      <w:tr>
        <w:trPr>
          <w:trHeight w:val="26"/>
        </w:trPr>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Name:</w:t>
            </w:r>
          </w:p>
        </w:tc>
        <w:tc>
          <w:tcPr>
            <w:tcW w:w="4440" w:type="dxa"/>
            <w:vAlign w:val="bottom"/>
          </w:tcPr>
          <w:p>
            <w:pPr>
              <w:ind w:left="240"/>
              <w:spacing w:after="0"/>
              <w:rPr>
                <w:sz w:val="20"/>
                <w:szCs w:val="20"/>
                <w:color w:val="auto"/>
              </w:rPr>
            </w:pPr>
            <w:r>
              <w:rPr>
                <w:rFonts w:ascii="Arial" w:cs="Arial" w:eastAsia="Arial" w:hAnsi="Arial"/>
                <w:sz w:val="17"/>
                <w:szCs w:val="17"/>
                <w:color w:val="auto"/>
              </w:rPr>
              <w:t>David M. DiStaso</w:t>
            </w:r>
          </w:p>
        </w:tc>
      </w:tr>
      <w:tr>
        <w:trPr>
          <w:trHeight w:val="152"/>
        </w:trPr>
        <w:tc>
          <w:tcPr>
            <w:tcW w:w="2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40" w:type="dxa"/>
            <w:vAlign w:val="bottom"/>
          </w:tcPr>
          <w:p>
            <w:pPr>
              <w:ind w:left="240"/>
              <w:spacing w:after="0" w:line="152" w:lineRule="exact"/>
              <w:rPr>
                <w:sz w:val="20"/>
                <w:szCs w:val="20"/>
                <w:color w:val="auto"/>
              </w:rPr>
            </w:pPr>
            <w:r>
              <w:rPr>
                <w:rFonts w:ascii="Arial" w:cs="Arial" w:eastAsia="Arial" w:hAnsi="Arial"/>
                <w:sz w:val="17"/>
                <w:szCs w:val="17"/>
                <w:i w:val="1"/>
                <w:iCs w:val="1"/>
                <w:color w:val="auto"/>
              </w:rPr>
              <w:t>Chief Financial Officer (principal</w:t>
            </w:r>
          </w:p>
        </w:tc>
      </w:tr>
    </w:tbl>
    <w:p>
      <w:pPr>
        <w:spacing w:after="0" w:line="1" w:lineRule="exact"/>
        <w:rPr>
          <w:sz w:val="20"/>
          <w:szCs w:val="20"/>
          <w:color w:val="auto"/>
        </w:rPr>
      </w:pPr>
    </w:p>
    <w:tbl>
      <w:tblPr>
        <w:tblLayout w:type="fixed"/>
        <w:tblInd w:w="4980" w:type="dxa"/>
        <w:tblCellMar>
          <w:top w:w="0" w:type="dxa"/>
          <w:left w:w="0" w:type="dxa"/>
          <w:bottom w:w="0" w:type="dxa"/>
          <w:right w:w="0" w:type="dxa"/>
        </w:tblCellMar>
      </w:tblPr>
      <w:tr>
        <w:trPr>
          <w:trHeight w:val="209"/>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2460" w:type="dxa"/>
            <w:vAlign w:val="bottom"/>
            <w:vMerge w:val="restart"/>
          </w:tcPr>
          <w:p>
            <w:pPr>
              <w:ind w:left="280"/>
              <w:spacing w:after="0"/>
              <w:rPr>
                <w:sz w:val="20"/>
                <w:szCs w:val="20"/>
                <w:color w:val="auto"/>
              </w:rPr>
            </w:pPr>
            <w:r>
              <w:rPr>
                <w:rFonts w:ascii="Arial" w:cs="Arial" w:eastAsia="Arial" w:hAnsi="Arial"/>
                <w:sz w:val="17"/>
                <w:szCs w:val="17"/>
                <w:i w:val="1"/>
                <w:iCs w:val="1"/>
                <w:color w:val="auto"/>
                <w:w w:val="90"/>
              </w:rPr>
              <w:t>financial and accounting officer)</w:t>
            </w:r>
          </w:p>
        </w:tc>
        <w:tc>
          <w:tcPr>
            <w:tcW w:w="0" w:type="dxa"/>
            <w:vAlign w:val="bottom"/>
          </w:tcPr>
          <w:p>
            <w:pPr>
              <w:spacing w:after="0"/>
              <w:rPr>
                <w:sz w:val="1"/>
                <w:szCs w:val="1"/>
                <w:color w:val="auto"/>
              </w:rPr>
            </w:pPr>
          </w:p>
        </w:tc>
      </w:tr>
      <w:tr>
        <w:trPr>
          <w:trHeight w:val="85"/>
        </w:trPr>
        <w:tc>
          <w:tcPr>
            <w:tcW w:w="64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9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32.0</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56" w:lineRule="exact"/>
        <w:rPr>
          <w:sz w:val="20"/>
          <w:szCs w:val="20"/>
          <w:color w:val="auto"/>
        </w:rPr>
      </w:pPr>
    </w:p>
    <w:p>
      <w:pPr>
        <w:ind w:right="280" w:firstLine="298"/>
        <w:spacing w:after="0" w:line="320" w:lineRule="auto"/>
        <w:rPr>
          <w:sz w:val="20"/>
          <w:szCs w:val="20"/>
          <w:color w:val="auto"/>
        </w:rPr>
      </w:pPr>
      <w:r>
        <w:rPr>
          <w:rFonts w:ascii="Arial" w:cs="Arial" w:eastAsia="Arial" w:hAnsi="Arial"/>
          <w:sz w:val="14"/>
          <w:szCs w:val="14"/>
          <w:color w:val="auto"/>
        </w:rPr>
        <w:t>The undersigned, the Chief Executive Officer of iStar Financial Inc. (the "Company"), hereby certifies on the date hereof, pursuant to 18 U.S.C. 1350, as adopted pursuant to Section 906 of The Sarbanes-Oxley Act of 2002, that the Annual Report on Form 10-K for the year ended December 31, 2012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640" w:type="dxa"/>
            <w:vAlign w:val="bottom"/>
          </w:tcPr>
          <w:p>
            <w:pPr>
              <w:spacing w:after="0"/>
              <w:rPr>
                <w:sz w:val="20"/>
                <w:szCs w:val="20"/>
                <w:color w:val="auto"/>
              </w:rPr>
            </w:pPr>
            <w:r>
              <w:rPr>
                <w:rFonts w:ascii="Arial" w:cs="Arial" w:eastAsia="Arial" w:hAnsi="Arial"/>
                <w:sz w:val="17"/>
                <w:szCs w:val="17"/>
                <w:color w:val="auto"/>
              </w:rPr>
              <w:t>Date:   March 1, 2013</w:t>
            </w:r>
          </w:p>
        </w:tc>
        <w:tc>
          <w:tcPr>
            <w:tcW w:w="7760" w:type="dxa"/>
            <w:vAlign w:val="bottom"/>
            <w:gridSpan w:val="3"/>
          </w:tcPr>
          <w:p>
            <w:pPr>
              <w:ind w:left="2100"/>
              <w:spacing w:after="0"/>
              <w:rPr>
                <w:sz w:val="20"/>
                <w:szCs w:val="20"/>
                <w:color w:val="auto"/>
              </w:rPr>
            </w:pPr>
            <w:r>
              <w:rPr>
                <w:rFonts w:ascii="Arial" w:cs="Arial" w:eastAsia="Arial" w:hAnsi="Arial"/>
                <w:sz w:val="17"/>
                <w:szCs w:val="17"/>
                <w:color w:val="auto"/>
                <w:w w:val="94"/>
              </w:rPr>
              <w:t>By:/s/ JAY SUGARMAN</w:t>
            </w:r>
          </w:p>
        </w:tc>
      </w:tr>
      <w:tr>
        <w:trPr>
          <w:trHeight w:val="26"/>
        </w:trPr>
        <w:tc>
          <w:tcPr>
            <w:tcW w:w="3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14"/>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Name:</w:t>
            </w:r>
          </w:p>
        </w:tc>
        <w:tc>
          <w:tcPr>
            <w:tcW w:w="4420" w:type="dxa"/>
            <w:vAlign w:val="bottom"/>
          </w:tcPr>
          <w:p>
            <w:pPr>
              <w:ind w:left="240"/>
              <w:spacing w:after="0"/>
              <w:rPr>
                <w:sz w:val="20"/>
                <w:szCs w:val="20"/>
                <w:color w:val="auto"/>
              </w:rPr>
            </w:pPr>
            <w:r>
              <w:rPr>
                <w:rFonts w:ascii="Arial" w:cs="Arial" w:eastAsia="Arial" w:hAnsi="Arial"/>
                <w:sz w:val="17"/>
                <w:szCs w:val="17"/>
                <w:color w:val="auto"/>
              </w:rPr>
              <w:t>Jay Sugarman</w:t>
            </w:r>
          </w:p>
        </w:tc>
      </w:tr>
      <w:tr>
        <w:trPr>
          <w:trHeight w:val="248"/>
        </w:trPr>
        <w:tc>
          <w:tcPr>
            <w:tcW w:w="36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Title:</w:t>
            </w:r>
          </w:p>
        </w:tc>
        <w:tc>
          <w:tcPr>
            <w:tcW w:w="4420" w:type="dxa"/>
            <w:vAlign w:val="bottom"/>
          </w:tcPr>
          <w:p>
            <w:pPr>
              <w:ind w:left="240"/>
              <w:spacing w:after="0"/>
              <w:rPr>
                <w:sz w:val="20"/>
                <w:szCs w:val="20"/>
                <w:color w:val="auto"/>
              </w:rPr>
            </w:pPr>
            <w:r>
              <w:rPr>
                <w:rFonts w:ascii="Arial" w:cs="Arial" w:eastAsia="Arial" w:hAnsi="Arial"/>
                <w:sz w:val="17"/>
                <w:szCs w:val="17"/>
                <w:i w:val="1"/>
                <w:iCs w:val="1"/>
                <w:color w:val="auto"/>
              </w:rPr>
              <w:t>Chief Executive Officer</w:t>
            </w:r>
          </w:p>
        </w:tc>
      </w:tr>
    </w:tbl>
    <w:p>
      <w:pPr>
        <w:sectPr>
          <w:pgSz w:w="11900" w:h="16838" w:orient="portrait"/>
          <w:cols w:equalWidth="0" w:num="1">
            <w:col w:w="11420"/>
          </w:cols>
          <w:pgMar w:left="240" w:top="197" w:right="239" w:bottom="1440" w:gutter="0" w:footer="0" w:header="0"/>
        </w:sectPr>
      </w:pPr>
    </w:p>
    <w:bookmarkStart w:id="135" w:name="page136"/>
    <w:bookmarkEnd w:id="135"/>
    <w:p>
      <w:pPr>
        <w:jc w:val="center"/>
        <w:ind w:right="-29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152"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56" w:lineRule="exact"/>
        <w:rPr>
          <w:sz w:val="20"/>
          <w:szCs w:val="20"/>
          <w:color w:val="auto"/>
        </w:rPr>
      </w:pPr>
    </w:p>
    <w:p>
      <w:pPr>
        <w:ind w:firstLine="298"/>
        <w:spacing w:after="0" w:line="320" w:lineRule="auto"/>
        <w:rPr>
          <w:sz w:val="20"/>
          <w:szCs w:val="20"/>
          <w:color w:val="auto"/>
        </w:rPr>
      </w:pPr>
      <w:r>
        <w:rPr>
          <w:rFonts w:ascii="Arial" w:cs="Arial" w:eastAsia="Arial" w:hAnsi="Arial"/>
          <w:sz w:val="14"/>
          <w:szCs w:val="14"/>
          <w:color w:val="auto"/>
        </w:rPr>
        <w:t>The undersigned, the principal financial officer of iStar Financial Inc. (the "Company"), hereby certifies on the date hereof, pursuant to 18 U.S.C. 1350, as adopted pursuant to Section 906 of The Sarbanes-Oxley Act of 2002, that the Annual Report on Form 10-K for the year ended December 31, 2012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980" w:type="dxa"/>
            <w:vAlign w:val="bottom"/>
          </w:tcPr>
          <w:p>
            <w:pPr>
              <w:spacing w:after="0"/>
              <w:rPr>
                <w:sz w:val="20"/>
                <w:szCs w:val="20"/>
                <w:color w:val="auto"/>
              </w:rPr>
            </w:pPr>
            <w:r>
              <w:rPr>
                <w:rFonts w:ascii="Arial" w:cs="Arial" w:eastAsia="Arial" w:hAnsi="Arial"/>
                <w:sz w:val="17"/>
                <w:szCs w:val="17"/>
                <w:color w:val="auto"/>
              </w:rPr>
              <w:t>Date:   March 1, 2013</w:t>
            </w:r>
          </w:p>
        </w:tc>
        <w:tc>
          <w:tcPr>
            <w:tcW w:w="1960" w:type="dxa"/>
            <w:vAlign w:val="bottom"/>
          </w:tcPr>
          <w:p>
            <w:pPr>
              <w:ind w:left="1380"/>
              <w:spacing w:after="0"/>
              <w:rPr>
                <w:sz w:val="20"/>
                <w:szCs w:val="20"/>
                <w:color w:val="auto"/>
              </w:rPr>
            </w:pPr>
            <w:r>
              <w:rPr>
                <w:rFonts w:ascii="Arial" w:cs="Arial" w:eastAsia="Arial" w:hAnsi="Arial"/>
                <w:sz w:val="17"/>
                <w:szCs w:val="17"/>
                <w:color w:val="auto"/>
              </w:rPr>
              <w:t>By:</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/s/ DAVID M. DISTASO</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Name:</w:t>
            </w:r>
          </w:p>
        </w:tc>
        <w:tc>
          <w:tcPr>
            <w:tcW w:w="4440" w:type="dxa"/>
            <w:vAlign w:val="bottom"/>
          </w:tcPr>
          <w:p>
            <w:pPr>
              <w:ind w:left="240"/>
              <w:spacing w:after="0"/>
              <w:rPr>
                <w:sz w:val="20"/>
                <w:szCs w:val="20"/>
                <w:color w:val="auto"/>
              </w:rPr>
            </w:pPr>
            <w:r>
              <w:rPr>
                <w:rFonts w:ascii="Arial" w:cs="Arial" w:eastAsia="Arial" w:hAnsi="Arial"/>
                <w:sz w:val="17"/>
                <w:szCs w:val="17"/>
                <w:color w:val="auto"/>
              </w:rPr>
              <w:t>David M. DiStaso</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rPr>
              <w:t>Title:</w:t>
            </w:r>
          </w:p>
        </w:tc>
        <w:tc>
          <w:tcPr>
            <w:tcW w:w="4440" w:type="dxa"/>
            <w:vAlign w:val="bottom"/>
          </w:tcPr>
          <w:p>
            <w:pPr>
              <w:ind w:left="240"/>
              <w:spacing w:after="0"/>
              <w:rPr>
                <w:sz w:val="20"/>
                <w:szCs w:val="20"/>
                <w:color w:val="auto"/>
              </w:rPr>
            </w:pPr>
            <w:r>
              <w:rPr>
                <w:rFonts w:ascii="Arial" w:cs="Arial" w:eastAsia="Arial" w:hAnsi="Arial"/>
                <w:sz w:val="17"/>
                <w:szCs w:val="17"/>
                <w:i w:val="1"/>
                <w:iCs w:val="1"/>
                <w:color w:val="auto"/>
              </w:rPr>
              <w:t>Chief Financial Officer (principal</w:t>
            </w:r>
          </w:p>
        </w:tc>
        <w:tc>
          <w:tcPr>
            <w:tcW w:w="0" w:type="dxa"/>
            <w:vAlign w:val="bottom"/>
          </w:tcPr>
          <w:p>
            <w:pPr>
              <w:spacing w:after="0"/>
              <w:rPr>
                <w:sz w:val="1"/>
                <w:szCs w:val="1"/>
                <w:color w:val="auto"/>
              </w:rPr>
            </w:pPr>
          </w:p>
        </w:tc>
      </w:tr>
      <w:tr>
        <w:trPr>
          <w:trHeight w:val="110"/>
        </w:trPr>
        <w:tc>
          <w:tcPr>
            <w:tcW w:w="29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440" w:type="dxa"/>
            <w:vAlign w:val="bottom"/>
            <w:vMerge w:val="restart"/>
          </w:tcPr>
          <w:p>
            <w:pPr>
              <w:ind w:left="240"/>
              <w:spacing w:after="0"/>
              <w:rPr>
                <w:sz w:val="20"/>
                <w:szCs w:val="20"/>
                <w:color w:val="auto"/>
              </w:rPr>
            </w:pPr>
            <w:r>
              <w:rPr>
                <w:rFonts w:ascii="Arial" w:cs="Arial" w:eastAsia="Arial" w:hAnsi="Arial"/>
                <w:sz w:val="17"/>
                <w:szCs w:val="17"/>
                <w:i w:val="1"/>
                <w:iCs w:val="1"/>
                <w:color w:val="auto"/>
              </w:rPr>
              <w:t>financial and accounting officer)</w:t>
            </w:r>
          </w:p>
        </w:tc>
        <w:tc>
          <w:tcPr>
            <w:tcW w:w="0" w:type="dxa"/>
            <w:vAlign w:val="bottom"/>
          </w:tcPr>
          <w:p>
            <w:pPr>
              <w:spacing w:after="0"/>
              <w:rPr>
                <w:sz w:val="1"/>
                <w:szCs w:val="1"/>
                <w:color w:val="auto"/>
              </w:rPr>
            </w:pPr>
          </w:p>
        </w:tc>
      </w:tr>
      <w:tr>
        <w:trPr>
          <w:trHeight w:val="99"/>
        </w:trPr>
        <w:tc>
          <w:tcPr>
            <w:tcW w:w="29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240" w:top="1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decimal"/>
      <w:start w:val="6"/>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2"/>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3"/>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2"/>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2"/>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100"/>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3"/>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2019-12-06T23:18:46Z</dcterms:created>
  <dcterms:modified xsi:type="dcterms:W3CDTF">2019-12-06T23:18:46Z</dcterms:modified>
</cp:coreProperties>
</file>