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297"/>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18"/>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16"/>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3"/>
                <w:szCs w:val="23"/>
                <w:color w:val="auto"/>
              </w:rPr>
            </w:pPr>
          </w:p>
        </w:tc>
      </w:tr>
      <w:tr>
        <w:trPr>
          <w:trHeight w:val="256"/>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9" w:lineRule="exact"/>
        <w:rPr>
          <w:sz w:val="24"/>
          <w:szCs w:val="24"/>
          <w:color w:val="auto"/>
        </w:rPr>
      </w:pPr>
    </w:p>
    <w:p>
      <w:pPr>
        <w:ind w:left="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hanging="29"/>
        <w:spacing w:after="0" w:line="288" w:lineRule="auto"/>
        <w:rPr>
          <w:sz w:val="20"/>
          <w:szCs w:val="20"/>
          <w:color w:val="auto"/>
        </w:rPr>
      </w:pPr>
      <w:r>
        <w:rPr>
          <w:rFonts w:ascii="Arial" w:cs="Arial" w:eastAsia="Arial" w:hAnsi="Arial"/>
          <w:sz w:val="17"/>
          <w:szCs w:val="17"/>
          <w:color w:val="auto"/>
        </w:rPr>
        <w:t xml:space="preserve">Non-accelerated filer o </w:t>
      </w: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company o</w:t>
      </w:r>
    </w:p>
    <w:p>
      <w:pPr>
        <w:spacing w:after="0" w:line="273" w:lineRule="exact"/>
        <w:rPr>
          <w:sz w:val="24"/>
          <w:szCs w:val="24"/>
          <w:color w:val="auto"/>
        </w:rPr>
      </w:pPr>
    </w:p>
    <w:p>
      <w:pPr>
        <w:sectPr>
          <w:pgSz w:w="11900" w:h="16838" w:orient="portrait"/>
          <w:cols w:equalWidth="0" w:num="5">
            <w:col w:w="2440" w:space="260"/>
            <w:col w:w="1340" w:space="500"/>
            <w:col w:w="1620" w:space="480"/>
            <w:col w:w="2100" w:space="540"/>
            <w:col w:w="2140"/>
          </w:cols>
          <w:pgMar w:left="240" w:top="229" w:right="239" w:bottom="1440" w:gutter="0" w:footer="0" w:header="0"/>
          <w:type w:val="continuous"/>
        </w:sectPr>
      </w:pPr>
    </w:p>
    <w:p>
      <w:pPr>
        <w:ind w:left="440"/>
        <w:spacing w:after="0" w:line="196" w:lineRule="exact"/>
        <w:tabs>
          <w:tab w:leader="none" w:pos="8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tab/>
        <w:t xml:space="preserve">No </w:t>
      </w:r>
      <w:r>
        <w:rPr>
          <w:rFonts w:ascii="MS PGothic" w:cs="MS PGothic" w:eastAsia="MS PGothic" w:hAnsi="MS PGothic"/>
          <w:sz w:val="17"/>
          <w:szCs w:val="17"/>
          <w:color w:val="auto"/>
        </w:rPr>
        <w:t>☒</w:t>
      </w:r>
    </w:p>
    <w:p>
      <w:pPr>
        <w:spacing w:after="0" w:line="323"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May 2, 2018, there were 67,901,019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16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4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80" w:type="dxa"/>
            <w:vAlign w:val="bottom"/>
            <w:gridSpan w:val="2"/>
          </w:tcPr>
          <w:p>
            <w:pPr>
              <w:spacing w:after="0"/>
              <w:rPr>
                <w:sz w:val="21"/>
                <w:szCs w:val="21"/>
                <w:color w:val="auto"/>
              </w:rPr>
            </w:pPr>
          </w:p>
        </w:tc>
        <w:tc>
          <w:tcPr>
            <w:tcW w:w="256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80" w:type="dxa"/>
            <w:vAlign w:val="bottom"/>
            <w:gridSpan w:val="9"/>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(unaudited) as of March 31, 2018 and December 31, 2017</w:t>
              </w:r>
            </w:hyperlink>
          </w:p>
        </w:tc>
        <w:tc>
          <w:tcPr>
            <w:tcW w:w="3140" w:type="dxa"/>
            <w:vAlign w:val="bottom"/>
            <w:gridSpan w:val="6"/>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(unaudited)—For the three months ended March 31, 2018 and 2017</w:t>
              </w:r>
            </w:hyperlink>
          </w:p>
        </w:tc>
        <w:tc>
          <w:tcPr>
            <w:tcW w:w="7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(Loss) (unaudited)—For the three months ended March 31, 2018 and 2017</w:t>
              </w:r>
            </w:hyperlink>
          </w:p>
        </w:tc>
        <w:tc>
          <w:tcPr>
            <w:tcW w:w="660" w:type="dxa"/>
            <w:vAlign w:val="bottom"/>
            <w:gridSpan w:val="2"/>
            <w:vMerge w:val="restart"/>
          </w:tcPr>
          <w:p>
            <w:pPr>
              <w:spacing w:after="0"/>
              <w:rPr>
                <w:sz w:val="21"/>
                <w:szCs w:val="21"/>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(unaudited)—For the three months ended March 31, 2018 and 2017</w:t>
              </w:r>
            </w:hyperlink>
          </w:p>
        </w:tc>
        <w:tc>
          <w:tcPr>
            <w:tcW w:w="7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(unaudited)—For the three months ended March 31, 2018 and 2017</w:t>
              </w:r>
            </w:hyperlink>
          </w:p>
        </w:tc>
        <w:tc>
          <w:tcPr>
            <w:tcW w:w="48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660" w:type="dxa"/>
            <w:vAlign w:val="bottom"/>
            <w:gridSpan w:val="3"/>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020" w:type="dxa"/>
            <w:vAlign w:val="bottom"/>
            <w:gridSpan w:val="5"/>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100" w:type="dxa"/>
            <w:vAlign w:val="bottom"/>
            <w:tcBorders>
              <w:left w:val="single" w:sz="8" w:color="0000EE"/>
            </w:tcBorders>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100" w:type="dxa"/>
            <w:vAlign w:val="bottom"/>
            <w:gridSpan w:val="7"/>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53">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Other Information</w:t>
              </w:r>
            </w:hyperlink>
          </w:p>
        </w:tc>
        <w:tc>
          <w:tcPr>
            <w:tcW w:w="8140" w:type="dxa"/>
            <w:vAlign w:val="bottom"/>
            <w:gridSpan w:val="14"/>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Legal Proceedings</w:t>
              </w:r>
            </w:hyperlink>
          </w:p>
        </w:tc>
        <w:tc>
          <w:tcPr>
            <w:tcW w:w="8120" w:type="dxa"/>
            <w:vAlign w:val="bottom"/>
            <w:gridSpan w:val="13"/>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Unregistered Sales of Equity Securities and Use of Proceeds</w:t>
              </w:r>
            </w:hyperlink>
          </w:p>
        </w:tc>
        <w:tc>
          <w:tcPr>
            <w:tcW w:w="5100" w:type="dxa"/>
            <w:vAlign w:val="bottom"/>
            <w:gridSpan w:val="7"/>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5100" w:type="dxa"/>
            <w:vAlign w:val="bottom"/>
            <w:gridSpan w:val="7"/>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140" w:type="dxa"/>
            <w:vAlign w:val="bottom"/>
            <w:gridSpan w:val="10"/>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680" w:type="dxa"/>
            <w:vAlign w:val="bottom"/>
            <w:gridSpan w:val="11"/>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8140" w:type="dxa"/>
            <w:vAlign w:val="bottom"/>
            <w:gridSpan w:val="14"/>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6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440" w:type="dxa"/>
            <w:vAlign w:val="bottom"/>
            <w:gridSpan w:val="17"/>
          </w:tcPr>
          <w:p>
            <w:pPr>
              <w:spacing w:after="0"/>
              <w:rPr>
                <w:sz w:val="21"/>
                <w:szCs w:val="21"/>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1,629,436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(347,405)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1,282,031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1,350,619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681,410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860,311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1,300,655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422,853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321,241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657,688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86,877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141,730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4,450,059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4,731,078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217,874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238,004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3,130,934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3,476,400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3,434,162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3,816,829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iStar Inc. shareholders'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G and I, liquidation preference $25.00 per share (refer to Note 13)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Common Stock, $0.001 par value, 200,000 shares authorized, 67,901 and 68,236 shares issued and outstanding as of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 and December 31,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3,350,250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3,352,665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(2,470,564)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Inc.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879,703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34,546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1,015,897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914,249</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4,450,059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4,731,078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13335</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8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Operating lease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45,799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47,347</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29,058</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15,320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11,864</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Land development revenue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276,429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20,050</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364,245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108,319</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45,182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51,145</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 estate expense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35,590</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Land development cost of sales</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223,407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15,910</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12,280</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28,814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25,173</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Recovery of loan losses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Impairment of assets</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349,104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141,452</w:t>
            </w:r>
          </w:p>
        </w:tc>
        <w:tc>
          <w:tcPr>
            <w:tcW w:w="0" w:type="dxa"/>
            <w:vAlign w:val="bottom"/>
          </w:tcPr>
          <w:p>
            <w:pPr>
              <w:spacing w:after="0"/>
              <w:rPr>
                <w:sz w:val="1"/>
                <w:szCs w:val="1"/>
                <w:color w:val="auto"/>
              </w:rPr>
            </w:pP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(33,133)</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Loss on early extinguishment of debt, net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5,702</w:t>
            </w: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(27,641)</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2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(28,248)</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discontinued operations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4,766</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Income from sales of real estate</w:t>
            </w:r>
            <w:r>
              <w:rPr>
                <w:rFonts w:ascii="Arial" w:cs="Arial" w:eastAsia="Arial" w:hAnsi="Arial"/>
                <w:sz w:val="8"/>
                <w:szCs w:val="8"/>
                <w:color w:val="auto"/>
              </w:rPr>
              <w:t>(2)</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(15,372)</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iStar Inc.</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Preferred dividends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(12,830)</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allocable to common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common share data:</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00" w:type="dxa"/>
            <w:vAlign w:val="bottom"/>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64"/>
        </w:trPr>
        <w:tc>
          <w:tcPr>
            <w:tcW w:w="7600" w:type="dxa"/>
            <w:vAlign w:val="bottom"/>
          </w:tcPr>
          <w:p>
            <w:pPr>
              <w:ind w:left="160"/>
              <w:spacing w:after="0"/>
              <w:rPr>
                <w:sz w:val="20"/>
                <w:szCs w:val="20"/>
                <w:color w:val="auto"/>
              </w:rPr>
            </w:pPr>
            <w:r>
              <w:rPr>
                <w:rFonts w:ascii="Arial" w:cs="Arial" w:eastAsia="Arial" w:hAnsi="Arial"/>
                <w:sz w:val="14"/>
                <w:szCs w:val="14"/>
                <w:color w:val="auto"/>
              </w:rPr>
              <w:t>Net income (loss) attributable to iStar Inc.:</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64"/>
        </w:trPr>
        <w:tc>
          <w:tcPr>
            <w:tcW w:w="7600" w:type="dxa"/>
            <w:vAlign w:val="bottom"/>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76"/>
        </w:trPr>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Weighted average number of common shares: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600" w:type="dxa"/>
            <w:vAlign w:val="bottom"/>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67,913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72,065</w:t>
            </w:r>
          </w:p>
        </w:tc>
        <w:tc>
          <w:tcPr>
            <w:tcW w:w="0" w:type="dxa"/>
            <w:vAlign w:val="bottom"/>
          </w:tcPr>
          <w:p>
            <w:pPr>
              <w:spacing w:after="0"/>
              <w:rPr>
                <w:sz w:val="1"/>
                <w:szCs w:val="1"/>
                <w:color w:val="auto"/>
              </w:rPr>
            </w:pPr>
          </w:p>
        </w:tc>
      </w:tr>
      <w:tr>
        <w:trPr>
          <w:trHeight w:val="270"/>
        </w:trPr>
        <w:tc>
          <w:tcPr>
            <w:tcW w:w="7600" w:type="dxa"/>
            <w:vAlign w:val="bottom"/>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83,670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-163195</wp:posOffset>
            </wp:positionV>
            <wp:extent cx="62687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8720"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6" w:lineRule="exact"/>
        <w:rPr>
          <w:sz w:val="20"/>
          <w:szCs w:val="20"/>
          <w:color w:val="auto"/>
        </w:rPr>
      </w:pPr>
    </w:p>
    <w:p>
      <w:pPr>
        <w:jc w:val="both"/>
        <w:ind w:left="1060" w:hanging="485"/>
        <w:spacing w:after="0" w:line="260" w:lineRule="auto"/>
        <w:tabs>
          <w:tab w:leader="none" w:pos="106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months ended March 31, 2018 and 2017, includes $7.9 million and $5.0 million, respectively, of equity-based compensation associated with iPIP Plans (refer to Note 14). These plans are liability-based plans which are marked-to-market quarterly and such marks are based upon the performance of the assets underlying the plans as of the quarterly measurement dates; however, actual amounts cannot be determined until the end date of the plans and the ultimate repayment or monetization of the related assets.</w:t>
      </w:r>
    </w:p>
    <w:p>
      <w:pPr>
        <w:ind w:left="1060" w:hanging="485"/>
        <w:spacing w:after="0"/>
        <w:tabs>
          <w:tab w:leader="none" w:pos="1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from sales of real estate represents gains from sales of real estate that do not qualify as discontinued operations.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13335</wp:posOffset>
            </wp:positionV>
            <wp:extent cx="1475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Impact from adoption of new accounting standards (refer to Note 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680" w:type="dxa"/>
            <w:vAlign w:val="bottom"/>
          </w:tcPr>
          <w:p>
            <w:pPr>
              <w:ind w:left="140"/>
              <w:spacing w:after="0" w:line="270" w:lineRule="exact"/>
              <w:rPr>
                <w:sz w:val="20"/>
                <w:szCs w:val="20"/>
                <w:color w:val="auto"/>
              </w:rPr>
            </w:pPr>
            <w:r>
              <w:rPr>
                <w:rFonts w:ascii="Arial" w:cs="Arial" w:eastAsia="Arial" w:hAnsi="Arial"/>
                <w:sz w:val="18"/>
                <w:szCs w:val="18"/>
                <w:color w:val="auto"/>
              </w:rPr>
              <w:t>Reclassification of losses on cash flow hedges into earnings upon realization</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50"/>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losses on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Unrealized gains on cash flow hedges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540</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(15,128)</w:t>
            </w: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1,100</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iStar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(14,028)</w:t>
            </w:r>
          </w:p>
        </w:tc>
      </w:tr>
    </w:tbl>
    <w:p>
      <w:pPr>
        <w:spacing w:after="0" w:line="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-98425</wp:posOffset>
            </wp:positionV>
            <wp:extent cx="1475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jc w:val="both"/>
        <w:ind w:left="1300" w:hanging="320"/>
        <w:spacing w:after="0" w:line="248" w:lineRule="auto"/>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 reclassified to "Interest expense" in the Company's consolidated statements of operations is $30 for the three months ended March 31, 2017. Amounts reclassified to "Earnings from equity method investments" in the Company's consolidated statements of operations are $9 and $92 for the three months ended March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iStar Inc. Shareholders' Equity</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7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Stock</w:t>
            </w:r>
            <w:r>
              <w:rPr>
                <w:rFonts w:ascii="Arial" w:cs="Arial" w:eastAsia="Arial" w:hAnsi="Arial"/>
                <w:sz w:val="8"/>
                <w:szCs w:val="8"/>
                <w:b w:val="1"/>
                <w:bCs w:val="1"/>
                <w:color w:val="auto"/>
                <w:w w:val="91"/>
              </w:rPr>
              <w:t>(1)</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Series J</w:t>
            </w:r>
            <w:r>
              <w:rPr>
                <w:rFonts w:ascii="Arial" w:cs="Arial" w:eastAsia="Arial" w:hAnsi="Arial"/>
                <w:sz w:val="8"/>
                <w:szCs w:val="8"/>
                <w:b w:val="1"/>
                <w:bCs w:val="1"/>
                <w:color w:val="auto"/>
              </w:rPr>
              <w:t>(1)</w:t>
            </w:r>
          </w:p>
        </w:tc>
        <w:tc>
          <w:tcPr>
            <w:tcW w:w="140" w:type="dxa"/>
            <w:vAlign w:val="bottom"/>
          </w:tcPr>
          <w:p>
            <w:pPr>
              <w:spacing w:after="0"/>
              <w:rPr>
                <w:sz w:val="16"/>
                <w:szCs w:val="16"/>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$ 3,352,665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$(2,470,564)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34,546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914,249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(8,124)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Issuance of stock/restricted stock unit amortization, net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Net income for the period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34,933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35,028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Repurchase of stock</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(8,303)</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(8,304)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3860" w:type="dxa"/>
            <w:vAlign w:val="bottom"/>
          </w:tcPr>
          <w:p>
            <w:pPr>
              <w:ind w:left="40"/>
              <w:spacing w:after="0"/>
              <w:rPr>
                <w:sz w:val="20"/>
                <w:szCs w:val="20"/>
                <w:color w:val="auto"/>
              </w:rPr>
            </w:pPr>
            <w:r>
              <w:rPr>
                <w:rFonts w:ascii="Arial" w:cs="Arial" w:eastAsia="Arial" w:hAnsi="Arial"/>
                <w:sz w:val="16"/>
                <w:szCs w:val="16"/>
                <w:color w:val="auto"/>
              </w:rPr>
              <w:t>Impact from adoption of new accounting standards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40"/>
              <w:spacing w:after="0"/>
              <w:rPr>
                <w:sz w:val="20"/>
                <w:szCs w:val="20"/>
                <w:color w:val="auto"/>
              </w:rPr>
            </w:pPr>
            <w:r>
              <w:rPr>
                <w:rFonts w:ascii="Arial" w:cs="Arial" w:eastAsia="Arial" w:hAnsi="Arial"/>
                <w:sz w:val="16"/>
                <w:szCs w:val="16"/>
                <w:color w:val="auto"/>
              </w:rPr>
              <w:t>(refer to Note 3)</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75,593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75,869</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2018</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$ 3,350,250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$(2,368,162)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34,650</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1,015,897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$ 3,602,172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$(2,581,488)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43,120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1,059,684</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Issuance of stock/restricted stock unit amortization, net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Net income (loss) for the period</w:t>
            </w:r>
            <w:r>
              <w:rPr>
                <w:rFonts w:ascii="Arial" w:cs="Arial" w:eastAsia="Arial" w:hAnsi="Arial"/>
                <w:sz w:val="21"/>
                <w:szCs w:val="21"/>
                <w:color w:val="auto"/>
                <w:vertAlign w:val="superscript"/>
              </w:rPr>
              <w:t>(2)</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(14,031)</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3860" w:type="dxa"/>
            <w:vAlign w:val="bottom"/>
          </w:tcPr>
          <w:p>
            <w:pPr>
              <w:ind w:left="40"/>
              <w:spacing w:after="0"/>
              <w:rPr>
                <w:sz w:val="20"/>
                <w:szCs w:val="20"/>
                <w:color w:val="auto"/>
              </w:rPr>
            </w:pPr>
            <w:r>
              <w:rPr>
                <w:rFonts w:ascii="Arial" w:cs="Arial" w:eastAsia="Arial" w:hAnsi="Arial"/>
                <w:sz w:val="16"/>
                <w:szCs w:val="16"/>
                <w:color w:val="auto"/>
              </w:rPr>
              <w:t>Change in additional paid in capital attributable to</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2017</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$ 3,603,586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$(2,608,590)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43,361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1,034,481</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-98425</wp:posOffset>
            </wp:positionV>
            <wp:extent cx="4725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March 31, 2017, net income (loss) shown above excludes $(1,341) of net loss attributable to redeemable noncontrolling interests.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445" w:right="3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tcPr>
          <w:p>
            <w:pPr>
              <w:jc w:val="right"/>
              <w:ind w:right="91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35,028</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(15,372)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cash flows from operating activities: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(Recovery of) provision for loan losses</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(4,928)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Impairment of assets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4,413</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11,110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13,067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Non-cash expense for stock-based compensation</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5,881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Amortization of discounts/premiums and deferred financing costs on debt obligations, net</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3,943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3,512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Amortization of discounts/premiums on loans and deferred interest on loans, net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(14,652)</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Deferred interest on loans received</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17,930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Earnings from equity method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(5,702)</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from operations of other investments</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3,101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20,029</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operating lease income</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(2,185)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Income from sales of real estate</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(17,048)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(8,618)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Land development revenue in excess of cost of sales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(53,022)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Loss on early extinguishment of debt, net</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operating activities, net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3,689</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Changes in assets and liabilities: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accrued interest and operating lease income receivable</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2,131</w:t>
            </w:r>
          </w:p>
        </w:tc>
        <w:tc>
          <w:tcPr>
            <w:tcW w:w="0" w:type="dxa"/>
            <w:vAlign w:val="bottom"/>
          </w:tcPr>
          <w:p>
            <w:pPr>
              <w:spacing w:after="0"/>
              <w:rPr>
                <w:sz w:val="1"/>
                <w:szCs w:val="1"/>
                <w:color w:val="auto"/>
              </w:rPr>
            </w:pPr>
          </w:p>
        </w:tc>
      </w:tr>
      <w:tr>
        <w:trPr>
          <w:trHeight w:val="262"/>
        </w:trPr>
        <w:tc>
          <w:tcPr>
            <w:tcW w:w="7820" w:type="dxa"/>
            <w:vAlign w:val="bottom"/>
          </w:tcPr>
          <w:p>
            <w:pPr>
              <w:ind w:left="260"/>
              <w:spacing w:after="0"/>
              <w:rPr>
                <w:sz w:val="20"/>
                <w:szCs w:val="20"/>
                <w:color w:val="auto"/>
              </w:rPr>
            </w:pPr>
            <w:r>
              <w:rPr>
                <w:rFonts w:ascii="Arial" w:cs="Arial" w:eastAsia="Arial" w:hAnsi="Arial"/>
                <w:sz w:val="13"/>
                <w:szCs w:val="13"/>
                <w:color w:val="auto"/>
              </w:rPr>
              <w:t>Changes in deferred expenses and other assets, net</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(8,035)</w:t>
            </w: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accounts payable, accrued expenses and other liabilities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(45,144)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(24,987)</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Cash flows provided by (used in) operating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(46,566)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(35,686)</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Originations and fundings of loans receivable, net</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(103,288)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(61,605)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Capital expenditures on real estate assets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(7,781)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Capital expenditures on land and development assets</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(30,954)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(27,604)</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Repayments of and principal collections on loans receivable and other lending investments, net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114,525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171,066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Net proceeds from sales of real estate</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48,469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30,215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proceeds from sales of land and development assets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130,304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20,923</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from other investments</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17,813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4,709</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Contributions to and acquisition of interest in other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(43,391)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(1,813)</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investing activities, net</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491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1,801</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flows provided by investing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126,129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129,911</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Borrowings from debt obligations and convertible notes</w:t>
            </w:r>
          </w:p>
        </w:tc>
        <w:tc>
          <w:tcPr>
            <w:tcW w:w="10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854,637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Repayments and repurchases of debt obligations</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(349,658)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(353,458)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Preferred dividends paid</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(12,830)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Repurchase of stock</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(8,304)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Payments for deferred financing costs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(11,497)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Payments for withholding taxes upon vesting of stock-based compensation</w:t>
            </w:r>
          </w:p>
        </w:tc>
        <w:tc>
          <w:tcPr>
            <w:tcW w:w="10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(3,845)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Payments for debt prepayment or extinguishment costs</w:t>
            </w:r>
          </w:p>
        </w:tc>
        <w:tc>
          <w:tcPr>
            <w:tcW w:w="10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financing activities, net</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flows provided by (used in) financing activities</w:t>
            </w:r>
          </w:p>
        </w:tc>
        <w:tc>
          <w:tcPr>
            <w:tcW w:w="10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(370,174)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474,924</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Effect of exchange rate changes on cash</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Changes in cash, cash equivalents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(290,589)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569,150</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677,733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354,627</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Cash, cash equivalents and restricted cash at end of period</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387,144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923,777</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Fundings and repayments of loan receivables and loan participations, net</w:t>
            </w:r>
          </w:p>
        </w:tc>
        <w:tc>
          <w:tcPr>
            <w:tcW w:w="1060" w:type="dxa"/>
            <w:vAlign w:val="bottom"/>
            <w:vMerge w:val="restart"/>
            <w:shd w:val="clear" w:color="auto" w:fill="CCEEFF"/>
          </w:tcPr>
          <w:p>
            <w:pPr>
              <w:jc w:val="right"/>
              <w:ind w:right="913"/>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(17,117)</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22,602</w:t>
            </w:r>
          </w:p>
        </w:tc>
        <w:tc>
          <w:tcPr>
            <w:tcW w:w="0" w:type="dxa"/>
            <w:vAlign w:val="bottom"/>
          </w:tcPr>
          <w:p>
            <w:pPr>
              <w:spacing w:after="0"/>
              <w:rPr>
                <w:sz w:val="1"/>
                <w:szCs w:val="1"/>
                <w:color w:val="auto"/>
              </w:rPr>
            </w:pPr>
          </w:p>
        </w:tc>
      </w:tr>
      <w:tr>
        <w:trPr>
          <w:trHeight w:val="151"/>
        </w:trPr>
        <w:tc>
          <w:tcPr>
            <w:tcW w:w="78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Accounts payable for capital expenditures on real estate assets</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Acquisitions of land and development assets through foreclosure</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Profit sharing arrangement</w:t>
            </w:r>
          </w:p>
        </w:tc>
        <w:tc>
          <w:tcPr>
            <w:tcW w:w="106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28,831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Financing provided on sales of land and development assets, net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142,639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260"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26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—iStar Inc. (the "Company") finances, invests in and develops real estate and real estate related projects as part of its fully-integrated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platform. The Company also provides management services for its ground lease and net lease equity method investments (refer to Note 7). The Company has invested more than $35 billion over the past two decades and is structured as a real estate investment trust ("REIT") with a diversified portfolio focused on larger assets located in major metropolitan markets. The Company's primary reportable business segments are real estate finance, net lease, operating properties and land and development (refer to Note 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and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consolidated financial statements have been prepared in conformity with the instructions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2017 (the "2017 Annual Report").</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Company's consolidated financial statements and the related notes to conform to the current period presentation.</w:t>
      </w:r>
    </w:p>
    <w:p>
      <w:pPr>
        <w:spacing w:after="0" w:line="14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March 31, 2018, the Company consolidates VIEs for which it is considered the primary beneficiary. As of March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assets of these consolidated VIEs were $318.9 million and total liabilities were $43.2 million. The classifications of these assets are primarily within "Land and development, net" and "Real estate, net" on the 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 did not have any unfunded commitments related to consolidated VIEs as of March 31, 2018.</w:t>
      </w:r>
    </w:p>
    <w:p>
      <w:pPr>
        <w:spacing w:after="0" w:line="19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Unconsolidated VIEs</w:t>
      </w:r>
      <w:r>
        <w:rPr>
          <w:rFonts w:ascii="Arial" w:cs="Arial" w:eastAsia="Arial" w:hAnsi="Arial"/>
          <w:sz w:val="16"/>
          <w:szCs w:val="16"/>
          <w:color w:val="auto"/>
        </w:rPr>
        <w:t>—As of March 31, 2018, the Company has investments in VIEs where it is not the primary beneficiary and accordingly the VIEs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not been consolidated in the Company's consolidated financial statements. As of March 31, 2018, the Company's maximum exposure to loss from these investments does not exceed the sum of the $92.9 million carrying value of the investments, which are classified in "Other investments" and "Loans receivable and other lending investments, net" on the Company's consolidated balance sheets, and $29.7 million of related unfunded commitments.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paragraphs describe the impact on the Company's consolidated financial statements from the adoption of Accounting Standards Updates ("ASUs") on January 1, 2018.</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2014-09</w:t>
      </w:r>
      <w:r>
        <w:rPr>
          <w:rFonts w:ascii="Arial" w:cs="Arial" w:eastAsia="Arial" w:hAnsi="Arial"/>
          <w:sz w:val="18"/>
          <w:szCs w:val="18"/>
          <w:i w:val="1"/>
          <w:iCs w:val="1"/>
          <w:color w:val="auto"/>
        </w:rPr>
        <w:t>—</w:t>
      </w:r>
      <w:r>
        <w:rPr>
          <w:rFonts w:ascii="Arial" w:cs="Arial" w:eastAsia="Arial" w:hAnsi="Arial"/>
          <w:sz w:val="18"/>
          <w:szCs w:val="18"/>
          <w:color w:val="auto"/>
        </w:rPr>
        <w:t>ASU 2014-09, Revenue from Contracts with Customers ("ASU 2014-09"), stipulates that an entity should recognize revenue to depict the transfer of promised goods or services to customers in an amount that reflects the consideration to which the entity expects to be entitled in exchange for those goods or services. Certain contracts with customers, including lease contracts and financial instruments and other contractual rights, are not within the scope of the new guidance. The Company's revenue within the scope of the guidance is primarily ancillary income related to its operating properties. The Company adopted ASU 2014-09 using the modified retrospective approach and the adoption did not have a material impact on the Company's consolidated financial statements.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ASU 2016-01 and ASU 2018-03</w:t>
      </w:r>
      <w:r>
        <w:rPr>
          <w:rFonts w:ascii="Arial" w:cs="Arial" w:eastAsia="Arial" w:hAnsi="Arial"/>
          <w:sz w:val="16"/>
          <w:szCs w:val="16"/>
          <w:i w:val="1"/>
          <w:iCs w:val="1"/>
          <w:color w:val="auto"/>
        </w:rPr>
        <w:t>—</w:t>
      </w:r>
      <w:r>
        <w:rPr>
          <w:rFonts w:ascii="Arial" w:cs="Arial" w:eastAsia="Arial" w:hAnsi="Arial"/>
          <w:sz w:val="16"/>
          <w:szCs w:val="16"/>
          <w:color w:val="auto"/>
        </w:rPr>
        <w:t>ASU 2016-01, Financial Instruments - Overall: Recognition and Measurement of Financial Assets and Financial Liabilities ("ASU 2016-01"), addressed certain aspects of recognition, measurement, presentation and disclosure of financial instruments. ASU 2018-03, Technical Corrections and Improvements to Financial Instruments - Overall: Recognition and Measurement of Financial Assets and Financial Liabilities, provided technical corrections and improvements to ASU 2016-01. ASU 2016-01 requires entities to measure equity investments not accounted for under the equity method at fair value and recognize changes in fair value in net income. For equity investments without readily determinable fair values, entities may elect a measurement alternative that will allow those investments to be recorded at cost, less impairment, and adjusted for subsequent observable price changes. Upon adoption, entities must record a cumulative-effect adjustment to the balance sheet as of the beginning of the first reporting period in which the standard is adopted. ASU 2016-01 also eliminated the requirement for public business entities to disclose the methods and significant assumptions used to estimate the fair value that is required to be disclosed for financial instruments measured at amortized cost on the balance sheet. The adoption of ASU 2016-01 and ASU 2018-03 did not have a material impact on the Company's consolidated financial statements.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2016-15</w:t>
      </w:r>
      <w:r>
        <w:rPr>
          <w:rFonts w:ascii="Arial" w:cs="Arial" w:eastAsia="Arial" w:hAnsi="Arial"/>
          <w:sz w:val="18"/>
          <w:szCs w:val="18"/>
          <w:i w:val="1"/>
          <w:iCs w:val="1"/>
          <w:color w:val="auto"/>
        </w:rPr>
        <w:t>—</w:t>
      </w:r>
      <w:r>
        <w:rPr>
          <w:rFonts w:ascii="Arial" w:cs="Arial" w:eastAsia="Arial" w:hAnsi="Arial"/>
          <w:sz w:val="18"/>
          <w:szCs w:val="18"/>
          <w:color w:val="auto"/>
        </w:rPr>
        <w:t>ASU 2016-15, Statement of Cash Flows: Classification of Certain Cash Receipts and Cash Payments ("ASU 2016-15"), was issued to reduce diversity in practice in how certain cash receipts and cash payments, including debt prepayment or debt extinguishment costs, distributions from equity method investees, and other separately identifiable cash flows, are presented and classified in the statement of cash flows. The adoption of ASU 2016-15 was retrospective and resulted in an increase to cash flows provided by operating activities of $1.1 million and a decrease to cash flows provided by financing activities of $1.1 million for the three months ended March 31, 2017, primarily resulting from the reclassification of cash payments made related to the extinguishment of debt.</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2016-18</w:t>
      </w:r>
      <w:r>
        <w:rPr>
          <w:rFonts w:ascii="Arial" w:cs="Arial" w:eastAsia="Arial" w:hAnsi="Arial"/>
          <w:sz w:val="18"/>
          <w:szCs w:val="18"/>
          <w:i w:val="1"/>
          <w:iCs w:val="1"/>
          <w:color w:val="auto"/>
        </w:rPr>
        <w:t>—</w:t>
      </w:r>
      <w:r>
        <w:rPr>
          <w:rFonts w:ascii="Arial" w:cs="Arial" w:eastAsia="Arial" w:hAnsi="Arial"/>
          <w:sz w:val="18"/>
          <w:szCs w:val="18"/>
          <w:color w:val="auto"/>
        </w:rPr>
        <w:t>ASU 2016-18, Statement of Cash Flows: Restricted Cash ("ASU 2016-18"), requires that restricted cash be included with cash and cash equivalents when reconciling beginning and ending cash and cash equivalents on the statement of cash flows and requires disclosure of what is included in restricted cash. The adoption of ASU 2016-18 did not have a material impact on the Company's consolidated financial statements. The adoption of ASU 2016-18 was retrospective and resulted in an increase to cash flows provided by operating activities of $0.7 million and a decrease to cash flows provided by investing activities of $0.3 million for the three months ended March 31, 2017.</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cash and cash equivalents and restricted cash reported in the Company's consolidated balance sheets that total to the same amount as reported in the consolidated statements of cash flows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897,487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328,744</w:t>
            </w:r>
          </w:p>
        </w:tc>
        <w:tc>
          <w:tcPr>
            <w:tcW w:w="0" w:type="dxa"/>
            <w:vAlign w:val="bottom"/>
          </w:tcPr>
          <w:p>
            <w:pPr>
              <w:spacing w:after="0"/>
              <w:rPr>
                <w:sz w:val="1"/>
                <w:szCs w:val="1"/>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w w:val="96"/>
              </w:rPr>
              <w:t>Restricted cash included in deferred expenses and other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net</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26,290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25,883</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cash, cash equivalents and restricted cash reported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387,144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677,733</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923,777</w:t>
            </w:r>
          </w:p>
        </w:tc>
        <w:tc>
          <w:tcPr>
            <w:tcW w:w="10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354,627</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-98425</wp:posOffset>
            </wp:positionV>
            <wp:extent cx="4004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Restricted cash represents amounts required to be maintained under certain of the Company's debt obligations, loans, leasing, land development, sale and derivative transactions.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2017-01</w:t>
      </w:r>
      <w:r>
        <w:rPr>
          <w:rFonts w:ascii="Arial" w:cs="Arial" w:eastAsia="Arial" w:hAnsi="Arial"/>
          <w:sz w:val="18"/>
          <w:szCs w:val="18"/>
          <w:i w:val="1"/>
          <w:iCs w:val="1"/>
          <w:color w:val="auto"/>
        </w:rPr>
        <w:t>—</w:t>
      </w:r>
      <w:r>
        <w:rPr>
          <w:rFonts w:ascii="Arial" w:cs="Arial" w:eastAsia="Arial" w:hAnsi="Arial"/>
          <w:sz w:val="18"/>
          <w:szCs w:val="18"/>
          <w:color w:val="auto"/>
        </w:rPr>
        <w:t>The adoption of ASU 2017-01, Business Combinations: Clarifying the Definition of a Business ("ASU 2017-01"), did not have a material impact on the Company's consolidated financial statements. Under ASU 2017-01, certain transactions previously accounted for as business combinations under the former accounting guidance will be accounted for as asset acquisitions under ASU 2017-01. As a result, the Company expects more transaction costs to be capitalized relating to real estate acquisitions as a result of ASU 2017-01.</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ASU 2017-05</w:t>
      </w:r>
      <w:r>
        <w:rPr>
          <w:rFonts w:ascii="Arial" w:cs="Arial" w:eastAsia="Arial" w:hAnsi="Arial"/>
          <w:sz w:val="17"/>
          <w:szCs w:val="17"/>
          <w:i w:val="1"/>
          <w:iCs w:val="1"/>
          <w:color w:val="auto"/>
        </w:rPr>
        <w:t>—</w:t>
      </w:r>
      <w:r>
        <w:rPr>
          <w:rFonts w:ascii="Arial" w:cs="Arial" w:eastAsia="Arial" w:hAnsi="Arial"/>
          <w:sz w:val="17"/>
          <w:szCs w:val="17"/>
          <w:color w:val="auto"/>
        </w:rPr>
        <w:t>ASU 2017-05, Other Income - Gains and Losses from the Derecognition of Nonfinancial Assets ("ASU 2017-05"), simplifies GAAP by eliminating several accounting differences between transactions involving assets and transactions involving businesses. The amendments in ASU 2017-05 require an entity to initially measure a retained noncontrolling interest in a nonfinancial asset at fair value consistent with how a retained noncontrolling interest in a business is measured. Also, if an entity transfers ownership interests in a consolidated subsidiary that is within the scope of ASC 610-20 and continues to have a controlling financial interest in that subsidiary, ASU 2017-05 requires the entity to account for the transaction as an equity transaction, which is consistent with how changes in ownership interests in a consolidated subsidiary that is a business are recorded when a parent retains a controlling financial interest in the business. The Company adopted ASU 2017-05 using the modified retrospective approach which was applied to all contracts. On January 1, 2018, the Company recorded a step-up in basis to fair value of its retained noncontrolling interest relating to the sale of its ground lease business (refer to note 4) and other transactions where the Company sold or contributed real estate to a venture and previously recognized partial gains. Prior to the adoption of ASU 2017-05, the Company was required to recognize gains on only the portion of its interest transferred to third parties and was precluded from recognizing a gain on its retained noncontrolling interest which was carried at the Company’s historical cost basis. The adoption of ASU 2017-05 had the following impact on the Company's consolidated financial statements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Impact from ASU</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2017-05 on January 1,</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3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397,110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4,731,078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4,806,947</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(2,470,564)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(2,394,695)</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990,118</w:t>
            </w:r>
          </w:p>
        </w:tc>
      </w:tr>
      <w:tr>
        <w:trPr>
          <w:trHeight w:val="27"/>
        </w:trPr>
        <w:tc>
          <w:tcPr>
            <w:tcW w:w="3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2017-12</w:t>
      </w:r>
      <w:r>
        <w:rPr>
          <w:rFonts w:ascii="Arial" w:cs="Arial" w:eastAsia="Arial" w:hAnsi="Arial"/>
          <w:sz w:val="18"/>
          <w:szCs w:val="18"/>
          <w:i w:val="1"/>
          <w:iCs w:val="1"/>
          <w:color w:val="auto"/>
        </w:rPr>
        <w:t>—</w:t>
      </w:r>
      <w:r>
        <w:rPr>
          <w:rFonts w:ascii="Arial" w:cs="Arial" w:eastAsia="Arial" w:hAnsi="Arial"/>
          <w:sz w:val="18"/>
          <w:szCs w:val="18"/>
          <w:color w:val="auto"/>
        </w:rPr>
        <w:t>ASU 2017-12, Derivatives and Hedging - Targeted Improvements to Accounting for Hedging Activities ("ASU 2017-12"), was issued to better align an entity’s risk management activities and financial reporting for hedging relationships through changes to both the designation and measurement guidance for qualifying hedging relationships and the presentation of hedge results. ASU 2017-12 expands and refines hedge accounting for both nonfinancial and financial risk components and aligns the recognition and presentation of the effects of the hedging instrument and the hedged item in the financial statements. The Company adopted ASU 2017-12 on January 1, 2018 and the adoption did not have a material impact on the Company's consolidated financial statements.</w:t>
      </w:r>
    </w:p>
    <w:p>
      <w:pPr>
        <w:spacing w:after="0" w:line="18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In June 2016</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FASB issued ASU 2016-13, Financial Instruments - Credit Losses: Measurement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Losses on Financial Instruments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The Company currently records a general reserve that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The Company estimates loss rates based on historical realized losses experienced within its portfolio and take into account current economic conditions affecting the commercial real estate market when establishing appropriate time frames to evaluate loss experience.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In February 2016, the FASB issued ASU 2016-02, Leases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 could result in the Company derecognizing the underlying asset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ind w:left="80"/>
              <w:spacing w:after="0" w:line="275" w:lineRule="exact"/>
              <w:rPr>
                <w:sz w:val="20"/>
                <w:szCs w:val="20"/>
                <w:color w:val="auto"/>
              </w:rPr>
            </w:pPr>
            <w:r>
              <w:rPr>
                <w:rFonts w:ascii="Arial" w:cs="Arial" w:eastAsia="Arial" w:hAnsi="Arial"/>
                <w:sz w:val="18"/>
                <w:szCs w:val="18"/>
                <w:b w:val="1"/>
                <w:bCs w:val="1"/>
                <w:color w:val="auto"/>
              </w:rPr>
              <w:t>Net Lease</w:t>
            </w:r>
            <w:r>
              <w:rPr>
                <w:rFonts w:ascii="Arial" w:cs="Arial" w:eastAsia="Arial" w:hAnsi="Arial"/>
                <w:sz w:val="25"/>
                <w:szCs w:val="25"/>
                <w:b w:val="1"/>
                <w:bCs w:val="1"/>
                <w:color w:val="auto"/>
                <w:vertAlign w:val="superscript"/>
              </w:rPr>
              <w:t>(1)</w:t>
            </w:r>
          </w:p>
        </w:tc>
        <w:tc>
          <w:tcPr>
            <w:tcW w:w="220" w:type="dxa"/>
            <w:vAlign w:val="bottom"/>
          </w:tcPr>
          <w:p>
            <w:pPr>
              <w:spacing w:after="0"/>
              <w:rPr>
                <w:sz w:val="23"/>
                <w:szCs w:val="23"/>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Properties</w:t>
            </w:r>
          </w:p>
        </w:tc>
        <w:tc>
          <w:tcPr>
            <w:tcW w:w="340" w:type="dxa"/>
            <w:vAlign w:val="bottom"/>
          </w:tcPr>
          <w:p>
            <w:pPr>
              <w:spacing w:after="0"/>
              <w:rPr>
                <w:sz w:val="23"/>
                <w:szCs w:val="23"/>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Land, at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218,261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212,782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431,043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1,228,608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(357,508)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1,302,143</w:t>
            </w:r>
          </w:p>
        </w:tc>
        <w:tc>
          <w:tcPr>
            <w:tcW w:w="0" w:type="dxa"/>
            <w:vAlign w:val="bottom"/>
          </w:tcPr>
          <w:p>
            <w:pPr>
              <w:spacing w:after="0"/>
              <w:rPr>
                <w:sz w:val="1"/>
                <w:szCs w:val="1"/>
                <w:color w:val="auto"/>
              </w:rPr>
            </w:pP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41,857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41,857</w:t>
            </w:r>
          </w:p>
        </w:tc>
        <w:tc>
          <w:tcPr>
            <w:tcW w:w="0" w:type="dxa"/>
            <w:vAlign w:val="bottom"/>
          </w:tcPr>
          <w:p>
            <w:pPr>
              <w:spacing w:after="0"/>
              <w:rPr>
                <w:sz w:val="1"/>
                <w:szCs w:val="1"/>
                <w:color w:val="auto"/>
              </w:rPr>
            </w:pPr>
          </w:p>
        </w:tc>
      </w:tr>
      <w:tr>
        <w:trPr>
          <w:trHeight w:val="257"/>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808,438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535,562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1,344,000</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422,370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888,959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318,107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1,207,066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(347,405)</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815,783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1,282,031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68,588</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815,783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534,836</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-98425</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2014, the Company partnered with a sovereign wealth fund to form a venture to acquire and develop net lease assets (the "Net Lease Venture") and gave a right of first offer to the Net Lease Venture on all new net lease investments (refer to Note 7 for more information on the Net Lease Venture). The Company is responsible for sourcing new opportunities and managing the Net Lease Venture in exchange for a promote and management fee.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2018 and December 31, 2017, the Company had $40.9 million and $48.5 million, respectively, of residential condominiums available for sale in its operating properties portfolio.</w:t>
      </w:r>
    </w:p>
    <w:p>
      <w:pPr>
        <w:spacing w:after="0" w:line="1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Disposition of Ground Lease Business—</w:t>
      </w:r>
      <w:r>
        <w:rPr>
          <w:rFonts w:ascii="Arial" w:cs="Arial" w:eastAsia="Arial" w:hAnsi="Arial"/>
          <w:sz w:val="16"/>
          <w:szCs w:val="16"/>
          <w:color w:val="auto"/>
        </w:rPr>
        <w:t>In April 2017, institutional investors acquired a controlling interest in the Company's ground lease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merger of a Company subsidiary and related transactions (the "Acquisition Transactions"). Ground leases generally represent ownership of the land underlying commercial real estate projects that is triple net leased by the fee owner of the land to the owners/operators of the real estate projects built thereon ("Ground Lease"). The Company's Ground Lease business was a component of the Company's net lease segment and consisted of 12 properties subject to long-term net leases including seven Ground Leases and one master lease (covering five properties). The acquiring entity was a newly formed unconsolidated entity named Safety, Income &amp; Growth Inc. ("SAFE"). The carrying value of the Company's Ground Lease assets was approximately $161.1 million. Shortly before the Acquisition Transactions, the Company completed the $227.0 million 2017 Secured Financing on its Ground Lease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 Company deconsolidated the 12 properties and the associated 2017 Secured Financing. The Company accounts for its investment in SAFE as an equity method investment (refer to Note 7). The Company accounted for this transaction as an in substance sale of real estate and recognized a gain of $123.4 million, reflecting the aggregate gain less the fair value of the Company's retained</w:t>
      </w:r>
    </w:p>
    <w:p>
      <w:pPr>
        <w:sectPr>
          <w:pgSz w:w="11900" w:h="16838" w:orient="portrait"/>
          <w:cols w:equalWidth="0" w:num="1">
            <w:col w:w="11420"/>
          </w:cols>
          <w:pgMar w:left="240" w:top="121" w:right="2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in SAFE. As a result of the adoption of ASU 2017-05 (refer to Note 3), on January 1, 2018, the Company recorded an increase to retained earnings of $55.5 million, bringing the Company's aggregate gain on the sale of its Ground Lease business to approximately $178.9 million.</w:t>
      </w:r>
    </w:p>
    <w:p>
      <w:pPr>
        <w:spacing w:after="0" w:line="102" w:lineRule="exact"/>
        <w:rPr>
          <w:sz w:val="20"/>
          <w:szCs w:val="20"/>
          <w:color w:val="auto"/>
        </w:rPr>
      </w:pPr>
    </w:p>
    <w:p>
      <w:pPr>
        <w:ind w:right="20" w:firstLine="432"/>
        <w:spacing w:after="0" w:line="307" w:lineRule="auto"/>
        <w:rPr>
          <w:sz w:val="20"/>
          <w:szCs w:val="20"/>
          <w:color w:val="auto"/>
        </w:rPr>
      </w:pPr>
      <w:r>
        <w:rPr>
          <w:rFonts w:ascii="Arial" w:cs="Arial" w:eastAsia="Arial" w:hAnsi="Arial"/>
          <w:sz w:val="17"/>
          <w:szCs w:val="17"/>
          <w:b w:val="1"/>
          <w:bCs w:val="1"/>
          <w:color w:val="auto"/>
        </w:rPr>
        <w:t>Discontinued Operations—</w:t>
      </w:r>
      <w:r>
        <w:rPr>
          <w:rFonts w:ascii="Arial" w:cs="Arial" w:eastAsia="Arial" w:hAnsi="Arial"/>
          <w:sz w:val="17"/>
          <w:szCs w:val="17"/>
          <w:color w:val="auto"/>
        </w:rPr>
        <w:t>The transactions described above involving the Company's Ground Lease business qualified for discontinued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following table summarizes income from discontinued operations for the three months ended March 31, 2017 ($ in thousands)</w:t>
      </w:r>
      <w:r>
        <w:rPr>
          <w:rFonts w:ascii="Arial" w:cs="Arial" w:eastAsia="Arial" w:hAnsi="Arial"/>
          <w:sz w:val="24"/>
          <w:szCs w:val="24"/>
          <w:color w:val="auto"/>
          <w:vertAlign w:val="superscript"/>
        </w:rPr>
        <w:t>(1)(2)</w:t>
      </w:r>
      <w:r>
        <w:rPr>
          <w:rFonts w:ascii="Arial" w:cs="Arial" w:eastAsia="Arial" w:hAnsi="Arial"/>
          <w:sz w:val="17"/>
          <w:szCs w:val="17"/>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8890</wp:posOffset>
            </wp:positionV>
            <wp:extent cx="926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-98425</wp:posOffset>
            </wp:positionV>
            <wp:extent cx="926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left="500" w:right="20" w:hanging="492"/>
        <w:spacing w:after="0" w:line="24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transactions closed on April 14, 2017. Revenues primarily consisted of operating lease income and expenses primarily consisted of depreciation and amortization and real estate expense.</w:t>
      </w:r>
    </w:p>
    <w:p>
      <w:pPr>
        <w:ind w:left="500" w:hanging="492"/>
        <w:spacing w:after="0" w:line="255"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March 31, 2017, cash flows provided by operating activities and cash flows used in investing activities from discontinued operations was $6.3 million and $0.5 million, respectively.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Dispositions—</w:t>
      </w:r>
      <w:r>
        <w:rPr>
          <w:rFonts w:ascii="Arial" w:cs="Arial" w:eastAsia="Arial" w:hAnsi="Arial"/>
          <w:sz w:val="17"/>
          <w:szCs w:val="17"/>
          <w:color w:val="auto"/>
        </w:rPr>
        <w:t>The following table presents the net proceeds and income recognized for properties sold, by property type ($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7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Properties</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Proceeds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sales of real estate</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Proceeds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sales of real estate</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Proceeds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sales of real estate</w:t>
            </w: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37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three months ended March 31, 2018, the Company recorded an impairment of $4.1 million on a real estate asset held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impending contracts to sell the remaining four condominium units at the property. During the three months ended March 31, 2017, the Company recorded an impairment of $4.4 million on a real estate asset held for sale due to shifting demand in the local condominium market along with a change in the Company's exit strategy.</w:t>
      </w:r>
    </w:p>
    <w:p>
      <w:pPr>
        <w:spacing w:after="0" w:line="180"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were $5.6 million and $5.5 million for the three months ended March 31, 2018 and 2017, respectively. These amounts are included in "Operating lease income" in the Company's consolidated statements of operations.</w:t>
      </w:r>
    </w:p>
    <w:p>
      <w:pPr>
        <w:spacing w:after="0" w:line="15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As of March 31, 2018 and December 31, 2017, the allowance for doubtful accounts related to real estate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receivables was $1.6 million and $1.3 million, respectively, and the allowance for doubtful accounts related to deferred operating lease income was $1.5 million and $1.3 million as of March 31, 2018 and December 31, 2017, respectively. These amounts are included in "Accrued interest and operating lease income receivable, net" and "Deferred operating lease income receivable, net," respectively, on the Company's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21"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3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4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Land and land development, at cost</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689,249</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868,692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(8,381)</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land and development,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681,410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860,311</w:t>
            </w:r>
          </w:p>
        </w:tc>
      </w:tr>
    </w:tbl>
    <w:p>
      <w:pPr>
        <w:spacing w:after="0" w:line="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-98425</wp:posOffset>
            </wp:positionV>
            <wp:extent cx="2092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1960" w:hanging="655"/>
        <w:spacing w:after="0"/>
        <w:tabs>
          <w:tab w:leader="none" w:pos="1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three months ended March 31, 2018, the Company funded capital expenditures on land and development assets of $31.0 million.</w:t>
      </w:r>
    </w:p>
    <w:p>
      <w:pPr>
        <w:spacing w:after="0" w:line="20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three months ended March 31, 2018, the Company acquired, via foreclosure, title to a land asset which had a total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$4.6 million and had previously served as collateral for loans receivable held by the Company. No gain or loss was recorded in connection with this transaction.</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b w:val="1"/>
          <w:bCs w:val="1"/>
          <w:color w:val="auto"/>
        </w:rPr>
        <w:t>Dispositions—</w:t>
      </w:r>
      <w:r>
        <w:rPr>
          <w:rFonts w:ascii="Arial" w:cs="Arial" w:eastAsia="Arial" w:hAnsi="Arial"/>
          <w:sz w:val="17"/>
          <w:szCs w:val="17"/>
          <w:color w:val="auto"/>
        </w:rPr>
        <w:t>During the three months ended March 31, 2018 and 2017, the Company sold land parcels and residential lots and units and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land development revenue of $276.4 million and $20.1 million, respectively, from its land and development portfolio. In connection with the sale of two land parcels during the three months ended March 31, 2018, the Company originated an aggregate $145.0 million of financing to the buyers. $81.2 million was repaid subsequent to March 31, 2018. During the three months ended March 31, 2018 and 2017, the Company recognized land development cost of sales of $223.4 million and $15.9 million, respectively, from its land and development portfolio.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6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6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Type of Investment</w:t>
            </w:r>
          </w:p>
        </w:tc>
        <w:tc>
          <w:tcPr>
            <w:tcW w:w="32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791,152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513,088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488,921</w:t>
            </w: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1,429,227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1,289,568</w:t>
            </w: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1,359,761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1,211,079</w:t>
            </w: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89,576</w:t>
            </w:r>
          </w:p>
        </w:tc>
      </w:tr>
      <w:tr>
        <w:trPr>
          <w:trHeight w:val="257"/>
        </w:trPr>
        <w:tc>
          <w:tcPr>
            <w:tcW w:w="678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1,400,474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1,300,655</w:t>
            </w: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2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7"/>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78,489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Recovery of loan losses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(4,928)</w:t>
            </w: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69,466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79,389</w:t>
            </w: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Individually</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Collectively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Evaluated for</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Evaluated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91"/>
              </w:rPr>
              <w:t>Impairment</w:t>
            </w:r>
            <w:r>
              <w:rPr>
                <w:rFonts w:ascii="Arial" w:cs="Arial" w:eastAsia="Arial" w:hAnsi="Arial"/>
                <w:sz w:val="25"/>
                <w:szCs w:val="25"/>
                <w:b w:val="1"/>
                <w:bCs w:val="1"/>
                <w:color w:val="auto"/>
                <w:w w:val="91"/>
                <w:vertAlign w:val="superscript"/>
              </w:rPr>
              <w:t>(1)</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91"/>
              </w:rPr>
              <w:t>Impairment</w:t>
            </w:r>
            <w:r>
              <w:rPr>
                <w:rFonts w:ascii="Arial" w:cs="Arial" w:eastAsia="Arial" w:hAnsi="Arial"/>
                <w:sz w:val="25"/>
                <w:szCs w:val="25"/>
                <w:b w:val="1"/>
                <w:bCs w:val="1"/>
                <w:color w:val="auto"/>
                <w:w w:val="91"/>
                <w:vertAlign w:val="superscript"/>
              </w:rPr>
              <w:t>(2)</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44"/>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224,113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1,211,138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1,435,251</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(69,466)</w:t>
            </w:r>
          </w:p>
        </w:tc>
      </w:tr>
      <w:tr>
        <w:trPr>
          <w:trHeight w:val="304"/>
        </w:trPr>
        <w:tc>
          <w:tcPr>
            <w:tcW w:w="428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1,194,538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1,365,785</w:t>
            </w:r>
          </w:p>
        </w:tc>
      </w:tr>
      <w:tr>
        <w:trPr>
          <w:trHeight w:val="231"/>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237,877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1,056,944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1,294,821</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r>
      <w:tr>
        <w:trPr>
          <w:trHeight w:val="297"/>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176,888</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1,039,444</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-20955</wp:posOffset>
            </wp:positionV>
            <wp:extent cx="317309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$0.7 million and $0.7 million as of March 31, 2018 and December 31, 2017, respectively. The Company's loans individually evaluated for impairment primarily represent loans on non-accrual status;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premiums of $5.5 million and $6.2 million as of March 31, 2018 and December 31, 2017, respectively.</w:t>
      </w:r>
    </w:p>
    <w:p>
      <w:pPr>
        <w:jc w:val="both"/>
        <w:ind w:left="500" w:hanging="492"/>
        <w:spacing w:after="0" w:line="248"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recorded investment in loans as of March 31, 2018 and December 31, 2017, including accrued interest of $6.0 million and $5.3 million, respectively, is included in "Accrued interest and operating lease income receivable, net" on the Company's consolidated balance sheets. As of March 31, 2018 and December 31, 2017, the total amounts exclude $40.7 million and $89.6 million, respectively, of securities that are evaluated for impairment under ASC 320.</w:t>
      </w:r>
    </w:p>
    <w:p>
      <w:pPr>
        <w:spacing w:after="0" w:line="19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the loan becomes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March 31, 2018</w:t>
            </w:r>
          </w:p>
        </w:tc>
        <w:tc>
          <w:tcPr>
            <w:tcW w:w="200" w:type="dxa"/>
            <w:vAlign w:val="bottom"/>
          </w:tcPr>
          <w:p>
            <w:pPr>
              <w:spacing w:after="0"/>
              <w:rPr>
                <w:sz w:val="20"/>
                <w:szCs w:val="20"/>
                <w:color w:val="auto"/>
              </w:rPr>
            </w:pPr>
          </w:p>
        </w:tc>
        <w:tc>
          <w:tcPr>
            <w:tcW w:w="27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Performing</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Performing</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Risk Ratings</w:t>
            </w: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Risk Ratings</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842,509</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713,057</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358,943</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334,364</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9,686</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34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1,211,138</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1,056,944</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recorded investment in loans, aged by payment status and presented by class, was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Greater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and Equal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Than</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 90 Days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85"/>
              </w:rPr>
              <w:t>90 Days</w:t>
            </w:r>
            <w:r>
              <w:rPr>
                <w:rFonts w:ascii="Arial" w:cs="Arial" w:eastAsia="Arial" w:hAnsi="Arial"/>
                <w:sz w:val="25"/>
                <w:szCs w:val="25"/>
                <w:b w:val="1"/>
                <w:bCs w:val="1"/>
                <w:color w:val="auto"/>
                <w:w w:val="85"/>
                <w:vertAlign w:val="superscript"/>
              </w:rPr>
              <w:t>(1)</w:t>
            </w: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Past Due</w:t>
            </w:r>
          </w:p>
        </w:tc>
        <w:tc>
          <w:tcPr>
            <w:tcW w:w="340" w:type="dxa"/>
            <w:vAlign w:val="bottom"/>
          </w:tcPr>
          <w:p>
            <w:pPr>
              <w:spacing w:after="0"/>
              <w:rPr>
                <w:sz w:val="22"/>
                <w:szCs w:val="22"/>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848,509</w:t>
            </w:r>
          </w:p>
        </w:tc>
        <w:tc>
          <w:tcPr>
            <w:tcW w:w="12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61,437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61,437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909,946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358,943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515,619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1,217,138</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1,435,251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719,057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334,364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490,898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1,062,944</w:t>
            </w:r>
          </w:p>
        </w:tc>
        <w:tc>
          <w:tcPr>
            <w:tcW w:w="120" w:type="dxa"/>
            <w:vAlign w:val="bottom"/>
          </w:tcPr>
          <w:p>
            <w:pPr>
              <w:spacing w:after="0"/>
              <w:rPr>
                <w:sz w:val="21"/>
                <w:szCs w:val="21"/>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231,877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231,877</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76" w:lineRule="auto"/>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of March 31, 2018, the Company had three loans which were greater than 90 days delinquent and were in various stages of resolution, including legal and foreclosure-related proceedings and environmental matters, and ranged from 2.0 to 9.0 years outstanding. As of December 31, 2017, the Company had four loans which were greater than 90 days delinquent and were in various stages of resolution, including legal and foreclosure-related proceedings and environmental matters, and ranged from 1.0 to 9.0 years outstanding.</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recorded investment in impaired loans, presented by class, was as follows ($ in thousands)</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As of March 31, 2018</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8"/>
              </w:rPr>
              <w:t>As of December 31, 2017</w:t>
            </w:r>
          </w:p>
        </w:tc>
        <w:tc>
          <w:tcPr>
            <w:tcW w:w="1020" w:type="dxa"/>
            <w:vAlign w:val="bottom"/>
            <w:tcBorders>
              <w:bottom w:val="single" w:sz="8" w:color="auto"/>
            </w:tcBorders>
          </w:tcPr>
          <w:p>
            <w:pPr>
              <w:spacing w:after="0"/>
              <w:rPr>
                <w:sz w:val="21"/>
                <w:szCs w:val="21"/>
                <w:color w:val="auto"/>
              </w:rPr>
            </w:pPr>
          </w:p>
        </w:tc>
      </w:tr>
      <w:tr>
        <w:trPr>
          <w:trHeight w:val="225"/>
        </w:trPr>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Unpaid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Unpaid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w:t>
            </w:r>
          </w:p>
        </w:tc>
        <w:tc>
          <w:tcPr>
            <w:tcW w:w="2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Related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Allowance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Allowance</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67,437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67,871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81,343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(48,518)</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156,534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r>
      <w:tr>
        <w:trPr>
          <w:trHeight w:val="25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224,113</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213,720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(52,866)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237,877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227,280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20" w:type="dxa"/>
            <w:vAlign w:val="bottom"/>
            <w:gridSpan w:val="12"/>
          </w:tcPr>
          <w:p>
            <w:pPr>
              <w:ind w:left="62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2017</w:t>
            </w:r>
          </w:p>
        </w:tc>
        <w:tc>
          <w:tcPr>
            <w:tcW w:w="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6"/>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4"/>
              <w:spacing w:after="0" w:line="147"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157,224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157,224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230,995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252,371</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 the following ($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Face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Amortized Cost</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Net Unrealized</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Estimated Fair</w:t>
            </w: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Basis</w:t>
            </w: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Gain (Loss)</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18,878</w:t>
            </w:r>
          </w:p>
        </w:tc>
      </w:tr>
      <w:tr>
        <w:trPr>
          <w:trHeight w:val="297"/>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40,713</w:t>
            </w: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66,734</w:t>
            </w:r>
          </w:p>
        </w:tc>
      </w:tr>
      <w:tr>
        <w:trPr>
          <w:trHeight w:val="257"/>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91,157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89,576</w:t>
            </w:r>
          </w:p>
        </w:tc>
      </w:tr>
      <w:tr>
        <w:trPr>
          <w:trHeight w:val="20"/>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6"/>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40"/>
          </w:cols>
          <w:pgMar w:left="240" w:top="122" w:right="5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the contractual maturities of the Company's securities were as follows ($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Held-to-Maturity Securities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Available-for-Sale Securities</w:t>
            </w:r>
          </w:p>
        </w:tc>
      </w:tr>
      <w:tr>
        <w:trPr>
          <w:trHeight w:val="152"/>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3"/>
                <w:szCs w:val="13"/>
                <w:color w:val="auto"/>
              </w:rPr>
            </w:pPr>
          </w:p>
        </w:tc>
        <w:tc>
          <w:tcPr>
            <w:tcW w:w="116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60" w:type="dxa"/>
            <w:vAlign w:val="bottom"/>
          </w:tcPr>
          <w:p>
            <w:pPr>
              <w:spacing w:after="0"/>
              <w:rPr>
                <w:sz w:val="16"/>
                <w:szCs w:val="16"/>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Value</w:t>
            </w:r>
          </w:p>
        </w:tc>
      </w:tr>
      <w:tr>
        <w:trPr>
          <w:trHeight w:val="250"/>
        </w:trPr>
        <w:tc>
          <w:tcPr>
            <w:tcW w:w="3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Maturities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Within one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5 years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After 5 years through 10 years</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10 years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21,835</w:t>
            </w:r>
          </w:p>
        </w:tc>
      </w:tr>
      <w:tr>
        <w:trPr>
          <w:trHeight w:val="257"/>
        </w:trPr>
        <w:tc>
          <w:tcPr>
            <w:tcW w:w="31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21,835</w:t>
            </w: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other investments and its proportionate share of earnings from equity method investments were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Equity in Earnings (Losses)</w:t>
            </w:r>
          </w:p>
        </w:tc>
      </w:tr>
      <w:tr>
        <w:trPr>
          <w:trHeight w:val="252"/>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For the Three Months Ended March</w:t>
            </w: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5"/>
          </w:tcPr>
          <w:p>
            <w:pPr>
              <w:ind w:left="1020"/>
              <w:spacing w:after="0"/>
              <w:rPr>
                <w:sz w:val="20"/>
                <w:szCs w:val="20"/>
                <w:color w:val="auto"/>
              </w:rPr>
            </w:pPr>
            <w:r>
              <w:rPr>
                <w:rFonts w:ascii="Arial" w:cs="Arial" w:eastAsia="Arial" w:hAnsi="Arial"/>
                <w:sz w:val="18"/>
                <w:szCs w:val="18"/>
                <w:b w:val="1"/>
                <w:bCs w:val="1"/>
                <w:color w:val="auto"/>
              </w:rPr>
              <w:t>Carrying Value as of</w:t>
            </w:r>
          </w:p>
        </w:tc>
        <w:tc>
          <w:tcPr>
            <w:tcW w:w="100" w:type="dxa"/>
            <w:vAlign w:val="bottom"/>
          </w:tcPr>
          <w:p>
            <w:pPr>
              <w:spacing w:after="0"/>
              <w:rPr>
                <w:sz w:val="20"/>
                <w:szCs w:val="20"/>
                <w:color w:val="auto"/>
              </w:rPr>
            </w:pPr>
          </w:p>
        </w:tc>
        <w:tc>
          <w:tcPr>
            <w:tcW w:w="156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87"/>
              </w:rPr>
              <w:t>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equity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132,103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121,139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981</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Safety, Income &amp; Growth Inc. ("SAFE")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tcPr>
          <w:p>
            <w:pPr>
              <w:ind w:left="40"/>
              <w:spacing w:after="0" w:line="270" w:lineRule="exact"/>
              <w:rPr>
                <w:sz w:val="20"/>
                <w:szCs w:val="20"/>
                <w:color w:val="auto"/>
              </w:rPr>
            </w:pPr>
            <w:r>
              <w:rPr>
                <w:rFonts w:ascii="Arial" w:cs="Arial" w:eastAsia="Arial" w:hAnsi="Arial"/>
                <w:sz w:val="18"/>
                <w:szCs w:val="18"/>
                <w:color w:val="auto"/>
              </w:rPr>
              <w:t>Marina Palms, LLC ("Marina Palms")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3,117</w:t>
            </w: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real estate equity investments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410,619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307,623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5,455</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strategic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50"/>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422,853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321,241</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8890</wp:posOffset>
            </wp:positionV>
            <wp:extent cx="4605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-98425</wp:posOffset>
            </wp:positionV>
            <wp:extent cx="4605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jc w:val="both"/>
        <w:ind w:left="500" w:hanging="492"/>
        <w:spacing w:after="0" w:line="246"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January 1, 2018, the Company recorded a step-up in basis to fair value of its retained noncontrolling interest relating to the sale of its Ground Lease business (refer to note 4) and other transactions where the Company sold or contributed real estate to a venture and previously recognized partial gains. Prior to the adoption of ASU 2017-05 (refer to Note 3), the Company was required to recognize gains on only the portion of its interest transferred to third parties and was precluded from recognizing a gain on its retained noncontrolling interest, which was carried at the Company’s historical cost basis.</w:t>
      </w:r>
    </w:p>
    <w:p>
      <w:pPr>
        <w:spacing w:after="0" w:line="1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Net Lease Venture</w:t>
      </w:r>
      <w:r>
        <w:rPr>
          <w:rFonts w:ascii="Arial" w:cs="Arial" w:eastAsia="Arial" w:hAnsi="Arial"/>
          <w:sz w:val="17"/>
          <w:szCs w:val="17"/>
          <w:color w:val="auto"/>
        </w:rPr>
        <w:t>—In February 2014, the Company partnered with a sovereign wealth fund to form the Net Lease Venture to acquire and develop net</w:t>
      </w:r>
      <w:r>
        <w:rPr>
          <w:rFonts w:ascii="Arial" w:cs="Arial" w:eastAsia="Arial" w:hAnsi="Arial"/>
          <w:sz w:val="17"/>
          <w:szCs w:val="17"/>
          <w:b w:val="1"/>
          <w:bCs w:val="1"/>
          <w:color w:val="auto"/>
        </w:rPr>
        <w:t xml:space="preserve"> </w:t>
      </w:r>
      <w:r>
        <w:rPr>
          <w:rFonts w:ascii="Arial" w:cs="Arial" w:eastAsia="Arial" w:hAnsi="Arial"/>
          <w:sz w:val="17"/>
          <w:szCs w:val="17"/>
          <w:color w:val="auto"/>
        </w:rPr>
        <w:t>lease assets and gave a right of first offer to the Net Lease Venture on all new net lease investments. The Company has an equity interest in the Net Lease Venture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50.0% of any promote payment received based on the 47.5% partner's interest. The Net Lease Venture's investment period was extended from March 31, 2018 to June 30, 2018 during the first quarter 2018.</w:t>
      </w:r>
    </w:p>
    <w:p>
      <w:pPr>
        <w:spacing w:after="0" w:line="12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2018 and December 31, 2017, the venture's carrying value of total assets was $740.7 million and $658.3 million, respectively. During the three months ended March 31, 2018 and 2017, the Company recorded management fees of $0.6 million and $0.5 million, respectively, from the Net Lease Venture which are included in "Other income" in the Company's consolidated statements of operations.</w:t>
      </w:r>
    </w:p>
    <w:p>
      <w:pPr>
        <w:spacing w:after="0" w:line="10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Safety, Income &amp; Growth Inc.</w:t>
      </w:r>
      <w:r>
        <w:rPr>
          <w:rFonts w:ascii="Arial" w:cs="Arial" w:eastAsia="Arial" w:hAnsi="Arial"/>
          <w:sz w:val="18"/>
          <w:szCs w:val="18"/>
          <w:color w:val="auto"/>
        </w:rPr>
        <w:t>—The Company and two institutional investors capitalized SIGI Acquisition, Inc. ("SIGI") on April 14, 2017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manage and capitalize Ground Leases. The Company contributed $55.5 million for an initial 49.1%</w:t>
      </w:r>
    </w:p>
    <w:p>
      <w:pPr>
        <w:sectPr>
          <w:pgSz w:w="11900" w:h="16838" w:orient="portrait"/>
          <w:cols w:equalWidth="0" w:num="1">
            <w:col w:w="11420"/>
          </w:cols>
          <w:pgMar w:left="240" w:top="122"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noncontrolling interest in SIGI and the two institutional investors contributed an aggregate $57.5 million for an initial 50.9% controlling interest in SIGI. A wholly-owned subsidiary of the Company that held the Company's Ground Lease business and assets merged with and into SIGI on April 14, 2017 with SIGI surviving the merger and being renamed Safety, Income &amp; Growth Inc. ("SAFE"). Through this merger and related transactions, the institutional investors acquired a controlling interest in the Company's Ground Lease business. The Company's carrying value of the Ground Lease assets was approximately $161.1 million. Shortly before the Acquisition Transactions, the Company completed the $227.0 million 2017 Secured Financing on its Ground Lease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 Company deconsolidated the 12 properties and the associated 2017 Secured Financing. The Company accounted for this transaction as an in substance sale of real estate and recognized a gain of $123.4 million, reflecting the aggregate gain less the fair value of the Company's retained interest in SAFE. As a result of the adoption of ASU 2017-05, on January 1, 2018, the Company recorded an increase to retained earnings of $55.5 million, bringing the Company's aggregate gain on the sale of its Ground Lease business to approximately $178.9 million.</w:t>
      </w:r>
    </w:p>
    <w:p>
      <w:pPr>
        <w:spacing w:after="0" w:line="1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June 27, 2017, SAFE completed its initial public offering (the "Offering") raising $205.0 million in gross proceeds and concurrently completed a $45.0 million private placement to the Company. In addition, the Company paid $18.9 million in organization and offering costs of the up to $25.0 million in organization and offering costs it agreed to pay in connection with the Offering and concurrent private placement. The Company expensed the portion of offering costs that was attributable to other investors in "Other expense" in the Company's consolidated statements of operations and capitalized the portion of offering costs attributable to the Company's ownership interest in "Other investments" on the Company's consolidated balance sheets. Subsequent to the initial public offering, the Company purchased 2.2 million shares of SAFE's common stock for $41.7 million, representing an average cost of $18.67 per share, pursuant to two 10b5-1 plans in accordance with Rules 10b5-1 and 10b-18 under the Securities and Exchange Act of 1934, as amended, under which the Company could buy shares of SAFE's common stock in the open market. As of March 31, 2018, the Company had utilized all of the availability authorized in the 10b5-1 Plans and owned approximately 39.9% of SAFE's common stock outstanding.</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subsequent to SAFE's initial public offering, trusts established by Jay Sugarman, the Company's Chairman and Chief Executive Officer, and Geoffrey Jervis, the Company's former Chief Operating Officer and former Chief Financial Officer, purchased 26,000 shares in the aggregate of SAFE's common stock for an aggregate $0.5 million, representing an average cost of $19.20 per share, pursuant to a 10b5-1 plan in accordance with Rules 10b5-1 and 10b-18 under the Securities and Exchange Act of 1934, as amended.</w:t>
      </w:r>
    </w:p>
    <w:p>
      <w:pPr>
        <w:spacing w:after="0" w:line="14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wholly-owned subsidiary of the Company is the external manager of SAFE and is entitled to a management fee, payable solely in shares of SAFE's common stock, equal to the sum of 1.0% of SAFE's total equity up to $2.5 billion and 0.75% of SAFE's total equity in excess of $2.5 billion. The Company is not entitled to receive any performance or incentive compensation. The Company is also entitled to receive expense reimbursements, including for the allocable costs of its personnel that perform certain legal, accounting, due diligence tasks and other services that third-party professionals or outside consultants otherwise would perform. The Company has agreed to waive both the management fee and certain of the expense reimbursements through June 30, 2018. For the three months ended March 31, 2018, the Company waived $0.9 million of management fees and $0.4 million of expense reimbursements. The Company has an exclusivity agreement with SAFE pursuant to which it agreed, subject to certain exceptions, that it will not acquire, originate, invest in, or provide financing for a third party’s acquisition of, a Ground Lease unless it has first offered that opportunity to SAFE and a majority of its independent directors has declined the opportunity.</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2017, the Company committed to provide a $24.0 million loan to the ground lessee of a Ground Lease originated at SAFE. The loan has an initial term of one year and will be used for the renovation of a medical office building in Atlanta, GA. $10.3 million of the loan was funded as of March 31, 2018. The transaction was approved by the Company's and SAFE's independent directors.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October 2017, the Company closed on a 99-year Ground Lease and a $80.5 million construction financing commitment to support the ground-up development of Great Oaks Multifamily, a to-be-built 301-unit community within the Great Oaks Master Plan of San Jose, CA. The transaction includes a combination of: (i) a newly created Ground Lease and up to a $7.2 million leasehold improvement allowance; and (ii) a $80.5 million leasehold first mortgage. The Company entered into a forward purchase contract with SAFE under which SAFE would acquire the Ground Lease in November 2020 for approximately $34.0 million. The forward purchase contract was approved by the Company's and SAFE's independent directors.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Marina Palms</w:t>
      </w:r>
      <w:r>
        <w:rPr>
          <w:rFonts w:ascii="Arial" w:cs="Arial" w:eastAsia="Arial" w:hAnsi="Arial"/>
          <w:sz w:val="16"/>
          <w:szCs w:val="16"/>
          <w:color w:val="auto"/>
        </w:rPr>
        <w:t>—As of March 31, 2018, the Company owned a 47.5% equity interest in Marina Palms, a 468 unit, two tower residential condominium</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in North Miami Beach, Florida. The 234 unit north tower has one unit remaining for sale as of March 31, 2018. The 234 unit south tower has 30 units remaining for sale as of March 31, 2018. This entity is not a VIE and the Company does not have controlling interest due to shared control of the entity with its partner. As of March 31, 2018 and December 31, 2017, the venture's carrying value of total assets was $30.9 million and $32.4 million, respectively.</w:t>
      </w:r>
    </w:p>
    <w:p>
      <w:pPr>
        <w:spacing w:after="0" w:line="9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March 31, 2018, the Company's other real estate equity investments include equity interests in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ranging from 20.0% to 95.0%, comprised of investments of $55.9 million in operating properties and $71.0 million in land assets. As of December 31, 2017, the Company's other real estate equity investments included $38.8 million in operating properties and $61.3 million in land assets.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December 2016, the Company sold a land and development asset to a newly formed unconsolidated entity in which the Company owns a 50.0% equity interest. This entity is a VIE and the Company does not have a controlling interest due to shared control of the entity with its partner. The Company and its partner each made a $7.0 million contribution to the venture and the Company provided financing to the entity in the form of a $27.0 million senior loan commitment, of which $26.0 million and $25.4 million was funded as of March 31, 2018 and December 31, 2017, respectively, and is included in "Loans receivable and other lending investments, net" on the Company's consolidated balance sheets. During the three months ended March 31, 2018 and 2017, the Company recorded $0.5 million and $0.4 million of interest income, respectively, on the senior loan.</w:t>
      </w:r>
    </w:p>
    <w:p>
      <w:pPr>
        <w:spacing w:after="0" w:line="17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strategic investments</w:t>
      </w:r>
      <w:r>
        <w:rPr>
          <w:rFonts w:ascii="Arial" w:cs="Arial" w:eastAsia="Arial" w:hAnsi="Arial"/>
          <w:sz w:val="18"/>
          <w:szCs w:val="18"/>
          <w:color w:val="auto"/>
        </w:rPr>
        <w:t>—As of March 31, 2018 and December 31, 2017, the Company also had investments in real estate related funds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investments in real estate entities.</w:t>
      </w:r>
    </w:p>
    <w:p>
      <w:pPr>
        <w:spacing w:after="0" w:line="256" w:lineRule="exact"/>
        <w:rPr>
          <w:sz w:val="20"/>
          <w:szCs w:val="20"/>
          <w:color w:val="auto"/>
        </w:rPr>
      </w:pPr>
    </w:p>
    <w:p>
      <w:pPr>
        <w:jc w:val="both"/>
        <w:ind w:right="20" w:firstLine="432"/>
        <w:spacing w:after="0" w:line="313" w:lineRule="auto"/>
        <w:rPr>
          <w:sz w:val="20"/>
          <w:szCs w:val="20"/>
          <w:color w:val="auto"/>
        </w:rPr>
      </w:pPr>
      <w:r>
        <w:rPr>
          <w:rFonts w:ascii="Arial" w:cs="Arial" w:eastAsia="Arial" w:hAnsi="Arial"/>
          <w:sz w:val="17"/>
          <w:szCs w:val="17"/>
          <w:b w:val="1"/>
          <w:bCs w:val="1"/>
          <w:color w:val="auto"/>
        </w:rPr>
        <w:t>Summarized investee financial information</w:t>
      </w:r>
      <w:r>
        <w:rPr>
          <w:rFonts w:ascii="Arial" w:cs="Arial" w:eastAsia="Arial" w:hAnsi="Arial"/>
          <w:sz w:val="17"/>
          <w:szCs w:val="17"/>
          <w:color w:val="auto"/>
        </w:rPr>
        <w:t>—The following table presents the investee level summarized financial information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investments, which were significant subsidiaries, for the three months ended March 31, 2018 and 2017 ($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Income</w:t>
            </w:r>
          </w:p>
        </w:tc>
      </w:tr>
      <w:tr>
        <w:trPr>
          <w:trHeight w:val="27"/>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Three Months Ended March 31, 2018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4,442</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For the Three Months Ended March 31, 2017</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r>
      <w:tr>
        <w:trPr>
          <w:trHeight w:val="621"/>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Note 8—Other Assets and Other Liabilities</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2"/>
        </w:trPr>
        <w:tc>
          <w:tcPr>
            <w:tcW w:w="7860" w:type="dxa"/>
            <w:vAlign w:val="bottom"/>
            <w:gridSpan w:val="4"/>
          </w:tcPr>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880" w:type="dxa"/>
            <w:vAlign w:val="bottom"/>
          </w:tcPr>
          <w:p>
            <w:pPr>
              <w:spacing w:after="0"/>
              <w:rPr>
                <w:sz w:val="24"/>
                <w:szCs w:val="24"/>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5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Other receivables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56,369</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27,410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27,124</w:t>
            </w: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24,490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20,045</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9,050</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(5)</w:t>
            </w:r>
          </w:p>
        </w:tc>
        <w:tc>
          <w:tcPr>
            <w:tcW w:w="3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4,652</w:t>
            </w: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fees, net</w:t>
            </w: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5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134,749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8890</wp:posOffset>
            </wp:positionV>
            <wp:extent cx="2804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-98425</wp:posOffset>
            </wp:positionV>
            <wp:extent cx="2804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2018 and December 31, 2017, included $26.0 million of reimbursements receivable related to the construction and development of an operating property.</w:t>
      </w:r>
    </w:p>
    <w:p>
      <w:pPr>
        <w:spacing w:after="0" w:line="1" w:lineRule="exact"/>
        <w:rPr>
          <w:rFonts w:ascii="Arial" w:cs="Arial" w:eastAsia="Arial" w:hAnsi="Arial"/>
          <w:sz w:val="14"/>
          <w:szCs w:val="14"/>
          <w:color w:val="auto"/>
        </w:rPr>
      </w:pPr>
    </w:p>
    <w:p>
      <w:pPr>
        <w:jc w:val="both"/>
        <w:ind w:left="500" w:hanging="492"/>
        <w:spacing w:after="0" w:line="260" w:lineRule="auto"/>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Intangible assets, net includes above market and in-place lease assets and lease incentives related to the acquisition of real estate assets. Accumulated amortization on intangible assets, net was $35.1 million and $34.9 million as of March 31, 2018 and December 31, 2017, respectively. The amortization of above market leases and lease incentive assets decreased operating lease income in the Company's consolidated statements of operations by $0.4 million and $0.8 million for the three months ended March 31, 2018 and 2017, respectively. These intangible lease assets are amortized over the remaining term of the lease. The amortization expense for in-place leases was $0.4 million and $0.5 million for the three months ended March 31, 2018 and 2017, respectively. These amounts are included in "Depreciation and amortization" in the Company's consolidated statements of operations.</w:t>
      </w: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assets primarily includes prepaid expenses and deposits for certain real estate assets.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Accumulated amortization of leasing costs was $4.6 million and $4.7 million as of March 31, 2018 and December 31, 2017,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$10.8 million and $10.5 million as of March 31, 2018 and December 31, 2017,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104,261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79,015</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75,995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101,035</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49,933</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217,874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238,004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2018 and December 31, 2017, other liabilities includes $58.0 million and $29.2 million, respectively, related to profit sharing arrangements with developers for certain properties sold. As of March 31, 2018 and December 31, 2017, includes $0.9 million and $1.6 million, respectively, associated with "Real estate available and held for sale" on the Company's consolidated balance sheets. As of March 31, 2018 and December 31, 2017, other liabilities also includes $4.8 million and $6.2 million, respectively, related to tax increment financing bonds which were issued by government entities to fund development within two of the Company's land projects. The amount represents tax assessments associated with each project, which will decrease as the Company sells units.</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2018 and December 31, 2017, accrued expenses includes $4.2 million and $2.5 million, respectively, associated with "Real estate available and held for sale" on the Company's consolidated balance sheets.</w:t>
      </w:r>
    </w:p>
    <w:p>
      <w:pPr>
        <w:jc w:val="both"/>
        <w:ind w:left="500" w:hanging="492"/>
        <w:spacing w:after="0" w:line="248"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Intangible liabilities, net includes below market lease liabilities related to the acquisition of real estate assets. Accumulated amortization on below market lease liabilities was $7.1 million and $7.8 million as of March 31, 2018 and December 31, 2017, respectively. The amortization of below market leases increased operating lease income in the Company's consolidated statements of operations by $0.1 million and $0.3 million for the three months ended March 31, 2018 and 2017,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loan participations payable, net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60" w:type="dxa"/>
            <w:vAlign w:val="bottom"/>
            <w:gridSpan w:val="4"/>
          </w:tcPr>
          <w:p>
            <w:pPr>
              <w:jc w:val="right"/>
              <w:ind w:right="1350"/>
              <w:spacing w:after="0"/>
              <w:rPr>
                <w:sz w:val="20"/>
                <w:szCs w:val="20"/>
                <w:color w:val="auto"/>
              </w:rPr>
            </w:pPr>
            <w:r>
              <w:rPr>
                <w:rFonts w:ascii="Arial" w:cs="Arial" w:eastAsia="Arial" w:hAnsi="Arial"/>
                <w:sz w:val="18"/>
                <w:szCs w:val="18"/>
                <w:b w:val="1"/>
                <w:bCs w:val="1"/>
                <w:color w:val="auto"/>
              </w:rPr>
              <w:t>Carrying Value as of</w:t>
            </w:r>
          </w:p>
        </w:tc>
      </w:tr>
      <w:tr>
        <w:trPr>
          <w:trHeight w:val="27"/>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Loan participations payable</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85,621</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102,737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Debt discounts and deferred financing costs, net</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loan participations payable,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85,354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102,425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-98425</wp:posOffset>
            </wp:positionV>
            <wp:extent cx="2847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500" w:hanging="492"/>
        <w:spacing w:after="0" w:line="255"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March 31, 2018, the Company had two loan participations payable with a weighted average interest rate of 6.8%. As of December 31, 2017, the Company had two loan participations payable with a weighted average interest rate of 6.5%.</w:t>
      </w:r>
    </w:p>
    <w:p>
      <w:pPr>
        <w:spacing w:after="0" w:line="13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 participations represent transfers of financial assets that did not meet the sales criteria established under ASC Topic 860 and are accounted for as loan participations payable, net as of March 31, 2018 and December 31, 2017. As of March 31, 2018 and December 31, 2017, the corresponding loan receivable balances were $85.3 million and $102.3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debt obligations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7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Stated</w:t>
            </w:r>
          </w:p>
        </w:tc>
        <w:tc>
          <w:tcPr>
            <w:tcW w:w="3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0" w:type="dxa"/>
            <w:vAlign w:val="bottom"/>
          </w:tcPr>
          <w:p>
            <w:pPr>
              <w:spacing w:after="0"/>
              <w:rPr>
                <w:sz w:val="1"/>
                <w:szCs w:val="1"/>
                <w:color w:val="auto"/>
              </w:rPr>
            </w:pPr>
          </w:p>
        </w:tc>
      </w:tr>
      <w:tr>
        <w:trPr>
          <w:trHeight w:val="71"/>
        </w:trPr>
        <w:tc>
          <w:tcPr>
            <w:tcW w:w="3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6"/>
                <w:szCs w:val="6"/>
                <w:color w:val="auto"/>
              </w:rPr>
            </w:pPr>
          </w:p>
        </w:tc>
        <w:tc>
          <w:tcPr>
            <w:tcW w:w="16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368"/>
              <w:spacing w:after="0"/>
              <w:rPr>
                <w:sz w:val="20"/>
                <w:szCs w:val="20"/>
                <w:color w:val="auto"/>
              </w:rPr>
            </w:pPr>
            <w:r>
              <w:rPr>
                <w:rFonts w:ascii="Arial" w:cs="Arial" w:eastAsia="Arial" w:hAnsi="Arial"/>
                <w:sz w:val="14"/>
                <w:szCs w:val="14"/>
                <w:b w:val="1"/>
                <w:bCs w:val="1"/>
                <w:color w:val="auto"/>
              </w:rPr>
              <w:t>Interest Rates</w:t>
            </w:r>
          </w:p>
        </w:tc>
        <w:tc>
          <w:tcPr>
            <w:tcW w:w="3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Secured credit facilities and mortgages:</w:t>
            </w:r>
          </w:p>
        </w:tc>
        <w:tc>
          <w:tcPr>
            <w:tcW w:w="34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2015 $325 million Revolving Credit Facility</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22"/>
                <w:szCs w:val="22"/>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LIBOR + 2.50%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(1)</w:t>
            </w: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September 2020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2016 Senior Credit Facility</w:t>
            </w: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376,671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399,000</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LIBOR + 3.00%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(2)</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Mortgages collateralized by net lease assets</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206,162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208,491</w:t>
            </w:r>
          </w:p>
        </w:tc>
        <w:tc>
          <w:tcPr>
            <w:tcW w:w="18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4.102% - 7.26%</w:t>
            </w:r>
          </w:p>
        </w:tc>
        <w:tc>
          <w:tcPr>
            <w:tcW w:w="340" w:type="dxa"/>
            <w:vAlign w:val="bottom"/>
            <w:tcBorders>
              <w:bottom w:val="single" w:sz="8" w:color="CCEEFF"/>
            </w:tcBorders>
          </w:tcPr>
          <w:p>
            <w:pPr>
              <w:jc w:val="right"/>
              <w:ind w:right="155"/>
              <w:spacing w:after="0"/>
              <w:rPr>
                <w:sz w:val="20"/>
                <w:szCs w:val="20"/>
                <w:color w:val="auto"/>
              </w:rPr>
            </w:pPr>
            <w:r>
              <w:rPr>
                <w:rFonts w:ascii="Arial" w:cs="Arial" w:eastAsia="Arial" w:hAnsi="Arial"/>
                <w:sz w:val="9"/>
                <w:szCs w:val="9"/>
                <w:color w:val="auto"/>
              </w:rPr>
              <w:t>(3)</w:t>
            </w: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Various through 2026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secured credit facilities and mortgages</w:t>
            </w:r>
          </w:p>
        </w:tc>
        <w:tc>
          <w:tcPr>
            <w:tcW w:w="3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582,833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932,491</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Unsecured notes:</w:t>
            </w: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5.00% senior notes</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July 2019</w:t>
            </w: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4.625% senior notes</w:t>
            </w:r>
            <w:r>
              <w:rPr>
                <w:rFonts w:ascii="Arial" w:cs="Arial" w:eastAsia="Arial" w:hAnsi="Arial"/>
                <w:sz w:val="8"/>
                <w:szCs w:val="8"/>
                <w:color w:val="auto"/>
              </w:rPr>
              <w:t>(5)</w:t>
            </w:r>
          </w:p>
        </w:tc>
        <w:tc>
          <w:tcPr>
            <w:tcW w:w="34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4.625%</w:t>
            </w:r>
          </w:p>
        </w:tc>
        <w:tc>
          <w:tcPr>
            <w:tcW w:w="34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September 2020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6.50% senior notes</w:t>
            </w:r>
            <w:r>
              <w:rPr>
                <w:rFonts w:ascii="Arial" w:cs="Arial" w:eastAsia="Arial" w:hAnsi="Arial"/>
                <w:sz w:val="8"/>
                <w:szCs w:val="8"/>
                <w:color w:val="auto"/>
              </w:rPr>
              <w:t>(6)</w:t>
            </w: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July 2021</w:t>
            </w: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6.00% senior notes</w:t>
            </w:r>
            <w:r>
              <w:rPr>
                <w:rFonts w:ascii="Arial" w:cs="Arial" w:eastAsia="Arial" w:hAnsi="Arial"/>
                <w:sz w:val="8"/>
                <w:szCs w:val="8"/>
                <w:color w:val="auto"/>
              </w:rPr>
              <w:t>(7)</w:t>
            </w:r>
          </w:p>
        </w:tc>
        <w:tc>
          <w:tcPr>
            <w:tcW w:w="34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375,000</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34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8"/>
              </w:rPr>
              <w:t>April 2022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5.25% senior notes</w:t>
            </w:r>
            <w:r>
              <w:rPr>
                <w:rFonts w:ascii="Arial" w:cs="Arial" w:eastAsia="Arial" w:hAnsi="Arial"/>
                <w:sz w:val="8"/>
                <w:szCs w:val="8"/>
                <w:color w:val="auto"/>
              </w:rPr>
              <w:t>(8)</w:t>
            </w: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2022</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3.125% senior convertible notes</w:t>
            </w:r>
            <w:r>
              <w:rPr>
                <w:rFonts w:ascii="Arial" w:cs="Arial" w:eastAsia="Arial" w:hAnsi="Arial"/>
                <w:sz w:val="8"/>
                <w:szCs w:val="8"/>
                <w:color w:val="auto"/>
              </w:rPr>
              <w:t>(9)</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287,500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287,500</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3.125%</w:t>
            </w:r>
          </w:p>
        </w:tc>
        <w:tc>
          <w:tcPr>
            <w:tcW w:w="34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September 2022</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unsecured notes</w:t>
            </w:r>
          </w:p>
        </w:tc>
        <w:tc>
          <w:tcPr>
            <w:tcW w:w="3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2,507,500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2,507,500</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Other debt obligations:</w:t>
            </w: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Trust preferred securities</w:t>
            </w:r>
          </w:p>
        </w:tc>
        <w:tc>
          <w:tcPr>
            <w:tcW w:w="34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LIBOR + 1.50%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2035</w:t>
            </w:r>
          </w:p>
        </w:tc>
        <w:tc>
          <w:tcPr>
            <w:tcW w:w="0" w:type="dxa"/>
            <w:vAlign w:val="bottom"/>
          </w:tcPr>
          <w:p>
            <w:pPr>
              <w:spacing w:after="0"/>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debt obligations</w:t>
            </w:r>
          </w:p>
        </w:tc>
        <w:tc>
          <w:tcPr>
            <w:tcW w:w="34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3,190,333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3,539,991</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discounts and deferred financing costs, net</w:t>
            </w:r>
          </w:p>
        </w:tc>
        <w:tc>
          <w:tcPr>
            <w:tcW w:w="3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(63,591)</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debt obligations, net</w:t>
            </w:r>
            <w:r>
              <w:rPr>
                <w:rFonts w:ascii="Arial" w:cs="Arial" w:eastAsia="Arial" w:hAnsi="Arial"/>
                <w:sz w:val="8"/>
                <w:szCs w:val="8"/>
                <w:b w:val="1"/>
                <w:bCs w:val="1"/>
                <w:color w:val="auto"/>
              </w:rPr>
              <w:t>(10)</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3,130,934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3,476,400</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0</wp:posOffset>
            </wp:positionV>
            <wp:extent cx="266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2667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both"/>
        <w:ind w:left="500" w:right="2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September 2021.</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of 2.00%; or (ii) LIBOR subject to a margin of 3.00% with a minimum LIBOR rate of 0.75%.</w:t>
      </w: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March 31, 2018, the weighted average interest rate of these loans is 5.2%.</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June 15, 2020.</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2020.</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April 1, 2021.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September 15, 2021.</w:t>
      </w:r>
    </w:p>
    <w:p>
      <w:pPr>
        <w:spacing w:after="0" w:line="1"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3.125% senior convertible fixed rate notes due September 2022 ("3.125% Convertible Notes") are convertible at the option of the holders at a conversion rate of 64.36 shares per $1,000 principal amount of 3.125% Convertible Notes, which equals a conversion price of $15.54 per share, at any time prior to the close of business on the business day immediately preceding September 15, 2022. Upon conversion, the Company will pay or deliver, as the case may be, a combination of cash and shares of its common stock. As such, at issuance in September 2017, the Company valued the debt component at $221.8 million, net of fees, and the equity component of the conversion feature at $22.5 million, net of fees, and recorded the equity component in "Additional paid-in capital" on the Company's consolidated balance sheet. In October 2017, the initial purchasers of the 3.125% Convertible Notes exercised their option to purchase an additional $37.5 million aggregate principal amount of the 3.125% Convertible Notes. At issuance, the Company valued the debt component at $34.0 million, net of fees, and the equity component of the conversion feature at $3.4 million, net of fees, and recorded the equity component in "Additional paid-in capital" on the Company's consolidated balance sheet. As of March 31, 2018, the carrying value of the 3.125% Convertible Notes was $258.2 million, net of fees, and the unamortized discount of the 3.125% Convertible Notes was $24.0 million, net of fees. During the three months ended March 31, 2018, the Company recognized $2.2 million of contractual interest and $1.2 million of discount amortization on the 3.125% Convertible Notes. The effective interest rate was 5.2%.</w:t>
      </w:r>
    </w:p>
    <w:p>
      <w:pPr>
        <w:spacing w:after="0" w:line="3"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$2.4 million and $2.0 million during the three months ended March 31, 2018 and 2017,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March 31, 2018, future scheduled maturities of outstanding debt obligations are as follows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Unsecured Debt</w:t>
            </w: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Secured Debt</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 nine months)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771,356</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492,552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767,552</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1,121,019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130,406</w:t>
            </w: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3,190,333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Unamortized discounts and deferred financing costs, net</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(59,399)</w:t>
            </w: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2,555,391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575,543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3,130,934</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2017 Secured Financing</w:t>
      </w:r>
      <w:r>
        <w:rPr>
          <w:rFonts w:ascii="Arial" w:cs="Arial" w:eastAsia="Arial" w:hAnsi="Arial"/>
          <w:sz w:val="17"/>
          <w:szCs w:val="17"/>
          <w:color w:val="auto"/>
        </w:rPr>
        <w:t>—In March 2017, the predecessor of SAFE (which at the time was comprised of the Company's wholly-owned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conducting its Ground Lease business) entered into a $227.0 million secured financing transaction (the "2017 Secured Financing") that accrued interest at 3.795% and matures in April 2027. The 2017 Secured Financing was collateralized by the 12 properties comprising SAFE's initial portfolio. In connection with the 2017 Secured Financing, the Company incurred $7.3 million of lender and third-party fees, substantially all of which was capitalized in "Debt obligations, net" on the Company's consolidated balance sheets. In April 2017, the Company derecognized the 2017 Secured Financing when third parties acquired a controlling interest in SAFE's predecessor, prior to SAFE's initial public offering (refer to Note 4).</w:t>
      </w:r>
    </w:p>
    <w:p>
      <w:pPr>
        <w:spacing w:after="0" w:line="13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providing a limited recourse guaranty and environmental indemnity under the 2017 Secured Financing that will remain in effect until SAFE has achieved either an equity market capitalization of at least $500.0 million (inclusive of the initial portfolio that the Company contributed to SAFE) or a net worth of at least $250.0 million (exclusive of the initial portfolio that the Company contributed to SAFE), and SAFE or another replacement guarantor provides similar guaranties and indemnities to the lenders. The management agreement with SAFE provides that SAFE may not terminate the management agreement unless a successor guarantor reasonably acceptable to the Company has agreed to replace the Company as guarantor and indemnitor or has provided the Company with a reasonably acceptable indemnity for any losses suffered by the Company as guarantor and indemnitor. SAFE has generally agreed to indemnify the Company for any amounts the Company is required to pay, or other losses the Company may suffer, under the limited recourse guaranty and environmental indemnity.</w:t>
      </w:r>
    </w:p>
    <w:p>
      <w:pPr>
        <w:spacing w:after="0" w:line="14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2016 Senior Credit Facility</w:t>
      </w:r>
      <w:r>
        <w:rPr>
          <w:rFonts w:ascii="Arial" w:cs="Arial" w:eastAsia="Arial" w:hAnsi="Arial"/>
          <w:sz w:val="18"/>
          <w:szCs w:val="18"/>
          <w:color w:val="auto"/>
        </w:rPr>
        <w:t>—In June 2016, the Company entered into a senior credit facility of $450.0 million (the "2016 Senior Credit Facility").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2016, the Company upsized the facility to $500.0 million. The initial $450.0 million of the 2016 Senior Credit Facility was issued at 99% of par and the upsize was issued at par. In January 2017, the Company repriced the 2016 Senior Credit Facility to LIBOR plus 3.75% with a 1.00% LIBOR floor from LIBOR plus 4.50% with a 1.00% LIBOR floor. In September 2017, the Company reduced, repriced and extended the 2016 Senior Credit Facility to $400.0 million priced at LIBOR plus 3.00% with a 0.75% LIBOR floor and maturing in October 2021. These transactions resulted in an aggregate 1.50% reduction in price.</w:t>
      </w:r>
    </w:p>
    <w:p>
      <w:pPr>
        <w:spacing w:after="0" w:line="1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2016 Senior Credit Facility is collateralized 1.25x by a first lien on a fixed pool of assets. Proceeds from principal repayments and sales of collateral are applied to amortize the 2016 Senior Credit Facility. Proceeds received for interest, rent, lease payments and fee income are retained by the Company. The Company may also make optional prepayments, subject to prepayment fees, and is required to repay 0.25% of the principal amount on the first business day of each quarter.</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2018, repayments of the 2016 Senior Credit Facility resulted in losses on early extinguishment of debt of $0.4 million.</w:t>
      </w:r>
    </w:p>
    <w:p>
      <w:pPr>
        <w:spacing w:after="0" w:line="12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2015 Revolving Credit Facility</w:t>
      </w:r>
      <w:r>
        <w:rPr>
          <w:rFonts w:ascii="Arial" w:cs="Arial" w:eastAsia="Arial" w:hAnsi="Arial"/>
          <w:sz w:val="16"/>
          <w:szCs w:val="16"/>
          <w:color w:val="auto"/>
        </w:rPr>
        <w:t>—In March 2015, the Company entered into a secured revolving credit facility with a maximum capacity of $250.0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(the "2015 Revolving Credit Facility"). In September 2017, the Company upsized the 2015 Revolving Credit Facility to $325.0 million, added additional lenders to the syndicate, extended the maturity date to September 2020 and made certain other changes. This facility is secured by a pledge of the equity interest in a pool of assets which provide asset value coverage for borrowings under the facility. Borrowings under this credit facility bear interest at a floating rate indexed to one of several base rates plus a margin which adjusts upward or downward based upon the Company's corporate credit rating.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undrawn credit facility commitment fee ranges from 0.30% to 0.50%, based on corporate credit ratings. At maturity, the Company may convert outstanding borrowings to a one year term loan which matures in quarterly installments through September 2021. During the three months ended March 31, 2018, the Company repaid from cash on hand the $325.0 million outstanding on the 2015 Revolving Credit Facility and as of March 31, 2018, based on the Company's borrowing base of assets, the Company had $325.0 million of borrowing capacity available under the 2015 Revolving Credit Facility.</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September 2017, the Company issued $400.0 million principal amount of 4.625% senior unsecured notes due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$400.0 million principal amount of 5.25% senior unsecured notes due September 2022 and $250.0 million of 3.125% Convertible Notes due September 2022. The Company incurred approximately $18.6 million dollars in fees related to these offerings, all of which was capitalized in "Debt obligations, net" on the Company's consolidated balance sheets. Proceeds from these offerings, together with cash on hand, were used to repay in full the $550.0 million principal amount outstanding of the 4.0% senior unsecured notes due November 2017, the $300.0 million principal amount outstanding of the 7.125% senior unsecured notes due February 2018 and the $300.0 million principal amount outstanding of the 4.875% senior unsecured notes due July 2018. In addition, the initial purchasers of the 3.125% Convertible Notes exercised their option to purchase an additional $37.5 million aggregate principal amount of the 3.125% Convertible Notes.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2017, the Company issued $375.0 million principal amount of 6.00% senior unsecured notes due April 2022. Proceeds from the offering were primarily used to repay in full the $99.7 million principal amount outstanding of the 5.85% senior unsecured notes due March 2017 and repay in full the $275.0 million principal amount outstanding of the 9.00% senior unsecured notes due June 2017 prior to maturity.</w:t>
      </w:r>
    </w:p>
    <w:p>
      <w:pPr>
        <w:spacing w:after="0" w:line="17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Collateral Assets</w:t>
      </w:r>
      <w:r>
        <w:rPr>
          <w:rFonts w:ascii="Arial" w:cs="Arial" w:eastAsia="Arial" w:hAnsi="Arial"/>
          <w:sz w:val="18"/>
          <w:szCs w:val="18"/>
          <w:color w:val="auto"/>
        </w:rPr>
        <w:t>—The carrying value of the Company's assets that are directly pledged or are held by subsidiaries whose equity is pledged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to secure the Company's obligations under its secured debt facilities are as follows, by asset type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March 31, 2018</w:t>
            </w:r>
          </w:p>
        </w:tc>
        <w:tc>
          <w:tcPr>
            <w:tcW w:w="220" w:type="dxa"/>
            <w:vAlign w:val="bottom"/>
          </w:tcPr>
          <w:p>
            <w:pPr>
              <w:spacing w:after="0"/>
              <w:rPr>
                <w:sz w:val="20"/>
                <w:szCs w:val="20"/>
                <w:color w:val="auto"/>
              </w:rPr>
            </w:pPr>
          </w:p>
        </w:tc>
        <w:tc>
          <w:tcPr>
            <w:tcW w:w="28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December 31, 2017</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Collateral</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Non-Collateral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Collateral</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Non-Collateral</w:t>
            </w:r>
          </w:p>
        </w:tc>
      </w:tr>
      <w:tr>
        <w:trPr>
          <w:trHeight w:val="261"/>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6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80" w:type="dxa"/>
            <w:vAlign w:val="bottom"/>
          </w:tcPr>
          <w:p>
            <w:pPr>
              <w:spacing w:after="0"/>
              <w:rPr>
                <w:sz w:val="22"/>
                <w:szCs w:val="22"/>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Assets</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835,211</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(2)(3)</w:t>
            </w: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185,161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1,146,571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1,021,340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601,322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898,252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3,380,511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3,611,273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2016 Senior Credit Facility and the 2015 Revolving Credit Facility are secured only by pledges of equity of certain of the Company's subsidiaries and not by pledges of the assets held by such subsidiaries. Such subsidiaries are subject to contractual restrictions under the terms of such credit facilities, including restrictions on incurring new debt (subject to certain exceptions).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March 31, 2018 and December 31, 2017, the amounts presented exclude general reserves for loan losses of $16.6 million and $17.5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March 31, 2018 and December 31, 2017, the amounts presented exclude loan participations of $85.3 million and $102.3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as such terms are defined in the indentures governing the debt securities,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If the Company's ability to incur additional indebtedness under the fixed charge coverage ratio is limited, the Company is permitted to incur indebtedness for the purpose of refinancing existing indebtedness and for other permitted purposes under the indentures.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Company's 2016 Senior Credit Facility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Credit Facility requires the Company to maintain collateral coverage of at least 1.25x outstanding borrowings on the facility. The 2015 Revolving Credit Facility is secured by a borrowing base of assets and requires the Company to maintain both borrowing base asset value of at least 1.5x outstanding borrowings on the facility and a consolidated ratio of cash flow to fixed charges of at least 1.5x. The 2015 Revolving Credit Facility does not require that proceeds from the borrowing base be used to pay down outstanding borrowings provided the borrowing base asset value remains at least 1.5x outstanding borrowings on the facility. To satisfy this covenant, the Company has the option to pay down outstanding borrowings or substitute assets in the borrowing base. In addition, for so long as the Company maintains its qualification as a REIT, the 2016 Senior Credit Facility and the 2015 Revolving Credit Facility permit the Company to distribute 100% of its REIT taxable income on an annual basis (prior to deducting certain cumulative net operating loss ("NOL") carryforwards). The Company may not pay common dividends if it ceases to qualify as a REIT.</w:t>
      </w:r>
    </w:p>
    <w:p>
      <w:pPr>
        <w:spacing w:after="0" w:line="16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2016 Senior Credit Facility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real estate assets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if and when the borrowers and tenants meet established milestones and other performance criteria. The Company refers to these arrangements as Performance-Based Commitments. In addition, the Company has committed to invest capital in several real estate funds and other ventures. These arrangements are referred to as Strategic Investments.</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the maximum amount of fundings the Company may be required to make under each category, assuming all performance hurdles and milestones are met under the Performance-Based Commitments and that 100% of its capital committed to Strategic Investments is drawn down, are as follows ($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Loans and Other</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61"/>
        </w:trPr>
        <w:tc>
          <w:tcPr>
            <w:tcW w:w="3600" w:type="dxa"/>
            <w:vAlign w:val="bottom"/>
          </w:tcPr>
          <w:p>
            <w:pPr>
              <w:spacing w:after="0"/>
              <w:rPr>
                <w:sz w:val="22"/>
                <w:szCs w:val="22"/>
                <w:color w:val="auto"/>
              </w:rPr>
            </w:pPr>
          </w:p>
        </w:tc>
        <w:tc>
          <w:tcPr>
            <w:tcW w:w="2020" w:type="dxa"/>
            <w:vAlign w:val="bottom"/>
            <w:gridSpan w:val="3"/>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Lending Investments</w:t>
            </w:r>
            <w:r>
              <w:rPr>
                <w:rFonts w:ascii="Arial" w:cs="Arial" w:eastAsia="Arial" w:hAnsi="Arial"/>
                <w:sz w:val="25"/>
                <w:szCs w:val="25"/>
                <w:b w:val="1"/>
                <w:bCs w:val="1"/>
                <w:color w:val="auto"/>
                <w:w w:val="87"/>
                <w:vertAlign w:val="superscript"/>
              </w:rPr>
              <w:t>(1)</w:t>
            </w:r>
          </w:p>
        </w:tc>
        <w:tc>
          <w:tcPr>
            <w:tcW w:w="30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Real Estate</w:t>
            </w:r>
          </w:p>
        </w:tc>
        <w:tc>
          <w:tcPr>
            <w:tcW w:w="260" w:type="dxa"/>
            <w:vAlign w:val="bottom"/>
          </w:tcPr>
          <w:p>
            <w:pPr>
              <w:spacing w:after="0"/>
              <w:rPr>
                <w:sz w:val="22"/>
                <w:szCs w:val="22"/>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Investments</w:t>
            </w:r>
          </w:p>
        </w:tc>
        <w:tc>
          <w:tcPr>
            <w:tcW w:w="400" w:type="dxa"/>
            <w:vAlign w:val="bottom"/>
          </w:tcPr>
          <w:p>
            <w:pPr>
              <w:spacing w:after="0"/>
              <w:rPr>
                <w:sz w:val="22"/>
                <w:szCs w:val="22"/>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44"/>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471,856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2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9,427</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436,639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481,283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-98425</wp:posOffset>
            </wp:positionV>
            <wp:extent cx="4845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500" w:hanging="492"/>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$83.7 million of commitments on loan participations sold that are not the obligation of the Company.</w:t>
      </w:r>
    </w:p>
    <w:p>
      <w:pPr>
        <w:spacing w:after="0" w:line="20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foreclosure-related proceedings. In addition to such matters, the Company is a party to the following legal proceeding:</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U.S. Home Corporation ("Lennar") v. Settlers Crossing, LLC, et al. (United States District Court for the District of Maryland, Civil Action No. DKC 08-1863)</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4, 2017, the U.S. Supreme Court issued an order denying Lennar’s petition for a writ of certiorari in this matter. The amount of attorneys’ fees and costs to be recovered by the Company will be determined through further proceedings before the District Court. The Company has applied for attorney’s fees in excess of $17.0 million. A hearing on the Company’s application for attorney’s fees has not yet been scheduled. Please refer to the Company's 2017 Annual Report for a more complete description of this matter.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has historically been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did not directly own any derivative financial instruments as of March 31, 2018 and December 31, 2017. The tables below present the effect of the Company's derivative financial instruments, including the Company's share of derivative financial instruments at certain of its equity method investments, in the consolidated statements of operations and the consolidated statements of comprehensive income (loss) ($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Amount of Gain (Loss)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Amount of Gain (Loss)</w:t>
            </w:r>
          </w:p>
        </w:tc>
        <w:tc>
          <w:tcPr>
            <w:tcW w:w="192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9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4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Income (Effective Portion)</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140" w:type="dxa"/>
            <w:vAlign w:val="bottom"/>
          </w:tcPr>
          <w:p>
            <w:pPr>
              <w:spacing w:after="0"/>
              <w:rPr>
                <w:sz w:val="19"/>
                <w:szCs w:val="19"/>
                <w:color w:val="auto"/>
              </w:rPr>
            </w:pPr>
          </w:p>
        </w:tc>
        <w:tc>
          <w:tcPr>
            <w:tcW w:w="1660" w:type="dxa"/>
            <w:vAlign w:val="bottom"/>
            <w:gridSpan w:val="3"/>
          </w:tcPr>
          <w:p>
            <w:pPr>
              <w:jc w:val="right"/>
              <w:ind w:right="48"/>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1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140" w:type="dxa"/>
            <w:vAlign w:val="bottom"/>
          </w:tcPr>
          <w:p>
            <w:pPr>
              <w:spacing w:after="0"/>
              <w:rPr>
                <w:sz w:val="19"/>
                <w:szCs w:val="19"/>
                <w:color w:val="auto"/>
              </w:rPr>
            </w:pPr>
          </w:p>
        </w:tc>
        <w:tc>
          <w:tcPr>
            <w:tcW w:w="1660" w:type="dxa"/>
            <w:vAlign w:val="bottom"/>
            <w:gridSpan w:val="3"/>
          </w:tcPr>
          <w:p>
            <w:pPr>
              <w:jc w:val="right"/>
              <w:ind w:right="48"/>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vMerge w:val="restart"/>
          </w:tcPr>
          <w:p>
            <w:pPr>
              <w:jc w:val="center"/>
              <w:ind w:left="441"/>
              <w:spacing w:after="0"/>
              <w:rPr>
                <w:sz w:val="20"/>
                <w:szCs w:val="20"/>
                <w:color w:val="auto"/>
              </w:rPr>
            </w:pPr>
            <w:r>
              <w:rPr>
                <w:rFonts w:ascii="Arial" w:cs="Arial" w:eastAsia="Arial" w:hAnsi="Arial"/>
                <w:sz w:val="14"/>
                <w:szCs w:val="14"/>
                <w:b w:val="1"/>
                <w:bCs w:val="1"/>
                <w:color w:val="auto"/>
                <w:w w:val="94"/>
              </w:rPr>
              <w:t>Location of Gain</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2"/>
              </w:rPr>
              <w:t>Amount of Gain (Loss)</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5"/>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Recognized in Income For the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left="301"/>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5"/>
          </w:tcPr>
          <w:p>
            <w:pPr>
              <w:jc w:val="center"/>
              <w:ind w:right="1000"/>
              <w:spacing w:after="0" w:line="149" w:lineRule="exact"/>
              <w:rPr>
                <w:sz w:val="20"/>
                <w:szCs w:val="20"/>
                <w:color w:val="auto"/>
              </w:rPr>
            </w:pPr>
            <w:r>
              <w:rPr>
                <w:rFonts w:ascii="Arial" w:cs="Arial" w:eastAsia="Arial" w:hAnsi="Arial"/>
                <w:sz w:val="14"/>
                <w:szCs w:val="14"/>
                <w:b w:val="1"/>
                <w:bCs w:val="1"/>
                <w:color w:val="auto"/>
                <w:w w:val="94"/>
              </w:rPr>
              <w:t>Three Months Ended March 31,</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ind w:left="848"/>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2017, the Company entered into and settled a rate lock swap in connection with the 2017 Secured Financing and a simultaneous rate lock swap with SAFE. As a result of the settlements, the Company initially recorded a $0.4 million unrealized gain in “Accumulated other comprehensive income” on the Company’s consolidated balance sheets and subsequently derecognized the gain when third parties acquired a controlling interest in the Company's Ground Lease business (refer to Note 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Cumulative Preferential Cash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3"/>
              </w:rPr>
              <w:t>Dividends</w:t>
            </w:r>
            <w:r>
              <w:rPr>
                <w:rFonts w:ascii="Arial" w:cs="Arial" w:eastAsia="Arial" w:hAnsi="Arial"/>
                <w:sz w:val="25"/>
                <w:szCs w:val="25"/>
                <w:b w:val="1"/>
                <w:bCs w:val="1"/>
                <w:color w:val="auto"/>
                <w:w w:val="83"/>
                <w:vertAlign w:val="superscript"/>
              </w:rPr>
              <w:t>(1)(2)</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18"/>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Issued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Equivalent to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Liquidation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Fixed Annual</w:t>
            </w:r>
          </w:p>
        </w:tc>
        <w:tc>
          <w:tcPr>
            <w:tcW w:w="1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Carrying Value</w:t>
            </w:r>
          </w:p>
        </w:tc>
      </w:tr>
      <w:tr>
        <w:trPr>
          <w:trHeight w:val="261"/>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Series</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5"/>
              </w:rPr>
              <w:t>Preference</w:t>
            </w:r>
            <w:r>
              <w:rPr>
                <w:rFonts w:ascii="Arial" w:cs="Arial" w:eastAsia="Arial" w:hAnsi="Arial"/>
                <w:sz w:val="25"/>
                <w:szCs w:val="25"/>
                <w:b w:val="1"/>
                <w:bCs w:val="1"/>
                <w:color w:val="auto"/>
                <w:w w:val="85"/>
                <w:vertAlign w:val="superscript"/>
              </w:rPr>
              <w:t>(3)(4)</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 per Annum</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Rate (per share)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r>
      <w:tr>
        <w:trPr>
          <w:trHeight w:val="244"/>
        </w:trPr>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89,041</w:t>
            </w:r>
          </w:p>
        </w:tc>
      </w:tr>
      <w:tr>
        <w:trPr>
          <w:trHeight w:val="243"/>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72,664</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120,785</w:t>
            </w:r>
          </w:p>
        </w:tc>
      </w:tr>
      <w:tr>
        <w:trPr>
          <w:trHeight w:val="270"/>
        </w:trPr>
        <w:tc>
          <w:tcPr>
            <w:tcW w:w="1800" w:type="dxa"/>
            <w:vAlign w:val="bottom"/>
            <w:tcBorders>
              <w:bottom w:val="single" w:sz="8" w:color="CCEEFF"/>
            </w:tcBorders>
            <w:gridSpan w:val="2"/>
          </w:tcPr>
          <w:p>
            <w:pPr>
              <w:jc w:val="center"/>
              <w:ind w:right="120"/>
              <w:spacing w:after="0" w:line="270" w:lineRule="exact"/>
              <w:rPr>
                <w:sz w:val="20"/>
                <w:szCs w:val="20"/>
                <w:color w:val="auto"/>
              </w:rPr>
            </w:pPr>
            <w:r>
              <w:rPr>
                <w:rFonts w:ascii="Arial" w:cs="Arial" w:eastAsia="Arial" w:hAnsi="Arial"/>
                <w:sz w:val="18"/>
                <w:szCs w:val="18"/>
                <w:color w:val="auto"/>
                <w:w w:val="89"/>
              </w:rPr>
              <w:t>J (convertible)</w:t>
            </w:r>
            <w:r>
              <w:rPr>
                <w:rFonts w:ascii="Arial" w:cs="Arial" w:eastAsia="Arial" w:hAnsi="Arial"/>
                <w:sz w:val="25"/>
                <w:szCs w:val="25"/>
                <w:color w:val="auto"/>
                <w:w w:val="89"/>
                <w:vertAlign w:val="superscript"/>
              </w:rPr>
              <w:t>(4)</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193,510</w:t>
            </w:r>
          </w:p>
        </w:tc>
      </w:tr>
      <w:tr>
        <w:trPr>
          <w:trHeight w:val="244"/>
        </w:trPr>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476,000</w:t>
            </w:r>
          </w:p>
        </w:tc>
      </w:tr>
      <w:tr>
        <w:trPr>
          <w:trHeight w:val="20"/>
        </w:trPr>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-98425</wp:posOffset>
            </wp:positionV>
            <wp:extent cx="943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-98425</wp:posOffset>
            </wp:positionV>
            <wp:extent cx="10033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shares of the Series D,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declared and paid dividends of $2.0 million, $1.5 million and $2.3 million on its Series D, G and I Cumulative Redeemable Preferred Stock during the three months ended March 31, 2018 and 2017, respectively. The Company declared and paid dividends of $2.3 million on its Series J Convertible Perpetual Preferred Stock during the three months ended March 31, 2018 and 2017. The Company declared and paid dividends of $2.8 million and $2.0 million on its Series E and F Cumulative Redeemable Preferred Stock, respectively, during the three months ended March 31, 2017. The Company redeemed all of its issued and outstanding Series E and F Cumulative Redeemable Preferred Stock in October 2017. The character of the 2017 dividends was 100% capital gain distribution, of which 27.90% represented unrecaptured section 1250 gain and 72.10% represented long term capital gain. There are no dividend arrearages on any of the preferred shares currently outstanding.</w:t>
      </w:r>
    </w:p>
    <w:p>
      <w:pPr>
        <w:spacing w:after="0" w:line="2"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may, at its option, redeem the Series G and I Preferred Stock, in whole or in part, at any time and from time to time, for cash at a redemption price equal to 100% of the liquidation preference of $25.00 per share, plus accrued and unpaid dividends, if any, to the redemption date.</w:t>
      </w:r>
    </w:p>
    <w:p>
      <w:pPr>
        <w:jc w:val="both"/>
        <w:ind w:left="500" w:hanging="492"/>
        <w:spacing w:after="0" w:line="246"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9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—To maintain its qualification as a REIT, the Company must annually distribute, at a minimum, an amount equal to 90% of its taxable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2016, the Company had $948.8 million of NOL carryforwards at the corporate REIT level that can generally be used to offset both ordinary taxable income and capital gain net income in future years. The NOL carryforwards will expire beginning in 2029 and through 2036 if unused. The Company estimates that the amount of NOL carryforwards as of December 31, 2017 will be approximately $588 million; however, the actual NOL carryforward as of December 31, 2017 will be determined upon filing the Company's 2017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Credit Facility and the 2015 Revolving Credit Facility permit the Company to distribute 100% of its REIT taxable income on an annual basis (prior to deducting certain cumulative NOL carryforwards), as long as the Company maintains its REIT qualification. The 2016 Senior Credit Facility and 2015 Revolving Credit Facility restrict the Company from paying any common dividends if it ceases to qualify as a REIT. The Company did not declare or pay any common stock dividends for the three months ended March 31, 2018 and 2017.</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—The Company may repurchase shares in negotiated transactions or open market transactions, including through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trading plans. During the three months ended March 31, 2018, the Company repurchased 0.8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shares of its outstanding common stock for $8.3 million, representing an average cost of $10.22 per share. As of March 31, 2018, the Company had remaining authorization to repurchase up to $41.7 million of common stock under its stock repurchase program.</w:t>
      </w:r>
    </w:p>
    <w:p>
      <w:pPr>
        <w:spacing w:after="0" w:line="166"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08"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ind w:left="1660"/>
              <w:spacing w:after="0"/>
              <w:rPr>
                <w:sz w:val="20"/>
                <w:szCs w:val="20"/>
                <w:color w:val="auto"/>
              </w:rPr>
            </w:pPr>
            <w:r>
              <w:rPr>
                <w:rFonts w:ascii="Arial" w:cs="Arial" w:eastAsia="Arial" w:hAnsi="Arial"/>
                <w:sz w:val="18"/>
                <w:szCs w:val="18"/>
                <w:b w:val="1"/>
                <w:bCs w:val="1"/>
                <w:color w:val="auto"/>
                <w:w w:val="84"/>
              </w:rPr>
              <w:t>As of</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Unrealized gains on cash flow hedges</w:t>
            </w:r>
          </w:p>
        </w:tc>
        <w:tc>
          <w:tcPr>
            <w:tcW w:w="3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707</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r>
      <w:tr>
        <w:trPr>
          <w:trHeight w:val="257"/>
        </w:trPr>
        <w:tc>
          <w:tcPr>
            <w:tcW w:w="546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including the effect of performance incentive plans (see</w:t>
      </w:r>
      <w:r>
        <w:rPr>
          <w:rFonts w:ascii="Arial" w:cs="Arial" w:eastAsia="Arial" w:hAnsi="Arial"/>
          <w:sz w:val="18"/>
          <w:szCs w:val="18"/>
          <w:b w:val="1"/>
          <w:bCs w:val="1"/>
          <w:color w:val="auto"/>
        </w:rPr>
        <w:t xml:space="preserve"> </w:t>
      </w:r>
      <w:r>
        <w:rPr>
          <w:rFonts w:ascii="Arial" w:cs="Arial" w:eastAsia="Arial" w:hAnsi="Arial"/>
          <w:sz w:val="18"/>
          <w:szCs w:val="18"/>
          <w:color w:val="auto"/>
        </w:rPr>
        <w:t>below), of $9.1 million and $5.9 million for the three months ended March 31, 2018 and 2017, respectively, in "General and administrative" in the Company's consolidated statements of operations.</w:t>
      </w:r>
    </w:p>
    <w:p>
      <w:pPr>
        <w:spacing w:after="0" w:line="13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Performance Incentive Plans</w:t>
      </w:r>
      <w:r>
        <w:rPr>
          <w:rFonts w:ascii="Arial" w:cs="Arial" w:eastAsia="Arial" w:hAnsi="Arial"/>
          <w:sz w:val="17"/>
          <w:szCs w:val="17"/>
          <w:color w:val="auto"/>
        </w:rPr>
        <w:t>—The Company's Performance Incentive Plan ("iPIP") is designed to provide, primarily to senior executives and select</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the status of the Company’s iPIP points and changes during the three months ended March 31, 2018 and the year ended December 31, 2017.</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0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1"/>
              </w:rPr>
              <w:t>Three Months Ended March 31, 2018</w:t>
            </w:r>
          </w:p>
        </w:tc>
        <w:tc>
          <w:tcPr>
            <w:tcW w:w="38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 2017</w:t>
            </w:r>
          </w:p>
        </w:tc>
      </w:tr>
      <w:tr>
        <w:trPr>
          <w:trHeight w:val="27"/>
        </w:trPr>
        <w:tc>
          <w:tcPr>
            <w:tcW w:w="3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iPIP Investment Pool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90"/>
              </w:rPr>
              <w:t>iPIP Investment Pool</w:t>
            </w:r>
          </w:p>
        </w:tc>
        <w:tc>
          <w:tcPr>
            <w:tcW w:w="1060" w:type="dxa"/>
            <w:vAlign w:val="bottom"/>
          </w:tcPr>
          <w:p>
            <w:pPr>
              <w:spacing w:after="0"/>
              <w:rPr>
                <w:sz w:val="20"/>
                <w:szCs w:val="20"/>
                <w:color w:val="auto"/>
              </w:rPr>
            </w:pPr>
          </w:p>
        </w:tc>
      </w:tr>
      <w:tr>
        <w:trPr>
          <w:trHeight w:val="270"/>
        </w:trPr>
        <w:tc>
          <w:tcPr>
            <w:tcW w:w="32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2013-2014</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2015-2016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2017-2018</w:t>
            </w:r>
          </w:p>
        </w:tc>
        <w:tc>
          <w:tcPr>
            <w:tcW w:w="12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2013-2014</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2015-2016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2017-2018</w:t>
            </w:r>
          </w:p>
        </w:tc>
      </w:tr>
      <w:tr>
        <w:trPr>
          <w:trHeight w:val="27"/>
        </w:trPr>
        <w:tc>
          <w:tcPr>
            <w:tcW w:w="3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Points at beginning of period</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86.57</w:t>
            </w:r>
          </w:p>
        </w:tc>
        <w:tc>
          <w:tcPr>
            <w:tcW w:w="1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41.68</w:t>
            </w:r>
          </w:p>
        </w:tc>
      </w:tr>
      <w:tr>
        <w:trPr>
          <w:trHeight w:val="27"/>
        </w:trPr>
        <w:tc>
          <w:tcPr>
            <w:tcW w:w="3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Points at end of period</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86.92</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40.97</w:t>
            </w:r>
          </w:p>
        </w:tc>
      </w:tr>
      <w:tr>
        <w:trPr>
          <w:trHeight w:val="27"/>
        </w:trPr>
        <w:tc>
          <w:tcPr>
            <w:tcW w:w="3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three months ended March 31, 2018, the Company made initial distributions to participants in the 2013-2014 investment pool following a determination that, as of December 31, 2017, the Company had realized a return of all invested capital in the assets included in the 2013-2014 investment pool, together with a return based on leverage and a preferred return hurdle of 9.0%. After the amount distributable to participants was reduced based on the Company's total shareholder return in accordance with the provisions of the iPIP, iPIP participants received total distributions in the amount of $13.6 million as compensation, comprised of $6.8 million in cash and 595,869 shares of the Company's common stock, with a fair value of $6.8 million or $11.41 per share, which are fully-vested and issued under the 2009 LTIP (see below). After deducting statutory minimum tax withholdings, a total of 328,074 shares of the Company's common stock were issued. As of March 31, 2018 and December 31, 2017, the Company had accrued compensation costs relating to iPIP of $32.2 million and $38.1 million, respectively, which are included in "Accounts payable, accrued expenses and other liabilities" on the Company's consolidated balance sheets.</w:t>
      </w:r>
    </w:p>
    <w:p>
      <w:pPr>
        <w:spacing w:after="0" w:line="153" w:lineRule="exact"/>
        <w:rPr>
          <w:sz w:val="20"/>
          <w:szCs w:val="20"/>
          <w:color w:val="auto"/>
        </w:rPr>
      </w:pPr>
    </w:p>
    <w:p>
      <w:pPr>
        <w:jc w:val="both"/>
        <w:ind w:right="20" w:firstLine="405"/>
        <w:spacing w:after="0" w:line="258" w:lineRule="auto"/>
        <w:rPr>
          <w:sz w:val="20"/>
          <w:szCs w:val="20"/>
          <w:color w:val="auto"/>
        </w:rPr>
      </w:pPr>
      <w:r>
        <w:rPr>
          <w:rFonts w:ascii="Arial" w:cs="Arial" w:eastAsia="Arial" w:hAnsi="Arial"/>
          <w:sz w:val="18"/>
          <w:szCs w:val="18"/>
          <w:b w:val="1"/>
          <w:bCs w:val="1"/>
          <w:color w:val="auto"/>
        </w:rPr>
        <w:t>Long-Term Incentive Plan</w:t>
      </w:r>
      <w:r>
        <w:rPr>
          <w:rFonts w:ascii="Arial" w:cs="Arial" w:eastAsia="Arial" w:hAnsi="Arial"/>
          <w:sz w:val="18"/>
          <w:szCs w:val="18"/>
          <w:color w:val="auto"/>
        </w:rPr>
        <w:t>—The Company's 2009 Long-Term Incentive Plan (the "2009 LTIP") is designed to provide incentive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key employees, directors and advisors of the Company. The 2009 LTIP provides for awards of stock options, shares of restricted stock, phantom shares, restricted stock units, dividend equivalent rights and other share-based performance awards. All awards under the 2009 LTIP are made at the discretion of the Company's Board of Directors or a committee of the Board of Directors. The Company's shareholders approved the 2009 LTIP in 2009 and approved the performance-based provisions of the 2009 LTIP, as amended, in 2014.</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2018, an aggregate of 2.7 million shares remain available for issuance pursuant to future awards under the Company's 2009 LTIP.</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Restricted Share Issuances</w:t>
      </w:r>
      <w:r>
        <w:rPr>
          <w:rFonts w:ascii="Arial" w:cs="Arial" w:eastAsia="Arial" w:hAnsi="Arial"/>
          <w:sz w:val="18"/>
          <w:szCs w:val="18"/>
          <w:color w:val="auto"/>
        </w:rPr>
        <w:t>—During the three months ended March 31, 2018, the Company granted 213,609 shares of common stock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under the 2009 LTIP as part of annual incentive awards that included a mix of cash and equity awards. The shares are fully-vested and 135,503 shares were issued net of required, statutory minimum tax withholdings. The employees are restricted from selling these shares for up to 18 months from the date of grant.</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Restricted Stock Unit Activity</w:t>
      </w:r>
      <w:r>
        <w:rPr>
          <w:rFonts w:ascii="Arial" w:cs="Arial" w:eastAsia="Arial" w:hAnsi="Arial"/>
          <w:sz w:val="18"/>
          <w:szCs w:val="18"/>
          <w:color w:val="auto"/>
        </w:rPr>
        <w:t>—A summary of the Company’s stock-based compensation awards to certain employees in the form of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for the three months ended March 31, 2018 and the year ended December 31, 2017, are as follows (in thousands):</w:t>
      </w:r>
    </w:p>
    <w:p>
      <w:pPr>
        <w:spacing w:after="0" w:line="166"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26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366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2018</w:t>
            </w: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3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3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36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there was $3.5 million of total unrecognized compensation cost related to all unvested restricted stock units that are expected to be recognized over a weighted average remaining vesting/service period of 2.2 years.</w:t>
      </w:r>
    </w:p>
    <w:p>
      <w:pPr>
        <w:spacing w:after="0" w:line="12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—As of March 31, 2018, a combined total of 226,182 CSEs and restricted shares of common stock granted to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remained outstanding under the Company's Non-Employee Directors Deferral Plan, with an aggregate intrinsic value of $2.3 million.</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$0.7 million and $0.6 million for the three months ended March 31, 2018 and 2017,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 reconciliation of income (loss) from continuing operations used in the basic and diluted Earnings per share ("EPS")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calculations ($ in thousands, except for per share data):</w:t>
      </w:r>
    </w:p>
    <w:p>
      <w:pPr>
        <w:spacing w:after="0" w:line="15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22860</wp:posOffset>
            </wp:positionV>
            <wp:extent cx="17151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(loss) from continuing operations attributable to iStar Inc. and allocable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26,809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common shareholders for basic earnings per common share</w:t>
            </w:r>
            <w:r>
              <w:rPr>
                <w:rFonts w:ascii="Arial" w:cs="Arial" w:eastAsia="Arial" w:hAnsi="Arial"/>
                <w:sz w:val="25"/>
                <w:szCs w:val="25"/>
                <w:color w:val="auto"/>
                <w:vertAlign w:val="superscript"/>
              </w:rPr>
              <w:t>(1)</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3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(loss) from continuing operations attributable to iStar Inc. and allocable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common shareholders for diluted earnings per common share</w:t>
            </w:r>
            <w:r>
              <w:rPr>
                <w:rFonts w:ascii="Arial" w:cs="Arial" w:eastAsia="Arial" w:hAnsi="Arial"/>
                <w:sz w:val="25"/>
                <w:szCs w:val="25"/>
                <w:color w:val="auto"/>
                <w:vertAlign w:val="superscript"/>
              </w:rPr>
              <w:t>(1)</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6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22860</wp:posOffset>
            </wp:positionV>
            <wp:extent cx="1783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 Inc. and allocable to common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 Inc. and allocable to common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(31,868)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29,059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72,065</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Add: Effect of assumed shares issued under treasury stock method for restricted stock units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outstanding for diluted earnings per common share</w:t>
            </w: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83,670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72,065</w:t>
            </w:r>
          </w:p>
        </w:tc>
        <w:tc>
          <w:tcPr>
            <w:tcW w:w="0" w:type="dxa"/>
            <w:vAlign w:val="bottom"/>
          </w:tcPr>
          <w:p>
            <w:pPr>
              <w:spacing w:after="0"/>
              <w:rPr>
                <w:sz w:val="1"/>
                <w:szCs w:val="1"/>
                <w:color w:val="auto"/>
              </w:rPr>
            </w:pPr>
          </w:p>
        </w:tc>
      </w:tr>
      <w:tr>
        <w:trPr>
          <w:trHeight w:val="271"/>
        </w:trPr>
        <w:tc>
          <w:tcPr>
            <w:tcW w:w="7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 Inc. and allocable to common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 Inc. and allocable to common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754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121" w:right="1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shares were not included in the diluted EPS calculation because they were anti-dilutive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87"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22860</wp:posOffset>
            </wp:positionV>
            <wp:extent cx="16122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Joint venture shares</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182"/>
        </w:trPr>
        <w:tc>
          <w:tcPr>
            <w:tcW w:w="606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jc w:val="both"/>
        <w:ind w:left="500" w:hanging="492"/>
        <w:spacing w:after="0" w:line="244"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three months ended March 31, 2017, the effect of the Company's Series J convertible preferred stock, unvested Units, performance-based Units, CSEs and restricted stock awards were anti-dilutive due to the Company having a net loss for the period. The Company will settle conversions of the 3.125% Convertible Notes by paying the conversion value in cash up to the original principal amount of the notes being converted and shares of common stock to the extent of any conversion premium. The amount of cash and shares of common stock, if any, due upon conversion will be based on a daily conversion value calculated for each trading day in a 40 consecutive day observation period. Based upon the conversion price of the 3.125% Convertible Notes, no shares of common stock would have been issuable upon conversion of the 3.125% Convertible Notes for the three months ended March 31, 2018 and therefore the 3.125% Convertible Notes had no effect on diluted EPS for such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Using</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Quoted market</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prices in</w:t>
            </w: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observable</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unobservable</w:t>
            </w:r>
          </w:p>
        </w:tc>
      </w:t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active markets</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inputs</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inputs</w:t>
            </w:r>
          </w:p>
        </w:tc>
      </w:t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 available and held for sale</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6,041</w:t>
            </w:r>
          </w:p>
        </w:tc>
      </w:tr>
      <w:tr>
        <w:trPr>
          <w:trHeight w:val="324"/>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70"/>
        </w:trPr>
        <w:tc>
          <w:tcPr>
            <w:tcW w:w="4660" w:type="dxa"/>
            <w:vAlign w:val="bottom"/>
          </w:tcPr>
          <w:p>
            <w:pPr>
              <w:ind w:left="180"/>
              <w:spacing w:after="0" w:line="270" w:lineRule="exact"/>
              <w:rPr>
                <w:sz w:val="20"/>
                <w:szCs w:val="20"/>
                <w:color w:val="auto"/>
              </w:rPr>
            </w:pPr>
            <w:r>
              <w:rPr>
                <w:rFonts w:ascii="Arial" w:cs="Arial" w:eastAsia="Arial" w:hAnsi="Arial"/>
                <w:sz w:val="18"/>
                <w:szCs w:val="18"/>
                <w:color w:val="auto"/>
              </w:rPr>
              <w:t>Impaired real estate available and held for sale</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land and development</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r>
      <w:tr>
        <w:trPr>
          <w:trHeight w:val="155"/>
        </w:trPr>
        <w:tc>
          <w:tcPr>
            <w:tcW w:w="4660" w:type="dxa"/>
            <w:vAlign w:val="bottom"/>
          </w:tcPr>
          <w:p>
            <w:pPr>
              <w:spacing w:after="0" w:line="155" w:lineRule="exact"/>
              <w:rPr>
                <w:sz w:val="20"/>
                <w:szCs w:val="20"/>
                <w:color w:val="auto"/>
              </w:rPr>
            </w:pPr>
            <w:r>
              <w:rPr>
                <w:rFonts w:ascii="Arial" w:cs="Arial" w:eastAsia="Arial" w:hAnsi="Arial"/>
                <w:sz w:val="14"/>
                <w:szCs w:val="14"/>
                <w:color w:val="auto"/>
                <w:w w:val="99"/>
              </w:rPr>
              <w:t>____________________________________________________________</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fair value of the Company's available-for-sale securities are based upon unadjusted third-party broker quotes and are classified as Level 3.</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recorded an impairment on a residential real estate asset available and held for sale with a fair value of $6.0 million due to impending contracts to sell the remaining four condominium units at the property.</w:t>
      </w: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recorded an impairment on a real estate asset with a fair value of $12.4 million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recorded an impairment on a residential real estate asset available and held for sale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recorded an impairment on a land and development asset with a fair value of $21.4 million based on a discount rate of 6% and a 10 year holding period.</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changes in Level 3 available-for-sale securities reported at fair value on the Company's consolidated balance sheets for the three months ended March 31, 2018 and 2017 ($ in thousands):</w:t>
      </w:r>
    </w:p>
    <w:p>
      <w:pPr>
        <w:spacing w:after="0" w:line="27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22,842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21,666</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recorded in other comprehensive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54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21,835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21,639</w:t>
            </w:r>
          </w:p>
        </w:tc>
      </w:tr>
      <w:tr>
        <w:trPr>
          <w:trHeight w:val="20"/>
        </w:trPr>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$1.4 billion and $3.3 billion, respectively, as of March 31, 2018 and $1.3 billion and $3.7 billion, respectively, as of December 31, 2017.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is included in the fair value hierarchy table above.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Land and</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Finance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Lease</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14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Corporate/Other</w:t>
            </w:r>
            <w:r>
              <w:rPr>
                <w:rFonts w:ascii="Arial" w:cs="Arial" w:eastAsia="Arial" w:hAnsi="Arial"/>
                <w:sz w:val="21"/>
                <w:szCs w:val="21"/>
                <w:b w:val="1"/>
                <w:bCs w:val="1"/>
                <w:color w:val="auto"/>
                <w:w w:val="99"/>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Company Total</w:t>
            </w:r>
          </w:p>
        </w:tc>
      </w:tr>
      <w:tr>
        <w:trPr>
          <w:trHeight w:val="244"/>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45,799</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26,697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1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15,320</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276,429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276,429</w:t>
            </w:r>
          </w:p>
        </w:tc>
      </w:tr>
      <w:tr>
        <w:trPr>
          <w:trHeight w:val="36"/>
        </w:trPr>
        <w:tc>
          <w:tcPr>
            <w:tcW w:w="3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21"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(losses) from equity method investments</w:t>
            </w:r>
          </w:p>
        </w:tc>
        <w:tc>
          <w:tcPr>
            <w:tcW w:w="3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3,332</w:t>
            </w:r>
          </w:p>
        </w:tc>
      </w:tr>
      <w:tr>
        <w:trPr>
          <w:trHeight w:val="30"/>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17,048</w:t>
            </w: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 and other earnings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27,081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278,700</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778</w:t>
            </w:r>
          </w:p>
        </w:tc>
        <w:tc>
          <w:tcPr>
            <w:tcW w:w="120" w:type="dxa"/>
            <w:vAlign w:val="bottom"/>
            <w:tcBorders>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384,625</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(36,180)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(223,407)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(223,407)</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(7,215)</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(45,182)</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120" w:type="dxa"/>
            <w:vAlign w:val="bottom"/>
            <w:tcBorders>
              <w:right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(19,723)</w:t>
            </w:r>
          </w:p>
        </w:tc>
      </w:tr>
      <w:tr>
        <w:trPr>
          <w:trHeight w:val="29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14,123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34,409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tcBorders>
              <w:bottom w:val="single" w:sz="8" w:color="CCEEFF"/>
              <w:right w:val="single" w:sz="8" w:color="auto"/>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58,967</w:t>
            </w:r>
          </w:p>
        </w:tc>
      </w:tr>
      <w:tr>
        <w:trPr>
          <w:trHeight w:val="21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items:</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Recovery of loan losses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w:t>
            </w: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6,309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360</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11,110</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39,625</w:t>
            </w:r>
          </w:p>
        </w:tc>
      </w:tr>
      <w:tr>
        <w:trPr>
          <w:trHeight w:val="216"/>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31,252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15,989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47,347</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29,058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541</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11,864</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from equity method investments</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247</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5,702</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real estate</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8,110</w:t>
            </w:r>
          </w:p>
        </w:tc>
      </w:tr>
      <w:tr>
        <w:trPr>
          <w:trHeight w:val="33"/>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 and other earnings</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126,897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(35,590)</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(1,869)</w:t>
            </w:r>
          </w:p>
        </w:tc>
      </w:tr>
      <w:tr>
        <w:trPr>
          <w:trHeight w:val="33"/>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(51,145)</w:t>
            </w:r>
          </w:p>
        </w:tc>
      </w:tr>
      <w:tr>
        <w:trPr>
          <w:trHeight w:val="27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w:t>
            </w:r>
          </w:p>
        </w:tc>
        <w:tc>
          <w:tcPr>
            <w:tcW w:w="120" w:type="dxa"/>
            <w:vAlign w:val="bottom"/>
            <w:tcBorders>
              <w:bottom w:val="single" w:sz="8" w:color="CCEEFF"/>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(19,292)</w:t>
            </w: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3,091</w:t>
            </w:r>
          </w:p>
        </w:tc>
      </w:tr>
      <w:tr>
        <w:trPr>
          <w:trHeight w:val="20"/>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Land and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Finance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Lease</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14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Corporate/Other</w:t>
            </w:r>
            <w:r>
              <w:rPr>
                <w:rFonts w:ascii="Arial" w:cs="Arial" w:eastAsia="Arial" w:hAnsi="Arial"/>
                <w:sz w:val="21"/>
                <w:szCs w:val="21"/>
                <w:b w:val="1"/>
                <w:bCs w:val="1"/>
                <w:color w:val="auto"/>
                <w:w w:val="99"/>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Company Total</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Other significant items: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Recovery of loan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(4,928)</w:t>
            </w: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Impairment of assets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4,413</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12,280</w:t>
            </w: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expenditures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26,592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35,573</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808,438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493,705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1,302,143</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available and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41,857</w:t>
            </w: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808,438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535,562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1,344,000</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development,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681,410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681,410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1,400,474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1,400,474</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279,094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422,853</w:t>
            </w: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portfolio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1,400,474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1,087,532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591,491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757,006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12,234</w:t>
            </w:r>
          </w:p>
        </w:tc>
        <w:tc>
          <w:tcPr>
            <w:tcW w:w="120" w:type="dxa"/>
            <w:vAlign w:val="bottom"/>
            <w:tcBorders>
              <w:bottom w:val="single" w:sz="8" w:color="CCEEFF"/>
              <w:right w:val="single" w:sz="8" w:color="auto"/>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3,848,737</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601,322</w:t>
            </w: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4,450,059</w:t>
            </w:r>
          </w:p>
        </w:tc>
      </w:tr>
      <w:tr>
        <w:trPr>
          <w:trHeight w:val="284"/>
        </w:trPr>
        <w:tc>
          <w:tcPr>
            <w:tcW w:w="3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6"/>
                <w:szCs w:val="16"/>
                <w:color w:val="auto"/>
              </w:rPr>
              <w:t>Real estate,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815,783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466,248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1,282,031</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 estate available and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68,588</w:t>
            </w: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815,783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534,836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1,350,619</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development,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860,311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1,300,655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1,300,655</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321,241</w:t>
            </w: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portfolio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1,300,655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1,020,790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573,597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924,166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13,618</w:t>
            </w:r>
          </w:p>
        </w:tc>
        <w:tc>
          <w:tcPr>
            <w:tcW w:w="120" w:type="dxa"/>
            <w:vAlign w:val="bottom"/>
            <w:tcBorders>
              <w:bottom w:val="single" w:sz="8" w:color="CCEEFF"/>
              <w:right w:val="single" w:sz="8" w:color="auto"/>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3,832,826</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898,252</w:t>
            </w: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4,731,078</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-98425</wp:posOffset>
            </wp:positionV>
            <wp:extent cx="797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500" w:hanging="492"/>
        <w:spacing w:after="0" w:line="241"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$9.1 million and $5.9 million for the three months ended March 31, 2018 and 2017,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147"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13335</wp:posOffset>
            </wp:positionV>
            <wp:extent cx="1577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3,091</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Add: Recovery of loan losses</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4,928</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(5,881)</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(12,280)</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Income tax expense</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43"/>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35,028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(15,372)</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2017 Annual Report,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2017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iStar Inc. ("iStar") finances, invests in and develops real estate and real estate related projects as part of its fully-integrated investment platform. We also provide management services for our ground lease ("Ground Lease") and net lease equity method investments. We have invested more than $35 billion over the past two decades and are structured as a real estate investment trust ("REIT") with a diversified portfolio focused on larger assets located in major metropolitan markets. Our primary business segments are real estate finance, net lease, operating properties and land and development.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focus on our net lease and real estate finance businesses to find selective investment opportunities in these core businesses. We also continue to make significant progress in monetizing our commercial and residential operating properties as well as our land portfolio. In our continuing effort to find untapped investment opportunities in real estate, in 2017 we conceived and ultimately launched Safety, Income &amp; Growth Inc. ("SAFE"), a new, publicly traded REIT focused exclusively on the Ground Lease asset class.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w:t>
      </w:r>
    </w:p>
    <w:p>
      <w:pPr>
        <w:spacing w:after="0" w:line="18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three months ended March 31, 2018, all of our business segments contributed positively to our earnings. We sold two land parcels totaling 93 acres in San Jose, CA and San Pedro, CA, generating approximately $253.4 million in gross proceeds and $48.3 million in profit. We continue to work on repositioning or redeveloping our transitional operating properties and progressing on the entitlement and development of our land and development assets in order to maximize their value. We intend to continue these efforts, with the objective of increasing the contribution of these assets to our earnings in the future. Furthermore, we have sold and expect to continue to opportunistically sell operating assets and land in order to generate cash proceeds to reinvest into real estate finance and net lease assets, and in active development projects. For the three months ended March 31, 2018, we recorded net income allocable to common shareholders of $26.8 million, compared to a net loss of $27.1 million during the same period in the prior year. Adjusted income (loss) allocable to common shareholders for the three months ended March 31, 2018 was $132.3 million, compared to $(11.8) million during the same period in the prior year (see "Adjusted Income" for a reconciliation of adjusted income to net income).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Markets Activity</w:t>
      </w:r>
    </w:p>
    <w:p>
      <w:pPr>
        <w:spacing w:after="0" w:line="185"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In the third and fourth quarters of 2017, we completed a comprehensive set of capital markets transactions that addressed all parts of our capital structure, resulting in our having: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repaid or refinanced all of our 2017 and 2018 corporate debt maturities, leaving no corporate debt maturities until July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extended our weighted average debt maturity by 1.5 years to 4.0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annual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lowered our cost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new banking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liquidity to pursue new investment opportunities;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upgrades in our corporate credit ratings from all three major ratings agencies, which we expect will positively impact the marginal cost of our future borrowings and broaden our set of investment opportunities.</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2018, we had $366.7 million of cash which we expect to use primarily to fund future investment activities. In addition, we have additional borrowing capacity under the 2015 Revolving Credit Facility (refer to Note 10) of $325.0 million at March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2018, based on carrying values exclusive of accumulated depreciation and general loan loss reserves, our total investment portfolio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117475</wp:posOffset>
            </wp:positionV>
            <wp:extent cx="5462905" cy="2761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29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2018, based on carrying values exclusive of accumulated depreciation and general loan loss reserves, our total investment portfolio has the following property/collateral type and geographic characteristics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Real Estate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Land &amp;</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 of</w:t>
            </w:r>
          </w:p>
        </w:tc>
      </w:tr>
      <w:tr>
        <w:trPr>
          <w:trHeight w:val="23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Property/Collateral Types</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Finance</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Lease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931,739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Office / Industrial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682,759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857,719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489,394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Mixed Use / Mixed Collateral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529,710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Hotel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431,668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Condominium</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381,100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223,050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218,158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Ground Leases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1,417,074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1,385,413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651,118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764,845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4,230,684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Real Estate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Land &amp;</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 of</w:t>
            </w:r>
          </w:p>
        </w:tc>
      </w:tr>
      <w:tr>
        <w:trPr>
          <w:trHeight w:val="234"/>
        </w:trPr>
        <w:tc>
          <w:tcPr>
            <w:tcW w:w="2920" w:type="dxa"/>
            <w:vAlign w:val="bottom"/>
            <w:gridSpan w:val="2"/>
          </w:tcPr>
          <w:p>
            <w:pPr>
              <w:ind w:left="40"/>
              <w:spacing w:after="0"/>
              <w:rPr>
                <w:sz w:val="20"/>
                <w:szCs w:val="20"/>
                <w:color w:val="auto"/>
              </w:rPr>
            </w:pPr>
            <w:r>
              <w:rPr>
                <w:rFonts w:ascii="Arial" w:cs="Arial" w:eastAsia="Arial" w:hAnsi="Arial"/>
                <w:sz w:val="18"/>
                <w:szCs w:val="18"/>
                <w:b w:val="1"/>
                <w:bCs w:val="1"/>
                <w:color w:val="auto"/>
              </w:rPr>
              <w:t>Geographic Region</w:t>
            </w: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Finance</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Lease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Development</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1,478,368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195,920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736,924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747,758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Southwest</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162,701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545,873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358,145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128,980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322,788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28,594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0"/>
        </w:trPr>
        <w:tc>
          <w:tcPr>
            <w:tcW w:w="29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2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1,417,074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1,385,413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651,118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764,845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4,230,684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-98425</wp:posOffset>
            </wp:positionV>
            <wp:extent cx="51542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35" w:lineRule="exact"/>
        <w:rPr>
          <w:sz w:val="20"/>
          <w:szCs w:val="20"/>
          <w:color w:val="auto"/>
        </w:rPr>
      </w:pPr>
    </w:p>
    <w:p>
      <w:pPr>
        <w:ind w:left="820" w:hanging="650"/>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$9.0 million of international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Finance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business targets sophisticated and innovative owner/operators of real estate and real estate related projects by providing one-stop capabilities that encompass financing alternatives ranging from full envelope senior loans to mezzanine and preferred equity capital positions. As of March 31, 2018, our real estate finance portfolio, including securities, totaled $1.4 billion, exclusive of general loan loss reserves. The portfolio included $1.2 billion of performing loans with a weighted average maturity of 1.3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tables below summarize our loans and the reserves for loan losses associated with our loans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 2018</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1,188,514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1.4%</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171,247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12.6%</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23.6%</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1,359,761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4.9%</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00"/>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 2017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1,051,691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176,888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14.6%</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25.6%</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1,289,568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1,211,079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Performing Loans</w:t>
      </w:r>
      <w:r>
        <w:rPr>
          <w:rFonts w:ascii="Arial" w:cs="Arial" w:eastAsia="Arial" w:hAnsi="Arial"/>
          <w:sz w:val="18"/>
          <w:szCs w:val="18"/>
          <w:color w:val="auto"/>
        </w:rPr>
        <w:t>—The table below summarizes our performing loans exclusive of reserves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839,045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709,809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4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356,412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332,387</w:t>
            </w: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9,495</w:t>
            </w:r>
          </w:p>
        </w:tc>
      </w:tr>
      <w:tr>
        <w:trPr>
          <w:trHeight w:val="29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1,205,114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1,051,691</w:t>
            </w:r>
          </w:p>
        </w:tc>
      </w:tr>
      <w:tr>
        <w:trPr>
          <w:trHeight w:val="311"/>
        </w:trPr>
        <w:tc>
          <w:tcPr>
            <w:tcW w:w="2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Yield</w:t>
            </w: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March 31, 2018, we had non-performing loans with an aggregate carrying value of $171.2 million compared to non-performing loans with an aggregate carrying value of $176.9 million as of December 31, 2017. We expect that our level of non-performing loans will fluctuate from period to period.</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Reserve for Loan Losses</w:t>
      </w:r>
      <w:r>
        <w:rPr>
          <w:rFonts w:ascii="Arial" w:cs="Arial" w:eastAsia="Arial" w:hAnsi="Arial"/>
          <w:sz w:val="17"/>
          <w:szCs w:val="17"/>
          <w:color w:val="auto"/>
        </w:rPr>
        <w:t>—The reserve for loan losses was $69.5 million as of March 31, 2018, or 4.9% of total loans, compared to $78.5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6.1% as of December 31, 2017. For the three months ended March 31, 2018, the recovery of loan losses included a reduction in the general reserve of $0.9 million due to an overall improvement in the risk ratings. We expect that our level of reserve for loan losses will fluctuate from period to period. Due to the volatility of the commercial real estate market, the process of estimating collateral values and reserves requires the use of significant judgment. We currently believe there is adequate collateral and reserves to support the carrying values of the loans.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March 31, 2018, asset-specific reserves decreased to $52.9 million compared to $61.0 million as of December 31, 2017.</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and future expectations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general reserve decreased to $16.6 million or 1.4% of performing loans as of March 31, 2018, compared to $17.5 million or 1.7% of performing loans as of December 31, 2017. The decrease was primarily attributable to an overall improvement in the risk ratings.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Lease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net lease business seeks to create stable cash flows through long-term net leases primarily to single tenants on our properties. We target mission-critical facilities leased on a long-term basis to tenants, offering structured solutions that combine our capabilities in underwriting, lease structuring, asset management and build-to-suit construction. We invest in new net lease investments primarily through our Net Lease Venture, in which we hold a 51.9% interest. The Net Lease Venture has a right of first offer on any new net lease investments that we source. The Net Lease Venture's investment period was extended from March 31, 2018 to June 30, 2018 during the first quarter 2018. The term of the Net Lease Venture extends through February 13, 2022, subject to two, one-year extension options at the discretion of us and our partner.</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April 2017, institutional investors acquired a controlling interest in our Ground Lease business through the merger of one of our subsidiaries and related transactions (the "Acquisition Transactions"). Our Ground Lease business was a component of our net lease segment and consisted of 12 properties subject to long-term net leases including seven Ground Leases and one master lease (covering five properties). As a result of the Acquisition Transactions, we: (i) recognized a gain of approximately $178.9 million; (ii) deconsolidated the 12 properties and the associated 2017 Secured Financing; and (iii) account for our investment in SAFE as an equity method investment (refer to Note 7).</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June 27, 2017, SAFE completed its initial public offering raising $205.0 million in gross proceeds and concurrently completed a $45.0 million private placement to us, its largest shareholder. We believe that SAFE is the first publicly-traded company formed primarily to acquire, own, manage, finance and capitalize ground leases. Ground leases generally represent ownership of the land underlying commercial real estate projects that is net leased by the fee owner of the land to the owners/operators of the real estate projects built thereon. We have an exclusivity agreement with SAFE pursuant to which we agreed, subject to certain exceptions, that we will not acquire, originate, invest in, or provide financing for a third party’s acquisition of, a Ground Lease unless we have first offered that opportunity to SAFE and a majority of its independent directors has declined the opportunity. In addition, a wholly-owned subsidiary of ours is the external manager of SAFE and our Chief Executive Officer is the Chairman of SAFE's board of directors.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2018, our wholly-owned net lease portfolio totaled $1.1 billion exclusive of $298.0 million of accumulated depreciation. Our net lease portfolio, including the carrying value of our equity method investments in SAFE and the Net Lease Venture, totaled $1.39 billion. The table below provides certain statistics for our net lease portfolio.</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Wholly-owned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Net Lease</w:t>
            </w:r>
          </w:p>
        </w:tc>
        <w:tc>
          <w:tcPr>
            <w:tcW w:w="28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SAFE</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Venture</w:t>
            </w:r>
          </w:p>
        </w:tc>
        <w:tc>
          <w:tcPr>
            <w:tcW w:w="280" w:type="dxa"/>
            <w:vAlign w:val="bottom"/>
          </w:tcPr>
          <w:p>
            <w:pPr>
              <w:spacing w:after="0"/>
              <w:rPr>
                <w:sz w:val="20"/>
                <w:szCs w:val="20"/>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Ownership %</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Net book value (millions)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577</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659</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(millions)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3"/>
                <w:szCs w:val="23"/>
                <w:color w:val="auto"/>
              </w:rPr>
            </w:pPr>
          </w:p>
        </w:tc>
      </w:tr>
      <w:tr>
        <w:trPr>
          <w:trHeight w:val="297"/>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carrying value (millions)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587</w:t>
            </w:r>
          </w:p>
        </w:tc>
        <w:tc>
          <w:tcPr>
            <w:tcW w:w="2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712</w:t>
            </w:r>
          </w:p>
        </w:tc>
        <w:tc>
          <w:tcPr>
            <w:tcW w:w="280" w:type="dxa"/>
            <w:vAlign w:val="bottom"/>
            <w:tcBorders>
              <w:bottom w:val="single" w:sz="8" w:color="CCEEFF"/>
            </w:tcBorders>
          </w:tcPr>
          <w:p>
            <w:pPr>
              <w:spacing w:after="0"/>
              <w:rPr>
                <w:sz w:val="24"/>
                <w:szCs w:val="24"/>
                <w:color w:val="auto"/>
              </w:rPr>
            </w:pPr>
          </w:p>
        </w:tc>
      </w:tr>
      <w:tr>
        <w:trPr>
          <w:trHeight w:val="311"/>
        </w:trPr>
        <w:tc>
          <w:tcPr>
            <w:tcW w:w="4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footage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1,793</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5,364</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Weighted average lease term (years)</w:t>
            </w:r>
          </w:p>
        </w:tc>
        <w:tc>
          <w:tcPr>
            <w:tcW w:w="2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21"/>
                <w:szCs w:val="21"/>
                <w:color w:val="auto"/>
              </w:rPr>
            </w:pPr>
          </w:p>
        </w:tc>
      </w:tr>
      <w:tr>
        <w:trPr>
          <w:trHeight w:val="290"/>
        </w:trPr>
        <w:tc>
          <w:tcPr>
            <w:tcW w:w="4040" w:type="dxa"/>
            <w:vAlign w:val="bottom"/>
          </w:tcPr>
          <w:p>
            <w:pPr>
              <w:ind w:left="40"/>
              <w:spacing w:after="0"/>
              <w:rPr>
                <w:sz w:val="20"/>
                <w:szCs w:val="20"/>
                <w:color w:val="auto"/>
              </w:rPr>
            </w:pPr>
            <w:r>
              <w:rPr>
                <w:rFonts w:ascii="Arial" w:cs="Arial" w:eastAsia="Arial" w:hAnsi="Arial"/>
                <w:sz w:val="18"/>
                <w:szCs w:val="18"/>
                <w:color w:val="auto"/>
              </w:rPr>
              <w:t>Weighted average yield</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jc w:val="right"/>
              <w:ind w:right="37"/>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600" w:type="dxa"/>
            <w:vAlign w:val="bottom"/>
            <w:gridSpan w:val="2"/>
          </w:tcPr>
          <w:p>
            <w:pPr>
              <w:jc w:val="right"/>
              <w:ind w:right="37"/>
              <w:spacing w:after="0"/>
              <w:rPr>
                <w:sz w:val="20"/>
                <w:szCs w:val="20"/>
                <w:color w:val="auto"/>
              </w:rPr>
            </w:pPr>
            <w:r>
              <w:rPr>
                <w:rFonts w:ascii="Arial" w:cs="Arial" w:eastAsia="Arial" w:hAnsi="Arial"/>
                <w:sz w:val="18"/>
                <w:szCs w:val="18"/>
                <w:color w:val="auto"/>
              </w:rPr>
              <w:t xml:space="preserve">9.0% </w:t>
            </w:r>
            <w:r>
              <w:rPr>
                <w:rFonts w:ascii="Arial" w:cs="Arial" w:eastAsia="Arial" w:hAnsi="Arial"/>
                <w:sz w:val="25"/>
                <w:szCs w:val="25"/>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0801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80125" cy="1714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43"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book value represents the net book value of real estate and real estate-related intangibles.</w:t>
      </w:r>
    </w:p>
    <w:p>
      <w:pPr>
        <w:spacing w:after="0" w:line="95" w:lineRule="exact"/>
        <w:rPr>
          <w:rFonts w:ascii="Arial" w:cs="Arial" w:eastAsia="Arial" w:hAnsi="Arial"/>
          <w:sz w:val="14"/>
          <w:szCs w:val="14"/>
          <w:color w:val="auto"/>
        </w:rPr>
      </w:pPr>
    </w:p>
    <w:p>
      <w:pPr>
        <w:ind w:left="820" w:hanging="407"/>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annualized asset yield.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Properties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our operating property portfolio, including equity method investments, totaled $651.1 million, exclusive of $59.6 million of accumulated depreciation, and was comprised of $610.2 million of commercial and $40.9 million of residential real estate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Commercial Operating Properties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commercial operating properties represent a diverse pool of assets across a broad range of geographies and collateral types including office, retail and hotel properties. We generally seek to reposition our transitional properties with the objective of maximizing their values through the infusion of capital and/or intensive asset management efforts resulting in value realization upon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certain statistics for our commercial operating property portfolio.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Commercial Operating Property Statistics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9"/>
        </w:trPr>
        <w:tc>
          <w:tcPr>
            <w:tcW w:w="1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04"/>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w w:val="97"/>
              </w:rPr>
              <w:t>($ in millions)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03"/>
        </w:trPr>
        <w:tc>
          <w:tcPr>
            <w:tcW w:w="1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6"/>
                <w:szCs w:val="16"/>
                <w:b w:val="1"/>
                <w:bCs w:val="1"/>
                <w:color w:val="auto"/>
                <w:w w:val="90"/>
              </w:rPr>
              <w:t>Stabilized Operating</w:t>
            </w:r>
            <w:r>
              <w:rPr>
                <w:rFonts w:ascii="Arial" w:cs="Arial" w:eastAsia="Arial" w:hAnsi="Arial"/>
                <w:sz w:val="21"/>
                <w:szCs w:val="21"/>
                <w:b w:val="1"/>
                <w:bCs w:val="1"/>
                <w:color w:val="auto"/>
                <w:w w:val="90"/>
                <w:vertAlign w:val="superscript"/>
              </w:rPr>
              <w:t>(1)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b w:val="1"/>
                <w:bCs w:val="1"/>
                <w:color w:val="auto"/>
                <w:w w:val="91"/>
              </w:rPr>
              <w:t>Transitional Operating</w:t>
            </w:r>
            <w:r>
              <w:rPr>
                <w:rFonts w:ascii="Arial" w:cs="Arial" w:eastAsia="Arial" w:hAnsi="Arial"/>
                <w:sz w:val="21"/>
                <w:szCs w:val="21"/>
                <w:b w:val="1"/>
                <w:bCs w:val="1"/>
                <w:color w:val="auto"/>
                <w:w w:val="91"/>
                <w:vertAlign w:val="superscript"/>
              </w:rPr>
              <w:t>(1)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4"/>
              </w:rPr>
              <w:t>Total</w:t>
            </w:r>
          </w:p>
        </w:tc>
        <w:tc>
          <w:tcPr>
            <w:tcW w:w="820" w:type="dxa"/>
            <w:vAlign w:val="bottom"/>
            <w:tcBorders>
              <w:bottom w:val="single" w:sz="8" w:color="auto"/>
            </w:tcBorders>
          </w:tcPr>
          <w:p>
            <w:pPr>
              <w:spacing w:after="0"/>
              <w:rPr>
                <w:sz w:val="24"/>
                <w:szCs w:val="24"/>
                <w:color w:val="auto"/>
              </w:rPr>
            </w:pPr>
          </w:p>
        </w:tc>
      </w:tr>
      <w:tr>
        <w:trPr>
          <w:trHeight w:val="217"/>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March 31, 2018   December 31,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March 31, 2018</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March 31, 2018</w:t>
            </w:r>
          </w:p>
        </w:tc>
        <w:tc>
          <w:tcPr>
            <w:tcW w:w="15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carrying value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9"/>
        </w:trPr>
        <w:tc>
          <w:tcPr>
            <w:tcW w:w="16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($mm)</w:t>
            </w:r>
            <w:r>
              <w:rPr>
                <w:rFonts w:ascii="Arial" w:cs="Arial" w:eastAsia="Arial" w:hAnsi="Arial"/>
                <w:sz w:val="21"/>
                <w:szCs w:val="21"/>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443</w:t>
            </w:r>
          </w:p>
        </w:tc>
        <w:tc>
          <w:tcPr>
            <w:tcW w:w="960" w:type="dxa"/>
            <w:vAlign w:val="bottom"/>
            <w:shd w:val="clear" w:color="auto" w:fill="CCEEFF"/>
          </w:tcPr>
          <w:p>
            <w:pPr>
              <w:jc w:val="center"/>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167</w:t>
            </w:r>
          </w:p>
        </w:tc>
        <w:tc>
          <w:tcPr>
            <w:tcW w:w="1000" w:type="dxa"/>
            <w:vAlign w:val="bottom"/>
            <w:shd w:val="clear" w:color="auto" w:fill="CCEEFF"/>
          </w:tcPr>
          <w:p>
            <w:pPr>
              <w:jc w:val="center"/>
              <w:ind w:right="7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580</w:t>
            </w:r>
          </w:p>
        </w:tc>
      </w:tr>
      <w:tr>
        <w:trPr>
          <w:trHeight w:val="301"/>
        </w:trPr>
        <w:tc>
          <w:tcPr>
            <w:tcW w:w="1680" w:type="dxa"/>
            <w:vAlign w:val="bottom"/>
          </w:tcPr>
          <w:p>
            <w:pPr>
              <w:ind w:left="40"/>
              <w:spacing w:after="0"/>
              <w:rPr>
                <w:sz w:val="20"/>
                <w:szCs w:val="20"/>
                <w:color w:val="auto"/>
              </w:rPr>
            </w:pPr>
            <w:r>
              <w:rPr>
                <w:rFonts w:ascii="Arial" w:cs="Arial" w:eastAsia="Arial" w:hAnsi="Arial"/>
                <w:sz w:val="16"/>
                <w:szCs w:val="16"/>
                <w:color w:val="auto"/>
              </w:rPr>
              <w:t>Occupancy</w:t>
            </w:r>
            <w:r>
              <w:rPr>
                <w:rFonts w:ascii="Arial" w:cs="Arial" w:eastAsia="Arial" w:hAnsi="Arial"/>
                <w:sz w:val="21"/>
                <w:szCs w:val="21"/>
                <w:color w:val="auto"/>
                <w:vertAlign w:val="superscript"/>
              </w:rPr>
              <w:t>(3)</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c>
          <w:tcPr>
            <w:tcW w:w="1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06"/>
        </w:trPr>
        <w:tc>
          <w:tcPr>
            <w:tcW w:w="1680" w:type="dxa"/>
            <w:vAlign w:val="bottom"/>
          </w:tcPr>
          <w:p>
            <w:pPr>
              <w:ind w:left="40"/>
              <w:spacing w:after="0"/>
              <w:rPr>
                <w:sz w:val="20"/>
                <w:szCs w:val="20"/>
                <w:color w:val="auto"/>
              </w:rPr>
            </w:pPr>
            <w:r>
              <w:rPr>
                <w:rFonts w:ascii="Arial" w:cs="Arial" w:eastAsia="Arial" w:hAnsi="Arial"/>
                <w:sz w:val="16"/>
                <w:szCs w:val="16"/>
                <w:color w:val="auto"/>
              </w:rPr>
              <w:t>Yield</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w:t>
            </w: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662051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051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3" w:lineRule="exact"/>
        <w:rPr>
          <w:sz w:val="20"/>
          <w:szCs w:val="20"/>
          <w:color w:val="auto"/>
        </w:rPr>
      </w:pPr>
    </w:p>
    <w:p>
      <w:pPr>
        <w:ind w:left="50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Stabilized commercial properties generally have occupancy levels above 80% and/or generate yields resulting in a sufficient return based upon the properties’ risk profiles. Transitional commercial properties are generally those properties that do not meet these criteria.</w:t>
      </w: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Gross carrying value represents carrying value exclusive of accumulated depreciation.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Occupancy is as of March 31, 2018 and December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Residential Operating Properties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March 31, 2018, our residential operating portfolio is comprised of condominium units generally located within luxury projects in major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cities. The table below provides certain statistics for our residential operating property portfolio (excluding fractional units).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6"/>
          </w:tcPr>
          <w:p>
            <w:pPr>
              <w:jc w:val="center"/>
              <w:ind w:left="1390"/>
              <w:spacing w:after="0"/>
              <w:rPr>
                <w:sz w:val="20"/>
                <w:szCs w:val="20"/>
                <w:color w:val="auto"/>
              </w:rPr>
            </w:pPr>
            <w:r>
              <w:rPr>
                <w:rFonts w:ascii="Arial" w:cs="Arial" w:eastAsia="Arial" w:hAnsi="Arial"/>
                <w:sz w:val="18"/>
                <w:szCs w:val="18"/>
                <w:b w:val="1"/>
                <w:bCs w:val="1"/>
                <w:color w:val="auto"/>
                <w:w w:val="90"/>
              </w:rPr>
              <w:t>Residential Operating Property Statistics</w:t>
            </w:r>
          </w:p>
        </w:tc>
        <w:tc>
          <w:tcPr>
            <w:tcW w:w="146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2340" w:type="dxa"/>
            <w:vAlign w:val="bottom"/>
            <w:gridSpan w:val="4"/>
          </w:tcPr>
          <w:p>
            <w:pPr>
              <w:jc w:val="center"/>
              <w:ind w:right="760"/>
              <w:spacing w:after="0"/>
              <w:rPr>
                <w:sz w:val="20"/>
                <w:szCs w:val="20"/>
                <w:color w:val="auto"/>
              </w:rPr>
            </w:pPr>
            <w:r>
              <w:rPr>
                <w:rFonts w:ascii="Arial" w:cs="Arial" w:eastAsia="Arial" w:hAnsi="Arial"/>
                <w:sz w:val="18"/>
                <w:szCs w:val="18"/>
                <w:i w:val="1"/>
                <w:iCs w:val="1"/>
                <w:color w:val="auto"/>
                <w:w w:val="96"/>
              </w:rPr>
              <w:t>($ in millions)</w:t>
            </w:r>
          </w:p>
        </w:tc>
        <w:tc>
          <w:tcPr>
            <w:tcW w:w="4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2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Condominium units sold</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Proceeds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from sales of real estate</w:t>
            </w:r>
          </w:p>
        </w:tc>
        <w:tc>
          <w:tcPr>
            <w:tcW w:w="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jc w:val="right"/>
              <w:ind w:right="93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and Development</w:t>
      </w:r>
    </w:p>
    <w:p>
      <w:pPr>
        <w:spacing w:after="0" w:line="22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As of March 31, 2018, our land and development portfolio, exclusive of accumulated depreciation and including equity method investments, totaled $764.8 million, with six projects in production, seven in development and 13 in the pre-development phase. These projects are collectively entitled for approximately 10,800 lots and units. The following tables present certain statistics for our land and development portfolio.</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7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2"/>
              </w:rPr>
              <w:t>Land and Development Portfolio Rollforward</w:t>
            </w:r>
          </w:p>
        </w:tc>
        <w:tc>
          <w:tcPr>
            <w:tcW w:w="1380" w:type="dxa"/>
            <w:vAlign w:val="bottom"/>
          </w:tcPr>
          <w:p>
            <w:pPr>
              <w:spacing w:after="0"/>
              <w:rPr>
                <w:sz w:val="20"/>
                <w:szCs w:val="20"/>
                <w:color w:val="auto"/>
              </w:rPr>
            </w:pPr>
          </w:p>
        </w:tc>
      </w:tr>
      <w:tr>
        <w:trPr>
          <w:trHeight w:val="270"/>
        </w:trPr>
        <w:tc>
          <w:tcPr>
            <w:tcW w:w="1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8"/>
                <w:szCs w:val="18"/>
                <w:i w:val="1"/>
                <w:iCs w:val="1"/>
                <w:color w:val="auto"/>
                <w:w w:val="96"/>
              </w:rPr>
              <w:t>(in millions)</w:t>
            </w:r>
          </w:p>
        </w:tc>
        <w:tc>
          <w:tcPr>
            <w:tcW w:w="5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1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ind w:left="60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7"/>
        </w:trPr>
        <w:tc>
          <w:tcPr>
            <w:tcW w:w="15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15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w w:val="89"/>
              </w:rPr>
              <w:t>Beginning balance</w:t>
            </w:r>
            <w:r>
              <w:rPr>
                <w:rFonts w:ascii="Arial" w:cs="Arial" w:eastAsia="Arial" w:hAnsi="Arial"/>
                <w:sz w:val="25"/>
                <w:szCs w:val="25"/>
                <w:color w:val="auto"/>
                <w:w w:val="89"/>
                <w:vertAlign w:val="superscript"/>
              </w:rPr>
              <w:t>(1)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r>
      <w:tr>
        <w:trPr>
          <w:trHeight w:val="270"/>
        </w:trPr>
        <w:tc>
          <w:tcPr>
            <w:tcW w:w="1560" w:type="dxa"/>
            <w:vAlign w:val="bottom"/>
          </w:tcPr>
          <w:p>
            <w:pPr>
              <w:ind w:left="40"/>
              <w:spacing w:after="0" w:line="270" w:lineRule="exact"/>
              <w:rPr>
                <w:sz w:val="20"/>
                <w:szCs w:val="20"/>
                <w:color w:val="auto"/>
              </w:rPr>
            </w:pPr>
            <w:r>
              <w:rPr>
                <w:rFonts w:ascii="Arial" w:cs="Arial" w:eastAsia="Arial" w:hAnsi="Arial"/>
                <w:sz w:val="18"/>
                <w:szCs w:val="18"/>
                <w:color w:val="auto"/>
              </w:rPr>
              <w:t>Asset sales</w:t>
            </w:r>
            <w:r>
              <w:rPr>
                <w:rFonts w:ascii="Arial" w:cs="Arial" w:eastAsia="Arial" w:hAnsi="Arial"/>
                <w:sz w:val="25"/>
                <w:szCs w:val="25"/>
                <w:color w:val="auto"/>
                <w:vertAlign w:val="superscript"/>
              </w:rPr>
              <w:t>(2)</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28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Asset transfers in (out)</w:t>
            </w:r>
            <w:r>
              <w:rPr>
                <w:rFonts w:ascii="Arial" w:cs="Arial" w:eastAsia="Arial" w:hAnsi="Arial"/>
                <w:sz w:val="25"/>
                <w:szCs w:val="25"/>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w w:val="91"/>
              </w:rPr>
              <w:t>Capital expenditures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560" w:type="dxa"/>
            <w:vAlign w:val="bottom"/>
          </w:tcPr>
          <w:p>
            <w:pPr>
              <w:ind w:left="40"/>
              <w:spacing w:after="0"/>
              <w:rPr>
                <w:sz w:val="20"/>
                <w:szCs w:val="20"/>
                <w:color w:val="auto"/>
              </w:rPr>
            </w:pPr>
            <w:r>
              <w:rPr>
                <w:rFonts w:ascii="Arial" w:cs="Arial" w:eastAsia="Arial" w:hAnsi="Arial"/>
                <w:sz w:val="18"/>
                <w:szCs w:val="18"/>
                <w:color w:val="auto"/>
              </w:rPr>
              <w:t>Ending balance</w:t>
            </w:r>
            <w:r>
              <w:rPr>
                <w:rFonts w:ascii="Arial" w:cs="Arial" w:eastAsia="Arial" w:hAnsi="Arial"/>
                <w:sz w:val="25"/>
                <w:szCs w:val="25"/>
                <w:color w:val="auto"/>
                <w:vertAlign w:val="superscript"/>
              </w:rPr>
              <w:t>(1)</w:t>
            </w:r>
          </w:p>
        </w:tc>
        <w:tc>
          <w:tcPr>
            <w:tcW w:w="1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120" w:type="dxa"/>
            <w:vAlign w:val="bottom"/>
          </w:tcPr>
          <w:p>
            <w:pPr>
              <w:spacing w:after="0"/>
              <w:rPr>
                <w:sz w:val="24"/>
                <w:szCs w:val="24"/>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-20955</wp:posOffset>
            </wp:positionV>
            <wp:extent cx="256413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43"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31, 2018 and December 31, 2017, excludes $75.6 million and $63.9 million, respectively, of equity method investments.</w:t>
      </w:r>
    </w:p>
    <w:p>
      <w:pPr>
        <w:spacing w:after="0" w:line="41"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gross book value of the assets sold, rather than proceeds received. During the three months ended March 31, 2018, we received approximately $253.4 million in gross proceeds in connection with the sale of two land parcels totaling 93 acres in San Jose, CA and San Pedro, CA.</w:t>
      </w:r>
    </w:p>
    <w:p>
      <w:pPr>
        <w:spacing w:after="0" w:line="11" w:lineRule="exact"/>
        <w:rPr>
          <w:rFonts w:ascii="Arial" w:cs="Arial" w:eastAsia="Arial" w:hAnsi="Arial"/>
          <w:sz w:val="14"/>
          <w:szCs w:val="14"/>
          <w:color w:val="auto"/>
        </w:rPr>
      </w:pPr>
    </w:p>
    <w:p>
      <w:pPr>
        <w:ind w:left="820" w:hanging="812"/>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Assets transferred into land and development segment or out to another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Land and Development Statistics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0"/>
        </w:trPr>
        <w:tc>
          <w:tcPr>
            <w:tcW w:w="2480" w:type="dxa"/>
            <w:vAlign w:val="bottom"/>
          </w:tcPr>
          <w:p>
            <w:pPr>
              <w:spacing w:after="0"/>
              <w:rPr>
                <w:sz w:val="23"/>
                <w:szCs w:val="23"/>
                <w:color w:val="auto"/>
              </w:rPr>
            </w:pPr>
          </w:p>
        </w:tc>
        <w:tc>
          <w:tcPr>
            <w:tcW w:w="2800" w:type="dxa"/>
            <w:vAlign w:val="bottom"/>
            <w:gridSpan w:val="2"/>
          </w:tcPr>
          <w:p>
            <w:pPr>
              <w:jc w:val="right"/>
              <w:ind w:right="830"/>
              <w:spacing w:after="0"/>
              <w:rPr>
                <w:sz w:val="20"/>
                <w:szCs w:val="20"/>
                <w:color w:val="auto"/>
              </w:rPr>
            </w:pPr>
            <w:r>
              <w:rPr>
                <w:rFonts w:ascii="Arial" w:cs="Arial" w:eastAsia="Arial" w:hAnsi="Arial"/>
                <w:sz w:val="18"/>
                <w:szCs w:val="18"/>
                <w:i w:val="1"/>
                <w:iCs w:val="1"/>
                <w:color w:val="auto"/>
              </w:rPr>
              <w:t>(in millions)</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2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3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Pr>
          <w:p>
            <w:pPr>
              <w:spacing w:after="0"/>
              <w:rPr>
                <w:sz w:val="23"/>
                <w:szCs w:val="23"/>
                <w:color w:val="auto"/>
              </w:rPr>
            </w:pPr>
          </w:p>
        </w:tc>
      </w:tr>
      <w:tr>
        <w:trPr>
          <w:trHeight w:val="27"/>
        </w:trPr>
        <w:tc>
          <w:tcPr>
            <w:tcW w:w="2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280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w w:val="95"/>
              </w:rPr>
              <w:t>Land development cost of sales</w:t>
            </w:r>
          </w:p>
        </w:tc>
        <w:tc>
          <w:tcPr>
            <w:tcW w:w="1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2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Earnings from land and development equity method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48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9640" w:type="dxa"/>
            <w:vAlign w:val="bottom"/>
            <w:gridSpan w:val="11"/>
          </w:tcPr>
          <w:p>
            <w:pPr>
              <w:spacing w:after="0"/>
              <w:rPr>
                <w:sz w:val="20"/>
                <w:szCs w:val="20"/>
                <w:color w:val="auto"/>
              </w:rPr>
            </w:pPr>
            <w:r>
              <w:rPr>
                <w:rFonts w:ascii="Arial" w:cs="Arial" w:eastAsia="Arial" w:hAnsi="Arial"/>
                <w:sz w:val="18"/>
                <w:szCs w:val="18"/>
                <w:b w:val="1"/>
                <w:bCs w:val="1"/>
                <w:color w:val="auto"/>
                <w:w w:val="93"/>
              </w:rPr>
              <w:t>Results of Operations for the Three Months Ended March 31, 2018 compared to the Three Months Ended March 31, 2017</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For the Three Months Ended March 31,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Land development revenue</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276,429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256,379</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100" w:type="dxa"/>
            <w:vAlign w:val="bottom"/>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255,926</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&gt;100%</w:t>
            </w:r>
          </w:p>
        </w:tc>
      </w:tr>
      <w:tr>
        <w:trPr>
          <w:trHeight w:val="237"/>
        </w:trPr>
        <w:tc>
          <w:tcPr>
            <w:tcW w:w="100" w:type="dxa"/>
            <w:vAlign w:val="bottom"/>
          </w:tcPr>
          <w:p>
            <w:pPr>
              <w:spacing w:after="0"/>
              <w:rPr>
                <w:sz w:val="20"/>
                <w:szCs w:val="20"/>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51,145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Land development cost of sales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207,497</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10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349,104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141,452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207,652</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sales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8,938</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&gt;100%</w:t>
            </w:r>
          </w:p>
        </w:tc>
      </w:tr>
      <w:tr>
        <w:trPr>
          <w:trHeight w:val="257"/>
        </w:trPr>
        <w:tc>
          <w:tcPr>
            <w:tcW w:w="100" w:type="dxa"/>
            <w:vAlign w:val="bottom"/>
          </w:tcPr>
          <w:p>
            <w:pPr>
              <w:spacing w:after="0"/>
              <w:rPr>
                <w:sz w:val="22"/>
                <w:szCs w:val="22"/>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50,400</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0"/>
        </w:trPr>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$1.5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3.3%, to $45.8 million during the three months ended March 31, 2018 from $47.3 million for the same period in 2017. The following table summarizes our operating lease income by segment ($ in millions).</w:t>
      </w:r>
    </w:p>
    <w:p>
      <w:pPr>
        <w:spacing w:after="0" w:line="127"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Three Months Ended March</w:t>
      </w:r>
    </w:p>
    <w:p>
      <w:pPr>
        <w:spacing w:after="0" w:line="23"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Sale of net lease assets, partially offset by the execution of</w:t>
            </w:r>
          </w:p>
        </w:tc>
      </w:tr>
      <w:tr>
        <w:trPr>
          <w:trHeight w:val="237"/>
        </w:trPr>
        <w:tc>
          <w:tcPr>
            <w:tcW w:w="2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leases.</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Modification of leases from base rent to percentage rent.</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Increase in operating lease income at one of our land and</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properties.</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56"/>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shows certain same store statistics for our Net Lease and Operating Properties segments. Same store assets are defined as assets we owned on or prior to January 1, 2017 and were in service through March 31, 2018 (Operating lease income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Operating lease income</w:t>
            </w: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Rent per square foot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34.12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Occupancy</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 Occupancy is as of March 31, 2018 and 2017.</w:t>
      </w: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decreased $2.4 million, or 8.1%, to $26.7 million during the three months ended March 31, 2018 from $29.1 million for the same period in 2017. The decrease was due primarily to a decrease in the average balance of our performing loans, which decreased to $1.14 billion in 2018 from $1.28 billion in 2017. The weighted average yield on our performing loans increased to 9.4% for the three months ended March 31, 2018 from 9.2% for the same period in 2017.</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increased $3.4 million, or 29.1%, to $15.3 million during the three months ended March 31, 2018 from $11.9 million for the same period in 2017. Other income during the three months ended March 31, 2018 consisted primarily of income from our hotel properties, other ancillary income from our operating properties and interest income on our cash. Other income during the three months ended March 31, 2017 consisted of primarily of income from our hotel properties and other ancillary income from our operating properties. The increase in 2018 was related primarily to an increase in income from our hotel properties and an increase in interest income earned on our cash.</w:t>
      </w:r>
    </w:p>
    <w:p>
      <w:pPr>
        <w:spacing w:after="0" w:line="14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Land development revenue and cost of sales</w:t>
      </w:r>
      <w:r>
        <w:rPr>
          <w:rFonts w:ascii="Arial" w:cs="Arial" w:eastAsia="Arial" w:hAnsi="Arial"/>
          <w:sz w:val="16"/>
          <w:szCs w:val="16"/>
          <w:color w:val="auto"/>
        </w:rPr>
        <w:t>—During the three months ended March 31, 2018, we sold land parcels and residential lots and units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land development revenue of $276.4 million which had associated cost of sales of $223.4 million, representing a $53.0 million gross profit. During the three months ended March 31, 2017, we sold residential lots and units and recognized land development revenue of $20.1 million which had associated cost of sales of $15.9 million, representing a $4.2 million gross profit. The increase in 2018 was primarily the result of two bulk land parcel sales.</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$5.9 million, or 11.7%, to $45.2 million during the three months ended March 31, 2018 from $51.1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2017 due to a decrease in the balance of our average outstanding debt and lower average borrowing costs, which decreased to $3.47 billion for the three months ended March 31, 2018 from $3.63 billion for the same period in 2017. Our weighted average cost of debt for the three months ended March 31, 2018 and 2017 was 5.4% and 5.9%, respectively.</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Real estate expenses increased $0.6 million, or 1.7%, to $36.2 million during the three months ended March 31, 2018 from $35.6 million for the same period in 2017. The following table summarizes our real estate expenses by segment ($ in millions).</w:t>
      </w:r>
    </w:p>
    <w:p>
      <w:pPr>
        <w:spacing w:after="0" w:line="292"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Three Months Ended March</w:t>
      </w:r>
    </w:p>
    <w:p>
      <w:pPr>
        <w:spacing w:after="0" w:line="23"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net lease assets.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5"/>
              </w:rPr>
              <w:t>Slight increase in bad debt expense at one of our operating</w:t>
            </w:r>
          </w:p>
        </w:tc>
      </w:t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properties.</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in marketing and other costs at one of our land and</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properties.</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40"/>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Depreciation and amortization decreased $1.2 million, or 9.5%, to $11.1 million during the three months ended March 31, 2018 from $12.3 million for the same period in 2017, primarily due to the sale of net lease and commercial operating properties in since April 1, 2017.</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increased $3.6 million, or 14.5%, to $28.8 million during the three months ended March 31, 2018 from $25.2 million for the same period in 2017. The following table summarizes our general and administrative expenses for the three months ended March 31, 2018 and 2017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760" w:type="dxa"/>
            <w:vAlign w:val="bottom"/>
            <w:gridSpan w:val="6"/>
          </w:tcPr>
          <w:p>
            <w:pPr>
              <w:ind w:left="200"/>
              <w:spacing w:after="0"/>
              <w:rPr>
                <w:sz w:val="20"/>
                <w:szCs w:val="20"/>
                <w:color w:val="auto"/>
              </w:rPr>
            </w:pPr>
            <w:r>
              <w:rPr>
                <w:rFonts w:ascii="Arial" w:cs="Arial" w:eastAsia="Arial" w:hAnsi="Arial"/>
                <w:sz w:val="18"/>
                <w:szCs w:val="18"/>
                <w:color w:val="auto"/>
              </w:rPr>
              <w:t>Three Months Ended March 31,</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7"/>
        </w:trPr>
        <w:tc>
          <w:tcPr>
            <w:tcW w:w="3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Payroll and related costs</w:t>
            </w:r>
            <w:r>
              <w:rPr>
                <w:rFonts w:ascii="Arial" w:cs="Arial" w:eastAsia="Arial" w:hAnsi="Arial"/>
                <w:sz w:val="25"/>
                <w:szCs w:val="25"/>
                <w:color w:val="auto"/>
                <w:vertAlign w:val="superscript"/>
              </w:rPr>
              <w:t>(1)</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Performance Incentive Plans</w:t>
            </w:r>
            <w:r>
              <w:rPr>
                <w:rFonts w:ascii="Arial" w:cs="Arial" w:eastAsia="Arial" w:hAnsi="Arial"/>
                <w:sz w:val="25"/>
                <w:szCs w:val="25"/>
                <w:color w:val="auto"/>
                <w:vertAlign w:val="superscript"/>
              </w:rPr>
              <w:t>(2)</w:t>
            </w:r>
          </w:p>
        </w:tc>
        <w:tc>
          <w:tcPr>
            <w:tcW w:w="7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5.0</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company costs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Occupancy costs</w:t>
            </w: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28.8</w:t>
            </w:r>
          </w:p>
        </w:tc>
        <w:tc>
          <w:tcPr>
            <w:tcW w:w="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-98425</wp:posOffset>
            </wp:positionV>
            <wp:extent cx="25298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60" w:hanging="247"/>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 primarily relates to severance related costs.</w:t>
      </w:r>
    </w:p>
    <w:p>
      <w:pPr>
        <w:spacing w:after="0" w:line="1" w:lineRule="exact"/>
        <w:rPr>
          <w:rFonts w:ascii="Arial" w:cs="Arial" w:eastAsia="Arial" w:hAnsi="Arial"/>
          <w:sz w:val="14"/>
          <w:szCs w:val="14"/>
          <w:color w:val="auto"/>
        </w:rPr>
      </w:pPr>
    </w:p>
    <w:p>
      <w:pPr>
        <w:ind w:left="660" w:hanging="247"/>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fair value of points issued and change in fair value of the plans during the periods presented. Such amounts may increase or decrease over time until the awards are settled. Please refer to Note 14 - Stock-Based Compensation Plans and Employee Benefits for a description of the Performance Incentive Plans.</w:t>
      </w:r>
    </w:p>
    <w:p>
      <w:pPr>
        <w:spacing w:after="0" w:line="13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net recovery of loan losses was $0.9 million during the three months ended March 31, 2018 as compared to a net recovery of loan losses of $4.9 million for the same period in 2017. The recovery of loan losses for the three months ended March 31, 2018 and 2017 was due to a reduction in the general reserve due to an overall improvement in the risk ratings of our loan portfolio.</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Impairment of assets was $4.1 million during the three months ended March 31, 2018 and resulted from an impairment on a real estate asset held for sale due to impending contracts to sell the remaining four condominium units at the property. During the three months ended March 31, 2017 we recorded an aggregate impairment of $4.4 million resulting from shifting demand in the local condominium market along with a change in our exit strategy on a real estate asset held for sale.</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decreased to $1.2 million during the three months ended March 31, 2018 from $1.9 million for the same period in 2017. The decrease was primarily the result of costs incurred in connection with the repricing of our 2016 Senior Credit Facility during the three months ended March 31, 2017 (refer to Note 10).</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three months ended March 31, 2018 and 2017, we incurred losses on early extinguishment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of $0.4 million and $0.2 million, respectively, resulting from repayments of our 2016 Senior Credit Facility.</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$2.4 million, or 41.6%, to $3.3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2018 from $5.7 million for the same period in 2017. During the three months ended March 31, 2018, we recognized $2.1 million related to operations at our Net Lease Venture, $1.5 million from our equity method investment in SAFE and $0.3 million was aggregate losses from our remaining equity method investments. During the three months ended March 31, 2017, we recognized $3.1 million related to sales activity on a land development venture, $1.0 million related to operations at our Net Lease Venture and $1.6 million was aggregate income from our remaining equity method investments.</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—Income tax expense of $0.1 million was recorded during the three months ended March 31, 2018 as compared to $0.6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2017. The income tax expense for the three months ended March 31, 2018 and 2017 primarily related to state margins taxes and other minimum state franchise taxes.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—In April 2017, institutional investors acquired a controlling interest in our Ground Lease business through the merger of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subsidiaries and related transactions. We received total consideration of $340.0 million, including $113.0 million in cash, including $55.5 million that we contributed to SAFE in its initial capitalization, and the proceeds from the $227.0 million 2017 Secured Financing (refer to Note 10). Income from discontinued operations represents the operating results from the 12 properties comprising our Ground Lease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increased to $17.0 million during the three months ended March 31, 2018 from $8.1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same period in 2017. The following table presents our income from sales of real estate by segment ($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2500" w:type="dxa"/>
            <w:vAlign w:val="bottom"/>
            <w:gridSpan w:val="5"/>
          </w:tcPr>
          <w:p>
            <w:pPr>
              <w:jc w:val="right"/>
              <w:spacing w:after="0"/>
              <w:rPr>
                <w:sz w:val="20"/>
                <w:szCs w:val="20"/>
                <w:color w:val="auto"/>
              </w:rPr>
            </w:pPr>
            <w:r>
              <w:rPr>
                <w:rFonts w:ascii="Arial" w:cs="Arial" w:eastAsia="Arial" w:hAnsi="Arial"/>
                <w:sz w:val="18"/>
                <w:szCs w:val="18"/>
                <w:color w:val="auto"/>
                <w:w w:val="94"/>
              </w:rPr>
              <w:t>Three Months Ended March 31,</w:t>
            </w:r>
          </w:p>
        </w:tc>
      </w:tr>
      <w:tr>
        <w:trPr>
          <w:trHeight w:val="270"/>
        </w:trPr>
        <w:tc>
          <w:tcPr>
            <w:tcW w:w="2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r>
      <w:tr>
        <w:trPr>
          <w:trHeight w:val="27"/>
        </w:trPr>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addition to net income (loss) prepared in conformity with generally accepted accounting principles in the United States of America ("GAAP"), we use adjusted income, a non-GAAP financial measure, to measure our operating performance. Adjusted income is used internally as a supplemental performance measure adjusting for certain non-cash GAAP measures to give management a view of income more directly derived from current period activity. Adjusted income is calculated as net income (loss) allocable to common shareholders, prior to the effect of depreciation and amortization, provision for (recovery of) loan losses, impairment of assets, stock-based compensation expense, the non-cash portion of gain (loss) on early extinguishment of debt and is adjusted for the effect of gains or losses on charge-offs and dispositions on carrying value gross of loan loss reserves and impairments ("Adjusted Income"). In the third quarter 2017, we modified our presentation of Adjusted Income to exclude the effect of the amount of the liquidation preference that was recorded as a premium above book value on the redemption of preferred stock and the imputed non-cash interest expense recognized for the conversion feature of our senior convertible notes (refer to Note 10). Adjusted Income includes the impact to retained earnings (income that would have been recognized in prior periods had the accounting standards been effective during those prior periods) resulting from the adoption of new accounting standards on January 1, 2018 (refer to Note 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or to cash flows from operating activities (determined in accordance with GAAP), as a measure of our liquidity, nor is Adjusted Income indicative of funds available to fund our cash needs or available for distribution to shareholders. Rather, Adjusted Income is an additional measure we use to analyze our business performance because it excludes the effects of certain non-cash charges that we believe are not necessarily indicative of our operating performance while including the effect of gains or losses on investments when realized. It should be noted that our manner of calculating Adjusted Income may differ from the calculations of similarly-titled measures by other companies.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960" w:type="dxa"/>
            <w:vAlign w:val="bottom"/>
            <w:gridSpan w:val="5"/>
          </w:tcPr>
          <w:p>
            <w:pPr>
              <w:jc w:val="right"/>
              <w:spacing w:after="0"/>
              <w:rPr>
                <w:sz w:val="20"/>
                <w:szCs w:val="20"/>
                <w:color w:val="auto"/>
              </w:rPr>
            </w:pPr>
            <w:r>
              <w:rPr>
                <w:rFonts w:ascii="Arial" w:cs="Arial" w:eastAsia="Arial" w:hAnsi="Arial"/>
                <w:sz w:val="16"/>
                <w:szCs w:val="16"/>
                <w:b w:val="1"/>
                <w:bCs w:val="1"/>
                <w:color w:val="auto"/>
                <w:w w:val="96"/>
              </w:rPr>
              <w:t>For the Three Months Ended March 31,</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26,809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(27,102)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20,069</w:t>
            </w: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Arial" w:cs="Arial" w:eastAsia="Arial" w:hAnsi="Arial"/>
                <w:sz w:val="18"/>
                <w:szCs w:val="18"/>
                <w:color w:val="auto"/>
              </w:rPr>
              <w:t>Less: Recovery of loan losses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w:t>
            </w: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9,091</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Arial" w:cs="Arial" w:eastAsia="Arial" w:hAnsi="Arial"/>
                <w:sz w:val="18"/>
                <w:szCs w:val="18"/>
                <w:color w:val="auto"/>
              </w:rPr>
              <w:t>Add: Non-cash interest expense on senior convertible notes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Impact from adoption of new accounting standards</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75,869</w:t>
            </w: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Less: Losses on charge-offs and dispositions</w:t>
            </w:r>
            <w:r>
              <w:rPr>
                <w:rFonts w:ascii="Arial" w:cs="Arial" w:eastAsia="Arial" w:hAnsi="Arial"/>
                <w:sz w:val="25"/>
                <w:szCs w:val="25"/>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2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income (loss) allocable to common shareholders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132,308</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(including from the adoption of ASU 2017-05) and excludes the portion of depreciation and amortization expense allocable to noncontrolling interests.</w:t>
      </w: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an increase to retained earnings on January 1, 2018 upon the adoption of ASU 2017-05 (refer to Note 3).</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impact of charge-offs and dispositions realized during the period. These charge-offs and dispositions were on assets that were previously impaired for GAAP and reflected in net income but not Adjusted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March 31, 2018, we invested $253.5 million associated with new investments, prior financing commitments and ongoing development during the quarter. Total investments included $171.4 million in lending and other investments, $33.7 million to develop our land and development assets, $36.2 million to invest in net lease assets and $12.2 million of capital to reposition or redevelop our operating properties. Also during the three months ended March 31, 2018, we generated $439.2 million of proceeds from loan repayments and asset sales within our portfolio, comprised of $132.5 million from real estate finance, $46.6 million from operating properties, $18.9 million from net lease assets, $240.4 million from land and development assets and $0.8 million from other investments. These amounts are inclusive of fundings and proceeds from both consolidated investments and our pro rata share from equity method investments.</w:t>
      </w:r>
    </w:p>
    <w:p>
      <w:pPr>
        <w:spacing w:after="0" w:line="1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by segment ($ in thousands):</w:t>
      </w: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3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5"/>
              </w:rPr>
              <w:t>For the Three Months Ended March 31,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30,954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27,604</w:t>
            </w:r>
          </w:p>
        </w:tc>
        <w:tc>
          <w:tcPr>
            <w:tcW w:w="0" w:type="dxa"/>
            <w:vAlign w:val="bottom"/>
          </w:tcPr>
          <w:p>
            <w:pPr>
              <w:spacing w:after="0"/>
              <w:rPr>
                <w:sz w:val="1"/>
                <w:szCs w:val="1"/>
                <w:color w:val="auto"/>
              </w:rPr>
            </w:pPr>
          </w:p>
        </w:tc>
      </w:tr>
      <w:tr>
        <w:trPr>
          <w:trHeight w:val="257"/>
        </w:trPr>
        <w:tc>
          <w:tcPr>
            <w:tcW w:w="546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30,954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27,604</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280"/>
              <w:spacing w:after="0"/>
              <w:rPr>
                <w:sz w:val="20"/>
                <w:szCs w:val="20"/>
                <w:color w:val="auto"/>
              </w:rPr>
            </w:pPr>
            <w:r>
              <w:rPr>
                <w:rFonts w:ascii="Arial" w:cs="Arial" w:eastAsia="Arial" w:hAnsi="Arial"/>
                <w:sz w:val="18"/>
                <w:szCs w:val="18"/>
                <w:color w:val="auto"/>
              </w:rPr>
              <w:t>43</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of March 31, 2018, we had unrestricted cash of $366.7 million. Our primary cash uses over the next 12 months are expected to be funding of investments, capital expenditures and funding ongoing business operations. Over the next 12 months, we currently expect to fund in the range of approximately $175.0 million to $225.0 million of capital expenditures within our portfolio. The majority of these amounts relate to our land and development and operating properties business segments and include multifamily and residential development activities which are expected to include approximately $140.0 million in vertical construction. The amount spent will depend on the pace of our development activities as well as the extent to which we strategically partner with others to complete these projects. As of March 31, 2018, we also had approximately $481.3 million of maximum unfunded commitments associated with our investments of which we expect to fund the majority of over the next two years, assuming borrowers and tenants meet all milestones, performance hurdles and all other conditions to fundings (see "Unfunded Commitments" below). Our capital sources to meet cash uses through the next 12 months and beyond will primarily be expected to include cash on hand, income from our portfolio, loan repayments from borrowers and proceeds from asset sales.</w:t>
      </w:r>
    </w:p>
    <w:p>
      <w:pPr>
        <w:spacing w:after="0" w:line="19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loan participations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lease obligations as of March 31, 2018 (refer to Note 10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2,507,500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1,170,000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1,337,500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376,671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Mortgages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206,163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18,146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163,156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preferred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3,190,334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1,196,146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1,865,327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576,587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161,519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252,654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111,552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85,621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72,986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12,635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3,869,483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252,809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1,469,015</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1,978,638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39,067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Variable-rate debt assumes 1-month LIBOR of 1.88% and 3-month LIBOR of 2.31% that were in effect as of March 31,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Collateral Assets</w:t>
      </w:r>
      <w:r>
        <w:rPr>
          <w:rFonts w:ascii="Arial" w:cs="Arial" w:eastAsia="Arial" w:hAnsi="Arial"/>
          <w:sz w:val="18"/>
          <w:szCs w:val="18"/>
          <w:color w:val="auto"/>
        </w:rPr>
        <w:t>—The carrying value of our assets that are directly pledged or are held by subsidiaries whose equity is pledged as collateral to secure</w:t>
      </w:r>
      <w:r>
        <w:rPr>
          <w:rFonts w:ascii="Arial" w:cs="Arial" w:eastAsia="Arial" w:hAnsi="Arial"/>
          <w:sz w:val="18"/>
          <w:szCs w:val="18"/>
          <w:b w:val="1"/>
          <w:bCs w:val="1"/>
          <w:color w:val="auto"/>
        </w:rPr>
        <w:t xml:space="preserve"> </w:t>
      </w:r>
      <w:r>
        <w:rPr>
          <w:rFonts w:ascii="Arial" w:cs="Arial" w:eastAsia="Arial" w:hAnsi="Arial"/>
          <w:sz w:val="18"/>
          <w:szCs w:val="18"/>
          <w:color w:val="auto"/>
        </w:rPr>
        <w:t>our obligations under our secured debt facilities are as follows, by asset type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March 31, 2018</w:t>
            </w:r>
          </w:p>
        </w:tc>
        <w:tc>
          <w:tcPr>
            <w:tcW w:w="220" w:type="dxa"/>
            <w:vAlign w:val="bottom"/>
          </w:tcPr>
          <w:p>
            <w:pPr>
              <w:spacing w:after="0"/>
              <w:rPr>
                <w:sz w:val="20"/>
                <w:szCs w:val="20"/>
                <w:color w:val="auto"/>
              </w:rPr>
            </w:pPr>
          </w:p>
        </w:tc>
        <w:tc>
          <w:tcPr>
            <w:tcW w:w="28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December 31, 2017</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Collateral</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Non-Collateral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Collateral</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Non-Collateral</w:t>
            </w:r>
          </w:p>
        </w:tc>
      </w:tr>
      <w:tr>
        <w:trPr>
          <w:trHeight w:val="261"/>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6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80" w:type="dxa"/>
            <w:vAlign w:val="bottom"/>
          </w:tcPr>
          <w:p>
            <w:pPr>
              <w:spacing w:after="0"/>
              <w:rPr>
                <w:sz w:val="22"/>
                <w:szCs w:val="22"/>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Assets</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835,211</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(2)(3)</w:t>
            </w: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185,161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1,146,571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1,021,340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601,322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898,252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3,380,511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3,611,273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left="500" w:hanging="492"/>
        <w:spacing w:after="0" w:line="260"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2016 Senior Credit Facility and the 2015 Revolving Credit Facility are secured only by pledges of equity of certain of our subsidiaries and not by pledges of the assets held by such subsidiaries. Such subsidiaries are subject to contractual restrictions under the terms of such credit facilities, including restrictions on incurring new debt (subject to certain exceptions).</w:t>
      </w: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March 31, 2018 and December 31, 2017, the amounts presented exclude general reserves for loan losses of $16.6 million and $17.5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March 31, 2018 and December 31, 2017, the amounts presented exclude loan participations of $85.3 million and $102.3 million, respectively.</w:t>
      </w:r>
    </w:p>
    <w:p>
      <w:pPr>
        <w:spacing w:after="0" w:line="1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outstanding unsecured debt securities contain corporate level covenants that include a covenant to maintain a ratio of</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If our ability to incur additional indebtedness under the fixed charge coverage ratio is limited, we are permitted to incur indebtedness for the purpose of refinancing existing indebtedness and for other permitted purposes under the indentures.</w:t>
      </w:r>
    </w:p>
    <w:p>
      <w:pPr>
        <w:spacing w:after="0" w:line="15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2016 Senior Credit Facility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Credit Facility requires us to maintain collateral coverage of at least 1.25x outstanding borrowings on the facility. The 2015 Revolving Credit Facility is secured by a borrowing base of assets and requires us to maintain both borrowing base asset value of at least 1.5x outstanding borrowings on the facility and a consolidated ratio of cash flow to fixed charges of at least 1.5x. The 2015 Revolving Credit Facility does not require that proceeds from the borrowing base be used to pay down outstanding borrowings provided the borrowing base asset value remains at least 1.5x outstanding borrowings on the facility. To satisfy this covenant, we have the option to pay down outstanding borrowings or substitute assets in the borrowing base. In addition, for so long as we maintain our qualification as a REIT, the 2016 Senior Credit Facility and the 2015 Revolving Credit Facility permit us to distribute 100% of our REIT taxable income on an annual basis (prior to deducting certain cumulative NOL carryforwards).</w:t>
      </w:r>
    </w:p>
    <w:p>
      <w:pPr>
        <w:spacing w:after="0" w:line="16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Refer to Note 12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—We generally fund construction and development loans and build-outs of space in net lease assets over a period of time if</w:t>
      </w:r>
      <w:r>
        <w:rPr>
          <w:rFonts w:ascii="Arial" w:cs="Arial" w:eastAsia="Arial" w:hAnsi="Arial"/>
          <w:sz w:val="18"/>
          <w:szCs w:val="18"/>
          <w:b w:val="1"/>
          <w:bCs w:val="1"/>
          <w:color w:val="auto"/>
        </w:rPr>
        <w:t xml:space="preserve"> </w:t>
      </w:r>
      <w:r>
        <w:rPr>
          <w:rFonts w:ascii="Arial" w:cs="Arial" w:eastAsia="Arial" w:hAnsi="Arial"/>
          <w:sz w:val="18"/>
          <w:szCs w:val="18"/>
          <w:color w:val="auto"/>
        </w:rPr>
        <w:t>and when the borrowers and tenants meet established milestones and other performance criteria. We refer to these arrangements as Performance-Based Commitments. In addition, we have committed to invest capital in several real estate funds and other ventures. These arrangements are referred to as Strategic Investments. As of March 31, 2018, the maximum amounts of the fundings we may make under each category, assuming all performance hurdles and milestones are met under the Performance-Based Commitments and that 100% of our capital committed to Strategic Investments is drawn down,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Loans and Other</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61"/>
        </w:trPr>
        <w:tc>
          <w:tcPr>
            <w:tcW w:w="3300" w:type="dxa"/>
            <w:vAlign w:val="bottom"/>
          </w:tcPr>
          <w:p>
            <w:pPr>
              <w:spacing w:after="0"/>
              <w:rPr>
                <w:sz w:val="22"/>
                <w:szCs w:val="22"/>
                <w:color w:val="auto"/>
              </w:rPr>
            </w:pPr>
          </w:p>
        </w:tc>
        <w:tc>
          <w:tcPr>
            <w:tcW w:w="2060" w:type="dxa"/>
            <w:vAlign w:val="bottom"/>
            <w:gridSpan w:val="3"/>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Lending Investments</w:t>
            </w:r>
            <w:r>
              <w:rPr>
                <w:rFonts w:ascii="Arial" w:cs="Arial" w:eastAsia="Arial" w:hAnsi="Arial"/>
                <w:sz w:val="25"/>
                <w:szCs w:val="25"/>
                <w:b w:val="1"/>
                <w:bCs w:val="1"/>
                <w:color w:val="auto"/>
                <w:w w:val="87"/>
                <w:vertAlign w:val="superscript"/>
              </w:rPr>
              <w:t>(1)</w:t>
            </w:r>
          </w:p>
        </w:tc>
        <w:tc>
          <w:tcPr>
            <w:tcW w:w="320" w:type="dxa"/>
            <w:vAlign w:val="bottom"/>
          </w:tcPr>
          <w:p>
            <w:pPr>
              <w:spacing w:after="0"/>
              <w:rPr>
                <w:sz w:val="22"/>
                <w:szCs w:val="22"/>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Real Estate</w:t>
            </w:r>
          </w:p>
        </w:tc>
        <w:tc>
          <w:tcPr>
            <w:tcW w:w="300" w:type="dxa"/>
            <w:vAlign w:val="bottom"/>
          </w:tcPr>
          <w:p>
            <w:pPr>
              <w:spacing w:after="0"/>
              <w:rPr>
                <w:sz w:val="22"/>
                <w:szCs w:val="22"/>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Investments</w:t>
            </w:r>
          </w:p>
        </w:tc>
        <w:tc>
          <w:tcPr>
            <w:tcW w:w="440" w:type="dxa"/>
            <w:vAlign w:val="bottom"/>
          </w:tcPr>
          <w:p>
            <w:pPr>
              <w:spacing w:after="0"/>
              <w:rPr>
                <w:sz w:val="22"/>
                <w:szCs w:val="22"/>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471,856</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9,427</w:t>
            </w:r>
          </w:p>
        </w:tc>
      </w:tr>
      <w:tr>
        <w:trPr>
          <w:trHeight w:val="27"/>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436,639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481,283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-98425</wp:posOffset>
            </wp:positionV>
            <wp:extent cx="51200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$83.7 million of commitments on loan participations sold that are not our obligation.</w:t>
      </w:r>
    </w:p>
    <w:p>
      <w:pPr>
        <w:spacing w:after="0" w:line="20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—We may repurchase shares in negotiated transactions or open market transactions, including through one or more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plans. During the three months ended March 31, 2018, we repurchased 0.8 million shares of our outstanding common stock for $8.3 million, representing an average cost of $10.22 per share. As of March 31, 2018, we had remaining authorization to repurchase up to $41.7 million of common stock under our stock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our critical accounting policies, refer to Note 3 to the consolidated financial statements.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quantifies the potential changes in annual net income, assuming no change in our interest earning assets or interest bearing liabilities, should interest rates increase or decrease by 10, 50 or 100 basis points, assuming no change in the shape of the yield curve (i.e., relative interest rates). The base interest rate scenario assumes the one-month LIBOR rate of 1.88% as of March 31, 2018. Actual results could differ significantly from those estimated in the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5"/>
                <w:szCs w:val="25"/>
                <w:b w:val="1"/>
                <w:bCs w:val="1"/>
                <w:color w:val="auto"/>
                <w:vertAlign w:val="superscript"/>
              </w:rPr>
              <w:t>(1)</w:t>
            </w: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 Basis Points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(5,191)</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5,335</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4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jc w:val="both"/>
        <w:ind w:left="420" w:hanging="412"/>
        <w:spacing w:after="0" w:line="248"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March 31, 2018, $498.0 million of our floating rate loans have a cumulative weighted average interest rate floor of 0.5% and $462.3 million of our floating rate debt has a cumulative weighted average interest rate floor of 0.7%.</w:t>
      </w:r>
    </w:p>
    <w:p>
      <w:pPr>
        <w:spacing w:after="0" w:line="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w:t>
      </w:r>
    </w:p>
    <w:p>
      <w:pPr>
        <w:sectPr>
          <w:pgSz w:w="11900" w:h="16838" w:orient="portrait"/>
          <w:cols w:equalWidth="0" w:num="1">
            <w:col w:w="11420"/>
          </w:cols>
          <w:pgMar w:left="240" w:top="122"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materiality of information and determining the disclosure obligations of the Company on a timely basis. The disclosure committee reports directly to the Company's Chief Executive Officer and Chief Financial Officer.</w:t>
      </w:r>
    </w:p>
    <w:p>
      <w:pPr>
        <w:spacing w:after="0" w:line="13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the Company's business as a finance and investment company focused on the commercial real estate industry, including foreclosure-related proceedings. In addition to such matters, the Company is a party to the following legal proceeding:</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U.S. Home Corporation ("Lennar") v. Settlers Crossing, LLC, et al. (United States District Court for the District of Maryland, Civil Action No. DKC 08-1863)</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4, 2017, the U.S. Supreme Court issued an order denying Lennar’s petition for a writ of certiorari in this matter. The amount of attorneys’ fees and costs to be recovered by the Company will be determined through further proceedings before the District Court. The Company has applied for attorney’s fees in excess of $17.0 million. A hearing on the Company’s application for attorney’s fees has not yet been scheduled. Please refer to the Company's 2017 Annual Report for a more complete description of this matter.</w:t>
      </w: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from the risk factors previously disclosed in our 2017 Annual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us or on our behalf of our common stock during the three months ended March 31,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4"/>
              </w:rPr>
              <w:t>Average Price Paid</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49,625,690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740" w:type="dxa"/>
            <w:vAlign w:val="bottom"/>
          </w:tcPr>
          <w:p>
            <w:pPr>
              <w:jc w:val="right"/>
              <w:spacing w:after="0"/>
              <w:rPr>
                <w:sz w:val="20"/>
                <w:szCs w:val="20"/>
                <w:color w:val="auto"/>
              </w:rPr>
            </w:pPr>
            <w:r>
              <w:rPr>
                <w:rFonts w:ascii="Arial" w:cs="Arial" w:eastAsia="Arial" w:hAnsi="Arial"/>
                <w:sz w:val="18"/>
                <w:szCs w:val="18"/>
                <w:color w:val="auto"/>
              </w:rPr>
              <w:t>777,746</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777,746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41,710,022</w:t>
            </w: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color w:val="auto"/>
              </w:rPr>
              <w:t>March 1 to March 31</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repurchase shares in negotiated transactions or open market transactions, including through one or more trading plans.</w:t>
      </w:r>
    </w:p>
    <w:p>
      <w:pPr>
        <w:spacing w:after="0" w:line="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20" w:type="dxa"/>
            <w:vAlign w:val="bottom"/>
            <w:gridSpan w:val="2"/>
          </w:tcPr>
          <w:p>
            <w:pPr>
              <w:ind w:left="348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9520" w:type="dxa"/>
            <w:vAlign w:val="bottom"/>
            <w:gridSpan w:val="2"/>
          </w:tcPr>
          <w:p>
            <w:pPr>
              <w:ind w:left="388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7"/>
              </w:rPr>
              <w:t>3.2</w:t>
            </w:r>
          </w:p>
        </w:tc>
        <w:tc>
          <w:tcPr>
            <w:tcW w:w="18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Amended and Restated Bylaws of iStar Inc., dated April 3, 2018*</w:t>
              </w:r>
            </w:hyperlink>
          </w:p>
        </w:tc>
        <w:tc>
          <w:tcPr>
            <w:tcW w:w="4780" w:type="dxa"/>
            <w:vAlign w:val="bottom"/>
            <w:tcBorders>
              <w:bottom w:val="single" w:sz="8" w:color="CCEEFF"/>
            </w:tcBorders>
            <w:shd w:val="clear" w:color="auto" w:fill="CCEEFF"/>
          </w:tcPr>
          <w:p>
            <w:pPr>
              <w:spacing w:after="0"/>
              <w:rPr>
                <w:sz w:val="21"/>
                <w:szCs w:val="21"/>
                <w:color w:val="auto"/>
              </w:rPr>
            </w:pPr>
          </w:p>
        </w:tc>
      </w:tr>
      <w:tr>
        <w:trPr>
          <w:trHeight w:val="203"/>
        </w:trPr>
        <w:tc>
          <w:tcPr>
            <w:tcW w:w="116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1"/>
              </w:rPr>
              <w:t>31.0</w:t>
            </w:r>
          </w:p>
        </w:tc>
        <w:tc>
          <w:tcPr>
            <w:tcW w:w="9700" w:type="dxa"/>
            <w:vAlign w:val="bottom"/>
            <w:gridSpan w:val="3"/>
          </w:tcPr>
          <w:p>
            <w:pPr>
              <w:ind w:left="18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Certifications pursuant to Section 302 of the Sarbanes-Oxley Act.</w:t>
              </w:r>
            </w:hyperlink>
          </w:p>
        </w:tc>
      </w:tr>
      <w:tr>
        <w:trPr>
          <w:trHeight w:val="48"/>
        </w:trPr>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740" w:type="dxa"/>
            <w:vAlign w:val="bottom"/>
            <w:tcBorders>
              <w:top w:val="single" w:sz="8" w:color="0000FF"/>
            </w:tcBorders>
          </w:tcPr>
          <w:p>
            <w:pPr>
              <w:spacing w:after="0"/>
              <w:rPr>
                <w:sz w:val="4"/>
                <w:szCs w:val="4"/>
                <w:color w:val="auto"/>
              </w:rPr>
            </w:pPr>
          </w:p>
        </w:tc>
        <w:tc>
          <w:tcPr>
            <w:tcW w:w="47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1"/>
              </w:rPr>
              <w:t>32.0</w:t>
            </w:r>
          </w:p>
        </w:tc>
        <w:tc>
          <w:tcPr>
            <w:tcW w:w="18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Certifications pursuant to Section 906 of the Sarbanes-Oxley Act.</w:t>
              </w:r>
            </w:hyperlink>
          </w:p>
        </w:tc>
        <w:tc>
          <w:tcPr>
            <w:tcW w:w="478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101**</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4"/>
              </w:rPr>
              <w:t>The following financial information from the Company's Quarterly Report on Form 10-Q for the period ended March 31, 2018 is</w:t>
            </w:r>
          </w:p>
        </w:tc>
      </w:tr>
      <w:tr>
        <w:trPr>
          <w:trHeight w:val="216"/>
        </w:trPr>
        <w:tc>
          <w:tcPr>
            <w:tcW w:w="1160" w:type="dxa"/>
            <w:vAlign w:val="bottom"/>
          </w:tcPr>
          <w:p>
            <w:pPr>
              <w:spacing w:after="0"/>
              <w:rPr>
                <w:sz w:val="18"/>
                <w:szCs w:val="18"/>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2"/>
              </w:rPr>
              <w:t>formatted in XBRL ("eXtensible Business Reporting Language"): (i) the Consolidated Balance Sheets (unaudited) as of March 31,</w:t>
            </w:r>
          </w:p>
        </w:tc>
      </w:tr>
      <w:tr>
        <w:trPr>
          <w:trHeight w:val="230"/>
        </w:trPr>
        <w:tc>
          <w:tcPr>
            <w:tcW w:w="116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3"/>
              </w:rPr>
              <w:t>2018 and December 31, 2017, (ii) the Consolidated Statements of Operations (unaudited) for the three months ended March 31,</w:t>
            </w:r>
          </w:p>
        </w:tc>
      </w:tr>
    </w:tbl>
    <w:p>
      <w:pPr>
        <w:ind w:left="1340" w:right="680"/>
        <w:spacing w:after="0" w:line="254" w:lineRule="auto"/>
        <w:rPr>
          <w:sz w:val="20"/>
          <w:szCs w:val="20"/>
          <w:color w:val="auto"/>
        </w:rPr>
      </w:pPr>
      <w:r>
        <w:rPr>
          <w:rFonts w:ascii="Arial" w:cs="Arial" w:eastAsia="Arial" w:hAnsi="Arial"/>
          <w:sz w:val="18"/>
          <w:szCs w:val="18"/>
          <w:color w:val="auto"/>
        </w:rPr>
        <w:t>2018 and 2017, (iii) the Consolidated Statements of Comprehensive Income (Loss) (unaudited) for the three months ended March 31, 2018 and 2017, (iv) the Consolidated Statements of Changes in Equity (unaudited) for the three months ended March 31, 2018 and 2017, (v) the Consolidated Statements of Cash Flows (unaudited) for the three months ended March 31, 2018 and 2017 and (vi) the Notes to the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Incorporated by reference to the Company's Current Report on Form 8-K filed on April 3, 2018.</w:t>
      </w:r>
    </w:p>
    <w:p>
      <w:pPr>
        <w:spacing w:after="0" w:line="177" w:lineRule="exact"/>
        <w:rPr>
          <w:sz w:val="20"/>
          <w:szCs w:val="20"/>
          <w:color w:val="auto"/>
        </w:rPr>
      </w:pPr>
    </w:p>
    <w:p>
      <w:pPr>
        <w:ind w:left="660" w:hanging="652"/>
        <w:spacing w:after="0" w:line="312" w:lineRule="auto"/>
        <w:tabs>
          <w:tab w:leader="none" w:pos="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46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7"/>
          <w:szCs w:val="17"/>
          <w:color w:val="auto"/>
        </w:rPr>
        <w:t>/s/ ANDREW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Andrew C. Richardson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Interim Chief Financial Officer (principal financial and accounting</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2018</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C. Richardson, certify that:</w:t>
      </w:r>
    </w:p>
    <w:p>
      <w:pPr>
        <w:spacing w:after="0" w:line="171" w:lineRule="exact"/>
        <w:rPr>
          <w:sz w:val="20"/>
          <w:szCs w:val="20"/>
          <w:color w:val="auto"/>
        </w:rPr>
      </w:pPr>
    </w:p>
    <w:p>
      <w:pPr>
        <w:ind w:left="520" w:hanging="188"/>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2018</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ANDREW C. RICHARDSON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Andrew C. Richardson</w:t>
            </w:r>
          </w:p>
        </w:tc>
      </w:tr>
      <w:tr>
        <w:trPr>
          <w:trHeight w:val="164"/>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3" w:lineRule="exact"/>
              <w:rPr>
                <w:sz w:val="20"/>
                <w:szCs w:val="20"/>
                <w:color w:val="auto"/>
              </w:rPr>
            </w:pPr>
            <w:r>
              <w:rPr>
                <w:rFonts w:ascii="Arial" w:cs="Arial" w:eastAsia="Arial" w:hAnsi="Arial"/>
                <w:sz w:val="18"/>
                <w:szCs w:val="18"/>
                <w:i w:val="1"/>
                <w:iCs w:val="1"/>
                <w:color w:val="auto"/>
                <w:w w:val="98"/>
              </w:rPr>
              <w:t>Interim Chief Financial Officer (principal financial and</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1"/>
              </w:rPr>
              <w:t>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March 31,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2018</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March 31,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2018</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ANDREW C. RICHARDSON</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Andrew C. Richardson</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w w:val="98"/>
              </w:rPr>
              <w:t>Interim Chief Financial Officer (principal financial and</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5" Type="http://schemas.openxmlformats.org/officeDocument/2006/relationships/hyperlink" Target="http://www.sec.gov/Archives/edgar/data/1095651/000109565118000006/bylawsamendedandrest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2019-12-28T23:03:17Z</dcterms:created>
  <dcterms:modified xsi:type="dcterms:W3CDTF">2019-12-28T23:03:17Z</dcterms:modified>
</cp:coreProperties>
</file>