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7747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7"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1500" w:right="2940" w:hanging="850"/>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63"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500" w:right="2940" w:hanging="810"/>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2800"/>
        <w:spacing w:after="0"/>
        <w:tabs>
          <w:tab w:leader="none" w:pos="5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1-15371</w:t>
      </w:r>
    </w:p>
    <w:p>
      <w:pPr>
        <w:spacing w:after="0" w:line="144"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iSTAR FINANCIAL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86" w:lineRule="exact"/>
        <w:rPr>
          <w:sz w:val="24"/>
          <w:szCs w:val="24"/>
          <w:color w:val="auto"/>
        </w:rPr>
      </w:pPr>
    </w:p>
    <w:tbl>
      <w:tblPr>
        <w:tblLayout w:type="fixed"/>
        <w:tblInd w:w="1220" w:type="dxa"/>
        <w:tblCellMar>
          <w:top w:w="0" w:type="dxa"/>
          <w:left w:w="0" w:type="dxa"/>
          <w:bottom w:w="0" w:type="dxa"/>
          <w:right w:w="0" w:type="dxa"/>
        </w:tblCellMar>
      </w:tblPr>
      <w:tr>
        <w:trPr>
          <w:trHeight w:val="220"/>
        </w:trPr>
        <w:tc>
          <w:tcPr>
            <w:tcW w:w="4840" w:type="dxa"/>
            <w:vAlign w:val="bottom"/>
          </w:tcPr>
          <w:p>
            <w:pPr>
              <w:jc w:val="center"/>
              <w:ind w:right="1690"/>
              <w:spacing w:after="0"/>
              <w:rPr>
                <w:sz w:val="20"/>
                <w:szCs w:val="20"/>
                <w:color w:val="auto"/>
              </w:rPr>
            </w:pPr>
            <w:r>
              <w:rPr>
                <w:rFonts w:ascii="Arial" w:cs="Arial" w:eastAsia="Arial" w:hAnsi="Arial"/>
                <w:sz w:val="18"/>
                <w:szCs w:val="18"/>
                <w:b w:val="1"/>
                <w:bCs w:val="1"/>
                <w:color w:val="auto"/>
                <w:w w:val="98"/>
              </w:rPr>
              <w:t>Maryland</w:t>
            </w:r>
          </w:p>
        </w:tc>
        <w:tc>
          <w:tcPr>
            <w:tcW w:w="346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4840" w:type="dxa"/>
            <w:vAlign w:val="bottom"/>
          </w:tcPr>
          <w:p>
            <w:pPr>
              <w:jc w:val="center"/>
              <w:ind w:right="1690"/>
              <w:spacing w:after="0"/>
              <w:rPr>
                <w:sz w:val="20"/>
                <w:szCs w:val="20"/>
                <w:color w:val="auto"/>
              </w:rPr>
            </w:pPr>
            <w:r>
              <w:rPr>
                <w:rFonts w:ascii="Arial" w:cs="Arial" w:eastAsia="Arial" w:hAnsi="Arial"/>
                <w:sz w:val="18"/>
                <w:szCs w:val="18"/>
                <w:color w:val="auto"/>
                <w:w w:val="93"/>
              </w:rPr>
              <w:t>(State or other jurisdiction of</w:t>
            </w:r>
          </w:p>
        </w:tc>
        <w:tc>
          <w:tcPr>
            <w:tcW w:w="3460" w:type="dxa"/>
            <w:vAlign w:val="bottom"/>
          </w:tcPr>
          <w:p>
            <w:pPr>
              <w:jc w:val="center"/>
              <w:ind w:left="1710"/>
              <w:spacing w:after="0"/>
              <w:rPr>
                <w:sz w:val="20"/>
                <w:szCs w:val="20"/>
                <w:color w:val="auto"/>
              </w:rPr>
            </w:pPr>
            <w:r>
              <w:rPr>
                <w:rFonts w:ascii="Arial" w:cs="Arial" w:eastAsia="Arial" w:hAnsi="Arial"/>
                <w:sz w:val="18"/>
                <w:szCs w:val="18"/>
                <w:color w:val="auto"/>
                <w:w w:val="92"/>
              </w:rPr>
              <w:t>(I.R.S. Employer</w:t>
            </w:r>
          </w:p>
        </w:tc>
      </w:tr>
      <w:tr>
        <w:trPr>
          <w:trHeight w:val="230"/>
        </w:trPr>
        <w:tc>
          <w:tcPr>
            <w:tcW w:w="4840" w:type="dxa"/>
            <w:vAlign w:val="bottom"/>
          </w:tcPr>
          <w:p>
            <w:pPr>
              <w:jc w:val="center"/>
              <w:ind w:right="1690"/>
              <w:spacing w:after="0"/>
              <w:rPr>
                <w:sz w:val="20"/>
                <w:szCs w:val="20"/>
                <w:color w:val="auto"/>
              </w:rPr>
            </w:pPr>
            <w:r>
              <w:rPr>
                <w:rFonts w:ascii="Arial" w:cs="Arial" w:eastAsia="Arial" w:hAnsi="Arial"/>
                <w:sz w:val="18"/>
                <w:szCs w:val="18"/>
                <w:color w:val="auto"/>
                <w:w w:val="93"/>
              </w:rPr>
              <w:t>incorporation or organization)</w:t>
            </w:r>
          </w:p>
        </w:tc>
        <w:tc>
          <w:tcPr>
            <w:tcW w:w="3460" w:type="dxa"/>
            <w:vAlign w:val="bottom"/>
          </w:tcPr>
          <w:p>
            <w:pPr>
              <w:jc w:val="center"/>
              <w:ind w:left="171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4840" w:type="dxa"/>
            <w:vAlign w:val="bottom"/>
          </w:tcPr>
          <w:p>
            <w:pPr>
              <w:jc w:val="center"/>
              <w:ind w:right="1690"/>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3460" w:type="dxa"/>
            <w:vAlign w:val="bottom"/>
          </w:tcPr>
          <w:p>
            <w:pPr>
              <w:spacing w:after="0"/>
              <w:rPr>
                <w:sz w:val="23"/>
                <w:szCs w:val="23"/>
                <w:color w:val="auto"/>
              </w:rPr>
            </w:pPr>
          </w:p>
        </w:tc>
      </w:tr>
      <w:tr>
        <w:trPr>
          <w:trHeight w:val="256"/>
        </w:trPr>
        <w:tc>
          <w:tcPr>
            <w:tcW w:w="4840" w:type="dxa"/>
            <w:vAlign w:val="bottom"/>
          </w:tcPr>
          <w:p>
            <w:pPr>
              <w:jc w:val="center"/>
              <w:ind w:right="1690"/>
              <w:spacing w:after="0"/>
              <w:rPr>
                <w:sz w:val="20"/>
                <w:szCs w:val="20"/>
                <w:color w:val="auto"/>
              </w:rPr>
            </w:pPr>
            <w:r>
              <w:rPr>
                <w:rFonts w:ascii="Arial" w:cs="Arial" w:eastAsia="Arial" w:hAnsi="Arial"/>
                <w:sz w:val="18"/>
                <w:szCs w:val="18"/>
                <w:b w:val="1"/>
                <w:bCs w:val="1"/>
                <w:color w:val="auto"/>
                <w:w w:val="93"/>
              </w:rPr>
              <w:t>New York, NY</w:t>
            </w:r>
          </w:p>
        </w:tc>
        <w:tc>
          <w:tcPr>
            <w:tcW w:w="346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4840" w:type="dxa"/>
            <w:vAlign w:val="bottom"/>
          </w:tcPr>
          <w:p>
            <w:pPr>
              <w:jc w:val="center"/>
              <w:ind w:right="169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jc w:val="center"/>
              <w:ind w:left="169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259"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4"/>
          <w:szCs w:val="24"/>
          <w:color w:val="auto"/>
        </w:rPr>
      </w:pPr>
    </w:p>
    <w:p>
      <w:pPr>
        <w:sectPr>
          <w:pgSz w:w="11900" w:h="16838" w:orient="portrait"/>
          <w:cols w:equalWidth="0" w:num="4">
            <w:col w:w="2680" w:space="720"/>
            <w:col w:w="1800" w:space="720"/>
            <w:col w:w="2100" w:space="720"/>
            <w:col w:w="2680"/>
          </w:cols>
          <w:pgMar w:left="240" w:top="225" w:right="239" w:bottom="1440" w:gutter="0" w:footer="0" w:header="0"/>
          <w:type w:val="continuous"/>
        </w:sectPr>
      </w:pPr>
    </w:p>
    <w:p>
      <w:pPr>
        <w:ind w:left="6240"/>
        <w:spacing w:after="0"/>
        <w:rPr>
          <w:sz w:val="20"/>
          <w:szCs w:val="20"/>
          <w:color w:val="auto"/>
        </w:rPr>
      </w:pPr>
      <w:r>
        <w:rPr>
          <w:rFonts w:ascii="Arial" w:cs="Arial" w:eastAsia="Arial" w:hAnsi="Arial"/>
          <w:sz w:val="14"/>
          <w:szCs w:val="14"/>
          <w:color w:val="auto"/>
        </w:rPr>
        <w:t>(Do not check if a</w:t>
      </w:r>
    </w:p>
    <w:p>
      <w:pPr>
        <w:spacing w:after="0" w:line="21" w:lineRule="exact"/>
        <w:rPr>
          <w:sz w:val="24"/>
          <w:szCs w:val="24"/>
          <w:color w:val="auto"/>
        </w:rPr>
      </w:pPr>
    </w:p>
    <w:p>
      <w:pPr>
        <w:ind w:left="594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225" w:right="239" w:bottom="1440" w:gutter="0" w:footer="0" w:header="0"/>
          <w:type w:val="continuous"/>
        </w:sectPr>
      </w:pPr>
    </w:p>
    <w:p>
      <w:pPr>
        <w:spacing w:after="0" w:line="15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300" w:space="180"/>
            <w:col w:w="2940"/>
          </w:cols>
          <w:pgMar w:left="240" w:top="225" w:right="239" w:bottom="1440" w:gutter="0" w:footer="0" w:header="0"/>
          <w:type w:val="continuous"/>
        </w:sectPr>
      </w:pPr>
    </w:p>
    <w:p>
      <w:pPr>
        <w:spacing w:after="0" w:line="102"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As of August 1, 2013, there were 85,381,078 shares of Common Stock outstanding,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186055</wp:posOffset>
            </wp:positionV>
            <wp:extent cx="7229475"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7747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14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Index to Form 10-Q</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500" w:type="dxa"/>
            <w:vAlign w:val="bottom"/>
            <w:tcBorders>
              <w:bottom w:val="single" w:sz="8" w:color="0000FF"/>
            </w:tcBorders>
          </w:tcPr>
          <w:p>
            <w:pPr>
              <w:spacing w:after="0" w:line="170" w:lineRule="exact"/>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660" w:type="dxa"/>
            <w:vAlign w:val="bottom"/>
            <w:gridSpan w:val="3"/>
          </w:tcPr>
          <w:p>
            <w:pPr>
              <w:spacing w:after="0"/>
              <w:rPr>
                <w:sz w:val="17"/>
                <w:szCs w:val="17"/>
                <w:color w:val="auto"/>
              </w:rPr>
            </w:pPr>
          </w:p>
        </w:tc>
        <w:tc>
          <w:tcPr>
            <w:tcW w:w="4000" w:type="dxa"/>
            <w:vAlign w:val="bottom"/>
            <w:tcBorders>
              <w:bottom w:val="single" w:sz="8" w:color="0000FF"/>
            </w:tcBorders>
            <w:gridSpan w:val="10"/>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Consolidated Financial Information</w:t>
              </w:r>
            </w:hyperlink>
          </w:p>
        </w:tc>
        <w:tc>
          <w:tcPr>
            <w:tcW w:w="5540" w:type="dxa"/>
            <w:vAlign w:val="bottom"/>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c>
          <w:tcPr>
            <w:tcW w:w="20" w:type="dxa"/>
            <w:vAlign w:val="bottom"/>
          </w:tcPr>
          <w:p>
            <w:pPr>
              <w:spacing w:after="0"/>
              <w:rPr>
                <w:sz w:val="17"/>
                <w:szCs w:val="17"/>
                <w:color w:val="auto"/>
              </w:rPr>
            </w:pPr>
          </w:p>
        </w:tc>
      </w:tr>
      <w:tr>
        <w:trPr>
          <w:trHeight w:val="257"/>
        </w:trPr>
        <w:tc>
          <w:tcPr>
            <w:tcW w:w="11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5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 (unaudited) as of June 30, 2013 and December 31, 2012</w:t>
              </w:r>
            </w:hyperlink>
          </w:p>
        </w:tc>
        <w:tc>
          <w:tcPr>
            <w:tcW w:w="338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 (unaudited)—For the three and six months ended June 30, 2013 and 2012</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Consolidated Statements of Comprehensive Income (Loss) (unaudited)—For the three and six months ended June 30, 2013 and</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2012</w:t>
              </w:r>
            </w:hyperlink>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 of Changes in Equity (unaudited)—For the six months ended June 30, 2013</w:t>
              </w:r>
            </w:hyperlink>
          </w:p>
        </w:tc>
        <w:tc>
          <w:tcPr>
            <w:tcW w:w="234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Cash Flows (unaudited)—For the six months ended June 30, 2013 and 2012</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80" w:type="dxa"/>
            <w:vAlign w:val="bottom"/>
            <w:tcBorders>
              <w:top w:val="single" w:sz="8" w:color="0000FF"/>
            </w:tcBorders>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 (unaudited)</w:t>
              </w:r>
            </w:hyperlink>
          </w:p>
        </w:tc>
        <w:tc>
          <w:tcPr>
            <w:tcW w:w="206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954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9540" w:type="dxa"/>
            <w:vAlign w:val="bottom"/>
            <w:gridSpan w:val="1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9540" w:type="dxa"/>
            <w:vAlign w:val="bottom"/>
            <w:gridSpan w:val="1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Controls and Procedures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Part II.</w:t>
              </w:r>
            </w:hyperlink>
          </w:p>
        </w:tc>
        <w:tc>
          <w:tcPr>
            <w:tcW w:w="9540" w:type="dxa"/>
            <w:vAlign w:val="bottom"/>
            <w:gridSpan w:val="1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1.</w:t>
            </w:r>
          </w:p>
        </w:tc>
        <w:tc>
          <w:tcPr>
            <w:tcW w:w="600" w:type="dxa"/>
            <w:vAlign w:val="bottom"/>
            <w:gridSpan w:val="2"/>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9540" w:type="dxa"/>
            <w:vAlign w:val="bottom"/>
            <w:gridSpan w:val="1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9540" w:type="dxa"/>
            <w:vAlign w:val="bottom"/>
            <w:gridSpan w:val="1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Mine Safety Disclosures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5.</w:t>
            </w:r>
          </w:p>
        </w:tc>
        <w:tc>
          <w:tcPr>
            <w:tcW w:w="9540" w:type="dxa"/>
            <w:vAlign w:val="bottom"/>
            <w:gridSpan w:val="1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9540" w:type="dxa"/>
            <w:vAlign w:val="bottom"/>
            <w:gridSpan w:val="18"/>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Exhibits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FF"/>
                <w:w w:val="94"/>
              </w:rPr>
            </w:pPr>
            <w:hyperlink w:anchor="page53">
              <w:r>
                <w:rPr>
                  <w:rFonts w:ascii="Arial" w:cs="Arial" w:eastAsia="Arial" w:hAnsi="Arial"/>
                  <w:sz w:val="18"/>
                  <w:szCs w:val="18"/>
                  <w:b w:val="1"/>
                  <w:bCs w:val="1"/>
                  <w:color w:val="0000FF"/>
                  <w:w w:val="94"/>
                </w:rPr>
                <w:t>SIGNATURES</w:t>
              </w:r>
            </w:hyperlink>
          </w:p>
        </w:tc>
        <w:tc>
          <w:tcPr>
            <w:tcW w:w="9540" w:type="dxa"/>
            <w:vAlign w:val="bottom"/>
            <w:gridSpan w:val="1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2013</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2012</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3,172,352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3,226,648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(421,675)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(427,625)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2,750,677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2,799,023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524,092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635,865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3,274,769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3,434,888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1,513,636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1,829,985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715,906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256,344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36,778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103,697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93,990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5,946,780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6,150,789</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112,759</w:t>
            </w:r>
          </w:p>
        </w:tc>
        <w:tc>
          <w:tcPr>
            <w:tcW w:w="12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132,460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4,402,447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4,691,494</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4,515,206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4,823,954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iStar Financial Inc. 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(see Note 11)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(see Note 11)</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Performance Units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93"/>
              </w:rPr>
              <w:t>Common Stock, $0.001 par value, 200,000 shares authorized, 144,290 issued and 85,373 outstanding at June 30,</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2013 and 142,699 issued and 83,782 outstanding at December 31, 2012</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4,019,423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3,832,780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(2,430,158)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(2,360,647)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(see Note 11)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Treasury stock, at cost, $0.001 par value, 58,917 shares at June 30, 2013 and December 31, 2012</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(241,969)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(241,969)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iStar Financial Inc. shareholders'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1,238,944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64,420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74,210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1,419,320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1,313,154</w:t>
            </w:r>
          </w:p>
        </w:tc>
        <w:tc>
          <w:tcPr>
            <w:tcW w:w="0" w:type="dxa"/>
            <w:vAlign w:val="bottom"/>
          </w:tcPr>
          <w:p>
            <w:pPr>
              <w:spacing w:after="0"/>
              <w:rPr>
                <w:sz w:val="1"/>
                <w:szCs w:val="1"/>
                <w:color w:val="auto"/>
              </w:rPr>
            </w:pP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5,946,780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6,150,789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30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For the Three Months Ended June</w:t>
            </w:r>
          </w:p>
        </w:tc>
        <w:tc>
          <w:tcPr>
            <w:tcW w:w="2140" w:type="dxa"/>
            <w:vAlign w:val="bottom"/>
            <w:gridSpan w:val="6"/>
          </w:tcPr>
          <w:p>
            <w:pPr>
              <w:jc w:val="right"/>
              <w:spacing w:after="0"/>
              <w:rPr>
                <w:sz w:val="20"/>
                <w:szCs w:val="20"/>
                <w:color w:val="auto"/>
              </w:rPr>
            </w:pPr>
            <w:r>
              <w:rPr>
                <w:rFonts w:ascii="Arial" w:cs="Arial" w:eastAsia="Arial" w:hAnsi="Arial"/>
                <w:sz w:val="14"/>
                <w:szCs w:val="14"/>
                <w:b w:val="1"/>
                <w:bCs w:val="1"/>
                <w:color w:val="auto"/>
                <w:w w:val="97"/>
              </w:rPr>
              <w:t>For the Six Months Ended June</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Operating lease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57,522</w:t>
            </w:r>
          </w:p>
        </w:tc>
        <w:tc>
          <w:tcPr>
            <w:tcW w:w="4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54,111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115,995</w:t>
            </w:r>
          </w:p>
        </w:tc>
        <w:tc>
          <w:tcPr>
            <w:tcW w:w="3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107,305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29,682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54,349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73,651</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16,659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24,517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27,354</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100,329</w:t>
            </w:r>
          </w:p>
        </w:tc>
        <w:tc>
          <w:tcPr>
            <w:tcW w:w="4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194,861</w:t>
            </w:r>
          </w:p>
        </w:tc>
        <w:tc>
          <w:tcPr>
            <w:tcW w:w="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208,310</w:t>
            </w:r>
          </w:p>
        </w:tc>
        <w:tc>
          <w:tcPr>
            <w:tcW w:w="0" w:type="dxa"/>
            <w:vAlign w:val="bottom"/>
          </w:tcPr>
          <w:p>
            <w:pPr>
              <w:spacing w:after="0"/>
              <w:rPr>
                <w:sz w:val="1"/>
                <w:szCs w:val="1"/>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69,157</w:t>
            </w:r>
          </w:p>
        </w:tc>
        <w:tc>
          <w:tcPr>
            <w:tcW w:w="4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140,723</w:t>
            </w:r>
          </w:p>
        </w:tc>
        <w:tc>
          <w:tcPr>
            <w:tcW w:w="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179,818</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Real estate expense</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37,065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38,172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74,966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73,242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17,389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34,772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32,909</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19,792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42,723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42,637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loan losses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44,031</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6,150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6,900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17"/>
        </w:trPr>
        <w:tc>
          <w:tcPr>
            <w:tcW w:w="6980" w:type="dxa"/>
            <w:vAlign w:val="bottom"/>
          </w:tcPr>
          <w:p>
            <w:pPr>
              <w:ind w:left="280"/>
              <w:spacing w:after="0"/>
              <w:rPr>
                <w:sz w:val="20"/>
                <w:szCs w:val="20"/>
                <w:color w:val="auto"/>
              </w:rPr>
            </w:pPr>
            <w:r>
              <w:rPr>
                <w:rFonts w:ascii="Arial" w:cs="Arial" w:eastAsia="Arial" w:hAnsi="Arial"/>
                <w:sz w:val="16"/>
                <w:szCs w:val="16"/>
                <w:color w:val="auto"/>
              </w:rPr>
              <w:t>Total costs and expenses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149,653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205,766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314,180</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383,897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earnings from equity method investments and other items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(49,324)</w:t>
            </w:r>
          </w:p>
        </w:tc>
        <w:tc>
          <w:tcPr>
            <w:tcW w:w="4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(119,319)</w:t>
            </w:r>
          </w:p>
        </w:tc>
        <w:tc>
          <w:tcPr>
            <w:tcW w:w="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(175,587)</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Gain (loss) on early extinguishment of debt, net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(15,242)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(24,784)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(3,164)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from equity method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53,206</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(56,243)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(84,996)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(114,102)</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(125,545)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Income (loss) from continuing operations(1)</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(56,672)</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(88,473)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(118,606)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(130,293)</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(14,140)</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Gain from discontinued operations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8,279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24,851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27,257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sales of residential property</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34,319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19,999</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(14,398)</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(51,129)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(46,651)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(97,177)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Net income (loss) attributable to iStar Financial Inc.</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(14,087)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(50,407)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(46,151)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(96,481)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dividends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(21,160)</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Net (income) loss allocable to HPU holders and Participating Security holders(2)(3)</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allocable to common shareholders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(26,001)</w:t>
            </w:r>
          </w:p>
        </w:tc>
        <w:tc>
          <w:tcPr>
            <w:tcW w:w="4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(67,264)</w:t>
            </w:r>
          </w:p>
        </w:tc>
        <w:tc>
          <w:tcPr>
            <w:tcW w:w="3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(113,789)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Per common share data(1):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attributable to iStar Financial Inc.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(0.40)</w:t>
            </w:r>
          </w:p>
        </w:tc>
        <w:tc>
          <w:tcPr>
            <w:tcW w:w="4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(0.95)</w:t>
            </w:r>
          </w:p>
        </w:tc>
        <w:tc>
          <w:tcPr>
            <w:tcW w:w="3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4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Net income (loss) attributable to iStar Financial Inc.:</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4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(0.31)</w:t>
            </w:r>
          </w:p>
        </w:tc>
        <w:tc>
          <w:tcPr>
            <w:tcW w:w="4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(0.79)</w:t>
            </w:r>
          </w:p>
        </w:tc>
        <w:tc>
          <w:tcPr>
            <w:tcW w:w="3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 average number of common shares—basic</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85,125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83,834</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Weighted average number of common shares—diluted</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85,125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84,113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84,975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83,834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Per HPU share data(1)(2):</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Income (loss) attributable to iStar Financial Inc. from continuing operations: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(74.87)</w:t>
            </w:r>
          </w:p>
        </w:tc>
        <w:tc>
          <w:tcPr>
            <w:tcW w:w="4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(179.87)</w:t>
            </w:r>
          </w:p>
        </w:tc>
        <w:tc>
          <w:tcPr>
            <w:tcW w:w="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(285.46)</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(74.87)</w:t>
            </w:r>
          </w:p>
        </w:tc>
        <w:tc>
          <w:tcPr>
            <w:tcW w:w="4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(185.13)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(179.87)</w:t>
            </w:r>
          </w:p>
        </w:tc>
        <w:tc>
          <w:tcPr>
            <w:tcW w:w="3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(285.46)</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iStar Financial Inc.:</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(57.74)</w:t>
            </w:r>
          </w:p>
        </w:tc>
        <w:tc>
          <w:tcPr>
            <w:tcW w:w="4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(132.73)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(149.81)</w:t>
            </w:r>
          </w:p>
        </w:tc>
        <w:tc>
          <w:tcPr>
            <w:tcW w:w="3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(256.80)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(57.74)</w:t>
            </w:r>
          </w:p>
        </w:tc>
        <w:tc>
          <w:tcPr>
            <w:tcW w:w="4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(149.81)</w:t>
            </w:r>
          </w:p>
        </w:tc>
        <w:tc>
          <w:tcPr>
            <w:tcW w:w="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(256.80)</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Weighted average number of HPU shares—basic and diluted</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269"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Income (loss) from continuing operations attributable to iStar Financial Inc. for the three months ended June 30, 2013 and 2012 was $(56.4) million and $(87.8) million, respectively, and for the six months ended June 30, 2013, and 2012 was $(118.1) million and $(129.6) million, respectively. See Note 13 for details on the calculation of earnings per share.</w:t>
      </w:r>
    </w:p>
    <w:p>
      <w:pPr>
        <w:spacing w:after="0" w:line="1" w:lineRule="exact"/>
        <w:rPr>
          <w:rFonts w:ascii="Arial" w:cs="Arial" w:eastAsia="Arial" w:hAnsi="Arial"/>
          <w:sz w:val="13"/>
          <w:szCs w:val="13"/>
          <w:color w:val="auto"/>
        </w:rPr>
      </w:pPr>
    </w:p>
    <w:p>
      <w:pPr>
        <w:ind w:left="660" w:hanging="652"/>
        <w:spacing w:after="0"/>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HPU holders are current and former Company employees who purchased high performance common stock units under the Company's High Performance Unit Program (see Note 11).</w:t>
      </w:r>
    </w:p>
    <w:p>
      <w:pPr>
        <w:spacing w:after="0" w:line="12" w:lineRule="exact"/>
        <w:rPr>
          <w:rFonts w:ascii="Arial" w:cs="Arial" w:eastAsia="Arial" w:hAnsi="Arial"/>
          <w:sz w:val="13"/>
          <w:szCs w:val="13"/>
          <w:color w:val="auto"/>
        </w:rPr>
      </w:pPr>
    </w:p>
    <w:p>
      <w:pPr>
        <w:ind w:left="660" w:right="20" w:hanging="652"/>
        <w:spacing w:after="0" w:line="255"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Participating Security holders are Company employees and directors who hold unvested restricted stock units, restricted stock awards and common stock equivalents granted under the Company's Long Term Incentive Plans that are eligible to participate in dividends (see Note 12 and Note 13).</w:t>
      </w:r>
    </w:p>
    <w:p>
      <w:pPr>
        <w:sectPr>
          <w:pgSz w:w="11900" w:h="16838" w:orient="portrait"/>
          <w:cols w:equalWidth="0" w:num="1">
            <w:col w:w="11420"/>
          </w:cols>
          <w:pgMar w:left="240" w:top="118"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9019"/>
          </w:cols>
          <w:pgMar w:left="1440" w:top="125"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For the Three Months Ended June 30,</w:t>
            </w:r>
          </w:p>
        </w:tc>
        <w:tc>
          <w:tcPr>
            <w:tcW w:w="12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(97,177)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Reclassification of (gains)/losses on available-for-sale securities into earnings upon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realization(1)</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w w:val="91"/>
              </w:rPr>
              <w:t>Reclassification of (gains)/losses on cash flow hedges into earnings upon realization(2)</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Reclassification of (gains)/losses on cumulative translation adjustment into earnings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upon realization(1)</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634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Unrealized gains/(losses) on cumulative translation adjustment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(50,697)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(97,556)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iStar Financial Inc.</w:t>
            </w: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(49,975)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(96,860)</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"Earnings from equity method investments" on the Company's Consolidated Statements of Operations.</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"Other expense" on the Company's Consolidated Statements of Operations.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2013</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iStar Financial Inc. Shareholders' Equity</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Series</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HPU's</w:t>
            </w: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0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Par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(Deficit)</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20"/>
                <w:szCs w:val="20"/>
                <w:color w:val="auto"/>
              </w:rPr>
            </w:pPr>
            <w:r>
              <w:rPr>
                <w:rFonts w:ascii="Arial" w:cs="Arial" w:eastAsia="Arial" w:hAnsi="Arial"/>
                <w:sz w:val="18"/>
                <w:szCs w:val="18"/>
                <w:color w:val="auto"/>
              </w:rPr>
              <w:t>Balance at</w:t>
            </w: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w w:val="99"/>
              </w:rPr>
              <w:t>December 31, 2012</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$9,800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w w:val="94"/>
              </w:rPr>
              <w:t>$ 3,832,780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4"/>
              </w:rPr>
              <w:t>$(2,360,647)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 (241,969)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74,210</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w w:val="91"/>
              </w:rPr>
              <w:t>Issuance of Preferred</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Stock</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193,506</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w w:val="92"/>
              </w:rPr>
              <w:t>Dividends declared—</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preferred</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(23,360)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Issuance of</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3"/>
              </w:rPr>
              <w:t>stock/restricted stock</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amortization, net</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Net loss for the</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period(2)</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(46,151)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Change in</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accumulated other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comprehensive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income (loss)</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Additional paid-in</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5"/>
              </w:rPr>
              <w:t>capital attributable to</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redeemable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noncontrolling</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interest(4)</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Contributions from</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noncontrolling</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interests(3)</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9,687</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Distributions to</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noncontrolling</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interests(4)</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(20,404)</w:t>
            </w:r>
          </w:p>
        </w:tc>
        <w:tc>
          <w:tcPr>
            <w:tcW w:w="0" w:type="dxa"/>
            <w:vAlign w:val="bottom"/>
          </w:tcPr>
          <w:p>
            <w:pPr>
              <w:spacing w:after="0"/>
              <w:rPr>
                <w:sz w:val="1"/>
                <w:szCs w:val="1"/>
                <w:color w:val="auto"/>
              </w:rPr>
            </w:pPr>
          </w:p>
        </w:tc>
      </w:tr>
      <w:tr>
        <w:trPr>
          <w:trHeight w:val="27"/>
        </w:trPr>
        <w:tc>
          <w:tcPr>
            <w:tcW w:w="1600" w:type="dxa"/>
            <w:vAlign w:val="bottom"/>
            <w:vMerge w:val="restart"/>
          </w:tcPr>
          <w:p>
            <w:pPr>
              <w:spacing w:after="0"/>
              <w:rPr>
                <w:sz w:val="20"/>
                <w:szCs w:val="20"/>
                <w:color w:val="auto"/>
              </w:rPr>
            </w:pPr>
            <w:r>
              <w:rPr>
                <w:rFonts w:ascii="Arial" w:cs="Arial" w:eastAsia="Arial" w:hAnsi="Arial"/>
                <w:sz w:val="18"/>
                <w:szCs w:val="18"/>
                <w:color w:val="auto"/>
                <w:w w:val="99"/>
              </w:rPr>
              <w:t>Balance at June 30,</w:t>
            </w: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00" w:type="dxa"/>
            <w:vAlign w:val="bottom"/>
            <w:vMerge w:val="continue"/>
          </w:tcPr>
          <w:p>
            <w:pPr>
              <w:spacing w:after="0"/>
              <w:rPr>
                <w:sz w:val="18"/>
                <w:szCs w:val="18"/>
                <w:color w:val="auto"/>
              </w:rPr>
            </w:pP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color w:val="auto"/>
                <w:w w:val="94"/>
              </w:rPr>
              <w:t>$9,800</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w w:val="94"/>
              </w:rPr>
              <w:t>$ 4,019,423</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4"/>
              </w:rPr>
              <w:t>$(2,430,158)</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89"/>
              </w:rPr>
              <w:t>$ (241,969)</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color w:val="auto"/>
              </w:rPr>
              <w:t>64,420</w:t>
            </w: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0"/>
                <w:szCs w:val="20"/>
                <w:color w:val="auto"/>
              </w:rPr>
            </w:pPr>
            <w:r>
              <w:rPr>
                <w:rFonts w:ascii="Arial" w:cs="Arial" w:eastAsia="Arial" w:hAnsi="Arial"/>
                <w:sz w:val="18"/>
                <w:szCs w:val="18"/>
                <w:color w:val="auto"/>
              </w:rPr>
              <w:t>2013</w:t>
            </w:r>
          </w:p>
        </w:tc>
        <w:tc>
          <w:tcPr>
            <w:tcW w:w="2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-4621530</wp:posOffset>
            </wp:positionV>
            <wp:extent cx="7246620" cy="4605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60502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11 for details on the Company's Cumulative Redeemable Preferred Stock.</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six months ended June 30, 2013 net loss shown above excludes $1.4 million of net loss attributable to redeemable noncontrolling interests.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$9.4 million of operating property assets contributed by a noncontrolling partner (see Note 4).</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$8.8 million payment to redeem a noncontrolling member's interest.</w:t>
      </w:r>
    </w:p>
    <w:p>
      <w:pPr>
        <w:spacing w:after="0" w:line="16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Total</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Equity</w:t>
      </w:r>
    </w:p>
    <w:p>
      <w:pPr>
        <w:spacing w:after="0" w:line="250" w:lineRule="exact"/>
        <w:rPr>
          <w:sz w:val="20"/>
          <w:szCs w:val="20"/>
          <w:color w:val="auto"/>
        </w:rPr>
      </w:pPr>
    </w:p>
    <w:p>
      <w:pPr>
        <w:ind w:left="180" w:hanging="179"/>
        <w:spacing w:after="0"/>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1,313,154</w:t>
      </w:r>
    </w:p>
    <w:p>
      <w:pPr>
        <w:spacing w:after="0" w:line="290"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8"/>
          <w:szCs w:val="18"/>
          <w:color w:val="auto"/>
        </w:rPr>
        <w:t>193,510</w:t>
      </w:r>
    </w:p>
    <w:p>
      <w:pPr>
        <w:spacing w:after="0" w:line="279"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6"/>
          <w:szCs w:val="16"/>
          <w:color w:val="auto"/>
        </w:rPr>
        <w:t>(23,360)</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(5,118)</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(45,224)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(1,744)</w:t>
      </w: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9,687</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(20,404)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$ 1,419,320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48895</wp:posOffset>
            </wp:positionV>
            <wp:extent cx="660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ectPr>
          <w:pgSz w:w="11900" w:h="16838" w:orient="portrait"/>
          <w:cols w:equalWidth="0" w:num="2">
            <w:col w:w="10280" w:space="140"/>
            <w:col w:w="960"/>
          </w:cols>
          <w:pgMar w:left="240" w:top="118" w:right="279" w:bottom="1440" w:gutter="0" w:footer="0" w:header="0"/>
          <w:type w:val="continuous"/>
        </w:sectPr>
      </w:pPr>
    </w:p>
    <w:bookmarkStart w:id="7" w:name="page8"/>
    <w:bookmarkEnd w:id="7"/>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For the Six Months</w:t>
      </w:r>
    </w:p>
    <w:p>
      <w:pPr>
        <w:spacing w:after="0" w:line="4"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13335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23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(46,651)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(97,177)</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Provision for loan losses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15,226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44,031</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25,303</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34,750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34,418</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withholding taxes upon vesting of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(11,657)</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Non-cash expense for stock-based compensation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8,113</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discounts/premiums and deferred financing costs on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17,679</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Amortization of discounts/premiums and deferred interest on loans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(29,442)</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from equity method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(53,206)</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Distributions from operations of equity method investments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10,211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56,769</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operating lease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(5,466)</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Income from sales of residential property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(19,999)</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(27,257)</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(Gain) loss on early extinguishment of debt,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13,270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3,164</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and repurchases of debt - debt discount and prepayment penalty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(17,326)</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Other operating activities,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4,109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3,879</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60" w:type="dxa"/>
            <w:vAlign w:val="bottom"/>
          </w:tcPr>
          <w:p>
            <w:pPr>
              <w:ind w:left="280"/>
              <w:spacing w:after="0"/>
              <w:rPr>
                <w:sz w:val="20"/>
                <w:szCs w:val="20"/>
                <w:color w:val="auto"/>
              </w:rPr>
            </w:pPr>
            <w:r>
              <w:rPr>
                <w:rFonts w:ascii="Arial" w:cs="Arial" w:eastAsia="Arial" w:hAnsi="Arial"/>
                <w:sz w:val="16"/>
                <w:szCs w:val="16"/>
                <w:color w:val="auto"/>
              </w:rPr>
              <w:t>Changes in accrued interest and operating lease income receivable,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5,763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3,278</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deferred expenses and other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(5,882)</w:t>
            </w:r>
          </w:p>
        </w:tc>
      </w:tr>
      <w:tr>
        <w:trPr>
          <w:trHeight w:val="237"/>
        </w:trPr>
        <w:tc>
          <w:tcPr>
            <w:tcW w:w="8560" w:type="dxa"/>
            <w:vAlign w:val="bottom"/>
          </w:tcPr>
          <w:p>
            <w:pPr>
              <w:ind w:left="280"/>
              <w:spacing w:after="0"/>
              <w:rPr>
                <w:sz w:val="20"/>
                <w:szCs w:val="20"/>
                <w:color w:val="auto"/>
              </w:rPr>
            </w:pPr>
            <w:r>
              <w:rPr>
                <w:rFonts w:ascii="Arial" w:cs="Arial" w:eastAsia="Arial" w:hAnsi="Arial"/>
                <w:sz w:val="16"/>
                <w:szCs w:val="16"/>
                <w:color w:val="auto"/>
              </w:rPr>
              <w:t>Changes in accounts payable, accrued expenses and other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3,723</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(67,055)</w:t>
            </w:r>
          </w:p>
        </w:tc>
      </w:tr>
      <w:tr>
        <w:trPr>
          <w:trHeight w:val="217"/>
        </w:trPr>
        <w:tc>
          <w:tcPr>
            <w:tcW w:w="85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originations and fundings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(23,877)</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Capital expenditures on real estate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(47,660)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(32,714)</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to unconsolidated entities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(6,145)</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Repayments of and principal collections on loans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298,633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332,045</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proceeds from sales of loans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56,998</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Net proceeds from sales of real estate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260,937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311,102</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proceeds from sale of unconsolidated entity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Distributions from unconsolidated entities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20,437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41,586</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restricted cash held in connection with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(462,605)</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Other investing activities,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708,708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216,006</w:t>
            </w:r>
          </w:p>
        </w:tc>
      </w:tr>
      <w:tr>
        <w:trPr>
          <w:trHeight w:val="217"/>
        </w:trPr>
        <w:tc>
          <w:tcPr>
            <w:tcW w:w="85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Borrowings under secured credit facilities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657,847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850,465</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Repayments under secured credit facilities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(971,531)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(392,124)</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under unsecured credit facilities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(244,046)</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Borrowings under secured term loans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9,412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under secured term loans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(54,767)</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Borrowings under unsecured notes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565,000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264,029</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under unsecured notes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(259,584)</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Repurchases and redemptions of unsecured notes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(447,664)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(396,356)</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(21,160)</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193,510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Other financing activities,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(5,143)</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(261,934)</w:t>
            </w:r>
          </w:p>
        </w:tc>
      </w:tr>
      <w:tr>
        <w:trPr>
          <w:trHeight w:val="217"/>
        </w:trPr>
        <w:tc>
          <w:tcPr>
            <w:tcW w:w="8560" w:type="dxa"/>
            <w:vAlign w:val="bottom"/>
          </w:tcPr>
          <w:p>
            <w:pPr>
              <w:ind w:left="180"/>
              <w:spacing w:after="0"/>
              <w:rPr>
                <w:sz w:val="20"/>
                <w:szCs w:val="20"/>
                <w:color w:val="auto"/>
              </w:rPr>
            </w:pPr>
            <w:r>
              <w:rPr>
                <w:rFonts w:ascii="Arial" w:cs="Arial" w:eastAsia="Arial" w:hAnsi="Arial"/>
                <w:sz w:val="16"/>
                <w:szCs w:val="16"/>
                <w:color w:val="auto"/>
              </w:rPr>
              <w:t>Changes in cash and cash equivalents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459,562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(112,983)</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256,344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356,826</w:t>
            </w:r>
          </w:p>
        </w:tc>
      </w:tr>
      <w:tr>
        <w:trPr>
          <w:trHeight w:val="244"/>
        </w:trPr>
        <w:tc>
          <w:tcPr>
            <w:tcW w:w="8560" w:type="dxa"/>
            <w:vAlign w:val="bottom"/>
          </w:tcPr>
          <w:p>
            <w:pPr>
              <w:ind w:left="18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715,906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243,843</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97" w:orient="portrait"/>
          <w:cols w:equalWidth="0" w:num="1">
            <w:col w:w="11400"/>
          </w:cols>
          <w:pgMar w:left="240" w:top="118" w:right="259" w:bottom="0" w:gutter="0" w:footer="0" w:header="0"/>
        </w:sectPr>
      </w:pPr>
    </w:p>
    <w:bookmarkStart w:id="8" w:name="page9"/>
    <w:bookmarkEnd w:id="8"/>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9019"/>
          </w:cols>
          <w:pgMar w:left="1440" w:top="220"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220"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18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Financial Inc., or the "Company," is a fully-integrated finance and investment company focused on the commercial real estate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lease, operating properties and land.</w:t>
      </w:r>
    </w:p>
    <w:p>
      <w:pPr>
        <w:spacing w:after="0" w:line="12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—The Company began its business in 1993 through private investment funds and became publicly traded in 1998. Since that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grown through the origination of new lending and leasing transactions, as well as through corporate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8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Consolidated Financial Statements have been prepared in conformity with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2012.</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2013 presentation.</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interim period ended June 30, 2012, the Company changed the classification within its cash flow statement for certain transactions involving the repurchase of its debt that was initially issued at a discount, as well as certain payments involving the potential acquisition of real estate. The Company believes the new classification is a more meaningful reflection of these transactions (collectively the “Reclassification”) and changed the Company's cash flows from the initially reported amounts as follows:</w:t>
      </w:r>
    </w:p>
    <w:p>
      <w:pPr>
        <w:spacing w:after="0" w:line="300"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Previously Reported</w:t>
            </w:r>
          </w:p>
        </w:tc>
        <w:tc>
          <w:tcPr>
            <w:tcW w:w="320" w:type="dxa"/>
            <w:vAlign w:val="bottom"/>
          </w:tcPr>
          <w:p>
            <w:pPr>
              <w:spacing w:after="0"/>
              <w:rPr>
                <w:sz w:val="16"/>
                <w:szCs w:val="16"/>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1320" w:type="dxa"/>
            <w:vAlign w:val="bottom"/>
          </w:tcPr>
          <w:p>
            <w:pPr>
              <w:jc w:val="right"/>
              <w:ind w:right="216"/>
              <w:spacing w:after="0"/>
              <w:rPr>
                <w:sz w:val="20"/>
                <w:szCs w:val="20"/>
                <w:color w:val="auto"/>
              </w:rPr>
            </w:pPr>
            <w:r>
              <w:rPr>
                <w:rFonts w:ascii="Arial" w:cs="Arial" w:eastAsia="Arial" w:hAnsi="Arial"/>
                <w:sz w:val="14"/>
                <w:szCs w:val="14"/>
                <w:b w:val="1"/>
                <w:bCs w:val="1"/>
                <w:color w:val="auto"/>
                <w:w w:val="96"/>
              </w:rPr>
              <w:t>As Reclassified</w:t>
            </w:r>
          </w:p>
        </w:tc>
        <w:tc>
          <w:tcPr>
            <w:tcW w:w="0" w:type="dxa"/>
            <w:vAlign w:val="bottom"/>
          </w:tcPr>
          <w:p>
            <w:pPr>
              <w:spacing w:after="0"/>
              <w:rPr>
                <w:sz w:val="1"/>
                <w:szCs w:val="1"/>
                <w:color w:val="auto"/>
              </w:rPr>
            </w:pPr>
          </w:p>
        </w:tc>
      </w:tr>
      <w:tr>
        <w:trPr>
          <w:trHeight w:val="182"/>
        </w:trPr>
        <w:tc>
          <w:tcPr>
            <w:tcW w:w="470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operations: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jc w:val="center"/>
              <w:ind w:right="1950"/>
              <w:spacing w:after="0"/>
              <w:rPr>
                <w:sz w:val="20"/>
                <w:szCs w:val="20"/>
                <w:color w:val="auto"/>
              </w:rPr>
            </w:pPr>
            <w:r>
              <w:rPr>
                <w:rFonts w:ascii="Arial" w:cs="Arial" w:eastAsia="Arial" w:hAnsi="Arial"/>
                <w:sz w:val="18"/>
                <w:szCs w:val="18"/>
                <w:color w:val="auto"/>
                <w:w w:val="89"/>
              </w:rPr>
              <w:t>Six months Ended June 30, 2012</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(57,196)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(67,055)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jc w:val="center"/>
              <w:ind w:right="1930"/>
              <w:spacing w:after="0"/>
              <w:rPr>
                <w:sz w:val="20"/>
                <w:szCs w:val="20"/>
                <w:color w:val="auto"/>
              </w:rPr>
            </w:pPr>
            <w:r>
              <w:rPr>
                <w:rFonts w:ascii="Arial" w:cs="Arial" w:eastAsia="Arial" w:hAnsi="Arial"/>
                <w:sz w:val="18"/>
                <w:szCs w:val="18"/>
                <w:color w:val="auto"/>
                <w:w w:val="92"/>
              </w:rPr>
              <w:t>Cash flows from investing activities:</w:t>
            </w: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jc w:val="center"/>
              <w:ind w:right="1950"/>
              <w:spacing w:after="0"/>
              <w:rPr>
                <w:sz w:val="20"/>
                <w:szCs w:val="20"/>
                <w:color w:val="auto"/>
              </w:rPr>
            </w:pPr>
            <w:r>
              <w:rPr>
                <w:rFonts w:ascii="Arial" w:cs="Arial" w:eastAsia="Arial" w:hAnsi="Arial"/>
                <w:sz w:val="18"/>
                <w:szCs w:val="18"/>
                <w:color w:val="auto"/>
                <w:w w:val="89"/>
              </w:rPr>
              <w:t>Six months Ended June 30, 2012</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206,147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9,859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216,006</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above changes to the amounts for the six months ended June 30, 2012 were classified in connection with the Company's filing on Form 10-Q for the six months ended June 30, 2013.</w:t>
      </w:r>
    </w:p>
    <w:p>
      <w:pPr>
        <w:spacing w:after="0" w:line="12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—As of June 30, 2013, the Company consolidated five VIEs for which the Company is considered the primary beneficiary.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and liabilities of the consolidated VIEs are included in the Company's Consolidated Balance Sheets. The Company's total unfunded commitments related to consolidated VIEs is $49.2 million as of June 30, 2013.</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Unconsolidated VIEs</w:t>
      </w:r>
      <w:r>
        <w:rPr>
          <w:rFonts w:ascii="Arial" w:cs="Arial" w:eastAsia="Arial" w:hAnsi="Arial"/>
          <w:sz w:val="18"/>
          <w:szCs w:val="18"/>
          <w:color w:val="auto"/>
        </w:rPr>
        <w:t>—As of June 30, 2013, 28 of the Company's other investments were in VIEs where it is not the primary beneficiary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accordingly the VIEs have not been consolidated in the Company's Consolidated Financial Statements. As of June 30, 2013, the Company's maximum exposure to loss from these investments does not exceed the sum of the $161.0 million carrying value of the investments and $8.1 million of related unfunded commitments.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2013, the Company's significant accounting policies, which are detailed in the Company's Annual Report on Form 10-K for the year ended December 31, 2012, have not changed materially.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February 2013, the FASB issued ASU 2013-02, “Reporting of Amounts Reclassified Out of Accumulated Other Comprehensive Income”. This guidance is the culmination of the board's redeliberation on reporting reclassification adjustments from accumulated other comprehensive income. The standard requires that companies present information about reclassification adjustments from accumulated other comprehensive income in their interim and annual financial statements in a single note or on the face of the financial statements. This ASU is effective for interim and annual reporting periods beginning after December 15, 2012. The Company adopted this ASU beginning with the reporting period ended March 31, 2013. The adoption did not have a material impact on the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Net Lease</w:t>
            </w: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32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Land</w:t>
            </w:r>
          </w:p>
        </w:tc>
        <w:tc>
          <w:tcPr>
            <w:tcW w:w="320" w:type="dxa"/>
            <w:vAlign w:val="bottom"/>
          </w:tcPr>
          <w:p>
            <w:pPr>
              <w:spacing w:after="0"/>
              <w:rPr>
                <w:sz w:val="17"/>
                <w:szCs w:val="17"/>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2013</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336,562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132,028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769,298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1,237,888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1,292,675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1,934,464</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(326,375)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(421,675)</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1,302,862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766,478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2,750,677</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335,571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179,827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524,092</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1,311,556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1,016,908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946,305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3,274,769</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2012</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1,262,381</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1,295,081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669,186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1,964,267</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(427,625)</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1,323,621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691,580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783,822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2,799,023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454,587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635,865</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1,323,621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1,146,167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965,100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3,434,888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Real estate available and held for sale—</w:t>
      </w:r>
      <w:r>
        <w:rPr>
          <w:rFonts w:ascii="Arial" w:cs="Arial" w:eastAsia="Arial" w:hAnsi="Arial"/>
          <w:sz w:val="18"/>
          <w:szCs w:val="18"/>
          <w:color w:val="auto"/>
        </w:rPr>
        <w:t>As of June 30, 2013 and December 31, 2012, the Company had $298.8 million and $374.1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of residential properties available for sale in its operating properties portfolio. The Company is actively marketing and selling condominium units in these projects.</w:t>
      </w:r>
    </w:p>
    <w:p>
      <w:pPr>
        <w:spacing w:after="0" w:line="136"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During the six months ended June 30, 2013, the Company acquired, via foreclosure, title to a property previously serving as collateral on</w:t>
      </w:r>
      <w:r>
        <w:rPr>
          <w:rFonts w:ascii="Arial" w:cs="Arial" w:eastAsia="Arial" w:hAnsi="Arial"/>
          <w:sz w:val="18"/>
          <w:szCs w:val="18"/>
          <w:b w:val="1"/>
          <w:bCs w:val="1"/>
          <w:color w:val="auto"/>
        </w:rPr>
        <w:t xml:space="preserve"> </w:t>
      </w:r>
      <w:r>
        <w:rPr>
          <w:rFonts w:ascii="Arial" w:cs="Arial" w:eastAsia="Arial" w:hAnsi="Arial"/>
          <w:sz w:val="18"/>
          <w:szCs w:val="18"/>
          <w:color w:val="auto"/>
        </w:rPr>
        <w:t>a loan receivable. The Company contributed the property to a newly-formed entity, of which it owns 63%. Based on the control provisions in the partnership agreement, the Company consolidates the entity and reflects its partner's share of the equity in "Noncontrolling interests" on the Company's Consolidated Balance Sheets. The acquisition was accounted for at fair value whereby the assets acquired were valued at $25.5 million, which reflects adjustments made to finalize</w:t>
      </w:r>
    </w:p>
    <w:p>
      <w:pPr>
        <w:sectPr>
          <w:pgSz w:w="11900" w:h="16838" w:orient="portrait"/>
          <w:cols w:equalWidth="0" w:num="1">
            <w:col w:w="11420"/>
          </w:cols>
          <w:pgMar w:left="240" w:top="122"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initial accounting of the purchase price allocation of the assets and noncontrolling interest. No gain or loss was recorded in conjunction with this transaction.</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six months ended June 30, 2012, the Company acquired title to properties previously serving as collateral on its loan receivables with a total fair value of $185.8 million at the time of foreclosure. These properties included $172.4 million of residential operating properties and $13.4 million of commercial operating properties.</w:t>
      </w:r>
    </w:p>
    <w:p>
      <w:pPr>
        <w:spacing w:after="0" w:line="13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three months ended June 30, 2013 and 2012, the Company sold 103 and 168 condominium units, respectively, and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from sales of residential properties totaling $30.9 million and $13.3 million, respectively. During the six months ended June 30, 2013 and 2012, the Company sold 199 and 262 condominium units, respectively, and recorded income from sales of residential properties totaling $54.6 million and $20.0 million, respectively.</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six months ended June 30, 2013, the Company sold land for net proceeds of $21.4 million to a newly-formed unconsolidated entity in which the Company also received a preferred partnership interest and a 47.5% equity interest. The Company recognized a gain of $3.4 million, reflecting the proportionate share of our sold interest, which is recorded as "Income from sales of residential property" in the Company's Consolidated Statements of Operations.</w:t>
      </w:r>
    </w:p>
    <w:p>
      <w:pPr>
        <w:spacing w:after="0" w:line="1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Additionally, during the six months ended June 30, 2013, the Company sold three net lease assets with a carrying value of $13.5 million resulting in a net gain of $3.4 million. During the same period the Company sold three commercial operating properties with a carrying value of $43.2 million resulting in a net gain of $9.9 million. These gains were recorded as "Gain from discontinued operations" in the Company's Consolidated Statement of Operations. The Company also sold other land assets with a carrying value of $5.5 million for proceeds that approximated carrying value.</w:t>
      </w:r>
    </w:p>
    <w:p>
      <w:pPr>
        <w:spacing w:after="0" w:line="13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On April 30, 2012, the Company sold a portfolio of 12 net lease assets with a carrying value of $105.7 million and recorded a gain of $24.9 million resulting from the transaction, which is recorded in "Gain from discontinued operations" in the Company's Consolidated Statement of Operations.</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Additionally, during the six months ended June 30, 2012, the Company sold two net lease assets with a carrying value of $9.8 million, resulting in a net gain of $2.4 million, which is recorded in "Gain from discontinued operations" in the Company's Consolidated Statement of Operations. During 2012, the Company also sold five commercial operating properties with a carrying value of $10.3 million, resulting in a net loss of $1.4 million, and land assets with a carrying value of $2.7 million for proceeds that approximated carrying value.</w:t>
      </w:r>
    </w:p>
    <w:p>
      <w:pPr>
        <w:spacing w:after="0" w:line="142"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b w:val="1"/>
          <w:bCs w:val="1"/>
          <w:color w:val="auto"/>
        </w:rPr>
        <w:t>Discontinued Operations—</w:t>
      </w:r>
      <w:r>
        <w:rPr>
          <w:rFonts w:ascii="Arial" w:cs="Arial" w:eastAsia="Arial" w:hAnsi="Arial"/>
          <w:sz w:val="18"/>
          <w:szCs w:val="18"/>
          <w:color w:val="auto"/>
        </w:rPr>
        <w:t>The following table summarizes income (loss) from discontinued operations for the three and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2013 and 2012 ($ in thousands):</w:t>
      </w:r>
    </w:p>
    <w:p>
      <w:pPr>
        <w:spacing w:after="0" w:line="26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620" w:type="dxa"/>
            <w:vAlign w:val="bottom"/>
            <w:gridSpan w:val="6"/>
          </w:tcPr>
          <w:p>
            <w:pPr>
              <w:ind w:left="56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4"/>
                <w:szCs w:val="14"/>
                <w:color w:val="auto"/>
              </w:rPr>
            </w:pPr>
          </w:p>
        </w:tc>
        <w:tc>
          <w:tcPr>
            <w:tcW w:w="224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For the Six Months</w:t>
            </w:r>
          </w:p>
        </w:tc>
      </w:tr>
      <w:tr>
        <w:trPr>
          <w:trHeight w:val="192"/>
        </w:trPr>
        <w:tc>
          <w:tcPr>
            <w:tcW w:w="3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Ended 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39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7,939</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(769)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(5,459)</w:t>
            </w:r>
          </w:p>
        </w:tc>
      </w:tr>
      <w:tr>
        <w:trPr>
          <w:trHeight w:val="27"/>
        </w:trPr>
        <w:tc>
          <w:tcPr>
            <w:tcW w:w="3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(16,620)</w:t>
            </w:r>
          </w:p>
        </w:tc>
      </w:tr>
      <w:tr>
        <w:trPr>
          <w:trHeight w:val="257"/>
        </w:trPr>
        <w:tc>
          <w:tcPr>
            <w:tcW w:w="398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7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(14,140)</w:t>
            </w:r>
          </w:p>
        </w:tc>
      </w:tr>
      <w:tr>
        <w:trPr>
          <w:trHeight w:val="20"/>
        </w:trPr>
        <w:tc>
          <w:tcPr>
            <w:tcW w:w="3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color w:val="auto"/>
        </w:rPr>
        <w:t>Impairments—</w:t>
      </w:r>
      <w:r>
        <w:rPr>
          <w:rFonts w:ascii="Arial" w:cs="Arial" w:eastAsia="Arial" w:hAnsi="Arial"/>
          <w:sz w:val="16"/>
          <w:szCs w:val="16"/>
          <w:color w:val="auto"/>
        </w:rPr>
        <w:t>During the three months ended June 30, 2013, the Company recorded $0.4 million of impairments on real estate assets, which is</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in "Income (loss) from discontinued operations" on the Company's Consolidated Statements of Operations. During the three and six months ended June 30, 2012, the Company recorded impairments on real estate assets totaling $7.5 million and $23.5 million, respectively. Of these amounts, $1.3 million and $16.6 million, respectively, have been reclassified to discontinued operations as the assets were sold or classified as held for sale as of June 30, 2013.</w:t>
      </w:r>
    </w:p>
    <w:p>
      <w:pPr>
        <w:spacing w:after="0" w:line="11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Intangible assets—</w:t>
      </w:r>
      <w:r>
        <w:rPr>
          <w:rFonts w:ascii="Arial" w:cs="Arial" w:eastAsia="Arial" w:hAnsi="Arial"/>
          <w:sz w:val="18"/>
          <w:szCs w:val="18"/>
          <w:color w:val="auto"/>
        </w:rPr>
        <w:t>As of June 30, 2013 and December 31, 2012 the Company had $53.9 million and $59.9 million, respectively, of finite lived</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net of accumulated amortization of $27.0 million and $49.3 million, respectively, primarily related to the acquisition of real estate assets. The total amortization expense for these intangible assets was $3.0 million and $6.0 million for the three and six months ended June 30, 2013, respectively, and $2.8 million and $6.0 million for the three and six months ended June 30, 2012,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Tenant Reimbursements—</w:t>
      </w:r>
      <w:r>
        <w:rPr>
          <w:rFonts w:ascii="Arial" w:cs="Arial" w:eastAsia="Arial" w:hAnsi="Arial"/>
          <w:sz w:val="18"/>
          <w:szCs w:val="18"/>
          <w:color w:val="auto"/>
        </w:rPr>
        <w:t>The Company receives reimbursements from tenants for certain facility operating expenses including common area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utilities and real estate taxes. Tenant expense reimbursements were $7.9 million and $15.7 million for the three and six months ended June 30, 2013, respectively, and $7.2 million and $15.0 million for the three and six months ended June 30, 2012, respectively. These amounts are included in “Operating lease income” on the Company's Consolidated Statements of Operations.</w:t>
      </w:r>
    </w:p>
    <w:p>
      <w:pPr>
        <w:spacing w:after="0" w:line="140"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June 30, 2013 and December 31, 2012, the total allowance for doubtful accounts related to real estate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including deferred operating lease income receivable, was $6.0 million and $5.6 million,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Receivable and Other Lending Investments, net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32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Type of Investment</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mortgages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1,397,524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1,751,256</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Subordinate mortgages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114,218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152,737</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Corporate/Partnership loans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415,998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450,491</w:t>
            </w:r>
          </w:p>
        </w:tc>
      </w:tr>
      <w:tr>
        <w:trPr>
          <w:trHeight w:val="237"/>
        </w:trPr>
        <w:tc>
          <w:tcPr>
            <w:tcW w:w="8320" w:type="dxa"/>
            <w:vAlign w:val="bottom"/>
          </w:tcPr>
          <w:p>
            <w:pPr>
              <w:ind w:left="160"/>
              <w:spacing w:after="0"/>
              <w:rPr>
                <w:sz w:val="20"/>
                <w:szCs w:val="20"/>
                <w:color w:val="auto"/>
              </w:rPr>
            </w:pPr>
            <w:r>
              <w:rPr>
                <w:rFonts w:ascii="Arial" w:cs="Arial" w:eastAsia="Arial" w:hAnsi="Arial"/>
                <w:sz w:val="18"/>
                <w:szCs w:val="18"/>
                <w:color w:val="auto"/>
              </w:rPr>
              <w:t>Total gross carrying value of loans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1,927,740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2,354,484</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Reserves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(479,826)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(524,499)</w:t>
            </w:r>
          </w:p>
        </w:tc>
      </w:tr>
      <w:tr>
        <w:trPr>
          <w:trHeight w:val="237"/>
        </w:trPr>
        <w:tc>
          <w:tcPr>
            <w:tcW w:w="8320" w:type="dxa"/>
            <w:vAlign w:val="bottom"/>
          </w:tcPr>
          <w:p>
            <w:pPr>
              <w:ind w:left="160"/>
              <w:spacing w:after="0"/>
              <w:rPr>
                <w:sz w:val="20"/>
                <w:szCs w:val="20"/>
                <w:color w:val="auto"/>
              </w:rPr>
            </w:pPr>
            <w:r>
              <w:rPr>
                <w:rFonts w:ascii="Arial" w:cs="Arial" w:eastAsia="Arial" w:hAnsi="Arial"/>
                <w:sz w:val="18"/>
                <w:szCs w:val="18"/>
                <w:color w:val="auto"/>
              </w:rPr>
              <w:t>Total loans receivable,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1,447,914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1,829,985</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lending investments—securities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8320" w:type="dxa"/>
            <w:vAlign w:val="bottom"/>
          </w:tcPr>
          <w:p>
            <w:pPr>
              <w:ind w:left="160"/>
              <w:spacing w:after="0"/>
              <w:rPr>
                <w:sz w:val="20"/>
                <w:szCs w:val="20"/>
                <w:color w:val="auto"/>
              </w:rPr>
            </w:pPr>
            <w:r>
              <w:rPr>
                <w:rFonts w:ascii="Arial" w:cs="Arial" w:eastAsia="Arial" w:hAnsi="Arial"/>
                <w:sz w:val="18"/>
                <w:szCs w:val="18"/>
                <w:color w:val="auto"/>
              </w:rPr>
              <w:t>Total loans receivable and other lending investments, net(1)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1,513,636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1,829,985</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273"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recorded investment in loans as of June 30, 2013 and December 31, 2012 includes accrued interest of $7.0 million and $9.8 million, respectively, which are included in "Accrued interest and operating lease income receivable, net" in the Company's Consolidated Balance Sheets.</w:t>
      </w:r>
    </w:p>
    <w:p>
      <w:pPr>
        <w:spacing w:after="0" w:line="13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six months ended June 30, 2013, the Company originated and funded $89.3 million of loans and other lending investments and received principal repayments of $298.6 million. During the same period, the Company sold loans with a total carrying value of $80.3 million, which resulted in net realized losses of $0.6 million. Gains and losses on sales of loans are reported in "Other income" on the Company's Consolidated Statements of Operations.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3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30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For the Six Months</w:t>
            </w:r>
          </w:p>
        </w:tc>
      </w:tr>
      <w:tr>
        <w:trPr>
          <w:trHeight w:val="192"/>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521,795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567,179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524,499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646,624</w:t>
            </w: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Provision for loan losses(1)</w:t>
            </w:r>
          </w:p>
        </w:tc>
        <w:tc>
          <w:tcPr>
            <w:tcW w:w="2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26,531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15,226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44,031</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(59,899)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(126,869)</w:t>
            </w:r>
          </w:p>
        </w:tc>
      </w:tr>
      <w:tr>
        <w:trPr>
          <w:trHeight w:val="25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Reserve for loan losses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479,826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563,786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479,826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563,786</w:t>
            </w: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right="20" w:hanging="652"/>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the provision for loan losses for the three and six months ended June 30, 2013 was a $6.0 million recovery related to the resolution of a non-performing loan that was previously fully reserved.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Individually</w:t>
            </w: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Loans Acquired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with Deteriorated</w:t>
            </w:r>
          </w:p>
        </w:tc>
        <w:tc>
          <w:tcPr>
            <w:tcW w:w="380" w:type="dxa"/>
            <w:vAlign w:val="bottom"/>
          </w:tcPr>
          <w:p>
            <w:pPr>
              <w:spacing w:after="0"/>
              <w:rPr>
                <w:sz w:val="12"/>
                <w:szCs w:val="12"/>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Impairment(1)</w:t>
            </w: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Impairment(2)</w:t>
            </w: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Credit Quality(3)</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2013</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994,445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930,202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9,930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1,934,577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(447,526)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(479,826)</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546,919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897,902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9,930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1,454,751</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1,095,957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1,210,077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58,281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2,364,315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(524,499)</w:t>
            </w:r>
          </w:p>
        </w:tc>
        <w:tc>
          <w:tcPr>
            <w:tcW w:w="0" w:type="dxa"/>
            <w:vAlign w:val="bottom"/>
          </w:tcPr>
          <w:p>
            <w:pPr>
              <w:spacing w:after="0"/>
              <w:rPr>
                <w:sz w:val="1"/>
                <w:szCs w:val="1"/>
                <w:color w:val="auto"/>
              </w:rPr>
            </w:pPr>
          </w:p>
        </w:tc>
      </w:tr>
      <w:tr>
        <w:trPr>
          <w:trHeight w:val="257"/>
        </w:trPr>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623,899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1,176,977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38,940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1,839,816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4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$2.4 million and $4.0 million as of June 30, 2013 and December 31, 2012,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$5.4 million and $3.8 million as of June 30, 2013 and December 31, 2012, respectively.</w:t>
      </w:r>
    </w:p>
    <w:p>
      <w:pPr>
        <w:ind w:left="660" w:hanging="652"/>
        <w:spacing w:after="0" w:line="293"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carrying value of these loans include unamortized discounts, premiums, deferred fees and costs aggregating to a net premium of $0.4 million and $0.1 million as of June 30, 2013 and December 31, 2012, respectively. These loans had cumulative principal balances of $10.3 million and $58.8 million, as of June 30, 2013 and December 31, 2012, respectively.</w:t>
      </w:r>
    </w:p>
    <w:p>
      <w:pPr>
        <w:spacing w:after="0" w:line="123"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Characteristics</w:t>
      </w:r>
      <w:r>
        <w:rPr>
          <w:rFonts w:ascii="Arial" w:cs="Arial" w:eastAsia="Arial" w:hAnsi="Arial"/>
          <w:sz w:val="18"/>
          <w:szCs w:val="18"/>
          <w:color w:val="auto"/>
        </w:rPr>
        <w:t>—As part of the Company's process for monitoring the credit quality of its loans, it performs a quarterly loan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 and assigns risk ratings to each of its performing loans. The Company's recorded investment in performing loans, presented by class and by credit quality, as indicated by risk rating, was as follows ($ in thousands):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rPr>
              <w:t>June 30, 2013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3"/>
                <w:szCs w:val="13"/>
                <w:color w:val="auto"/>
              </w:rPr>
            </w:pPr>
          </w:p>
        </w:tc>
        <w:tc>
          <w:tcPr>
            <w:tcW w:w="12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668,326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840,593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Subordinate mortgages</w:t>
            </w:r>
          </w:p>
        </w:tc>
        <w:tc>
          <w:tcPr>
            <w:tcW w:w="26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60,750</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99,698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Corporate/Partnership loans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409,083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444,772</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57"/>
        </w:trPr>
        <w:tc>
          <w:tcPr>
            <w:tcW w:w="5140" w:type="dxa"/>
            <w:vAlign w:val="bottom"/>
          </w:tcPr>
          <w:p>
            <w:pPr>
              <w:ind w:left="1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1,138,159</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1,385,063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2013, the Company's recorded investment in loans, aged by payment status and presented by class, were as follows ($ in thousands):</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w w:val="98"/>
              </w:rPr>
              <w:t>Less Than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Greater</w:t>
            </w:r>
          </w:p>
        </w:tc>
        <w:tc>
          <w:tcPr>
            <w:tcW w:w="280" w:type="dxa"/>
            <w:vAlign w:val="bottom"/>
          </w:tcPr>
          <w:p>
            <w:pPr>
              <w:spacing w:after="0"/>
              <w:rPr>
                <w:sz w:val="14"/>
                <w:szCs w:val="14"/>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Current</w:t>
            </w:r>
          </w:p>
        </w:tc>
        <w:tc>
          <w:tcPr>
            <w:tcW w:w="120" w:type="dxa"/>
            <w:vAlign w:val="bottom"/>
            <w:vMerge w:val="restart"/>
          </w:tcPr>
          <w:p>
            <w:pPr>
              <w:spacing w:after="0"/>
              <w:rPr>
                <w:sz w:val="12"/>
                <w:szCs w:val="12"/>
                <w:color w:val="auto"/>
              </w:rPr>
            </w:pPr>
          </w:p>
        </w:tc>
        <w:tc>
          <w:tcPr>
            <w:tcW w:w="11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and Equal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Than</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7"/>
              </w:rPr>
              <w:t>to 90 Days</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4"/>
              </w:rPr>
              <w:t>90 Days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Past Due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mortgages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702,619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697,999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697,999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1,400,618</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Subordinate mortgages</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60,750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54,136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54,136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114,886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Corporate/Partnership loans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409,083</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9,990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419,073</w:t>
            </w:r>
          </w:p>
        </w:tc>
        <w:tc>
          <w:tcPr>
            <w:tcW w:w="0" w:type="dxa"/>
            <w:vAlign w:val="bottom"/>
          </w:tcPr>
          <w:p>
            <w:pPr>
              <w:spacing w:after="0"/>
              <w:rPr>
                <w:sz w:val="1"/>
                <w:szCs w:val="1"/>
                <w:color w:val="auto"/>
              </w:rPr>
            </w:pPr>
          </w:p>
        </w:tc>
      </w:tr>
      <w:tr>
        <w:trPr>
          <w:trHeight w:val="257"/>
        </w:trPr>
        <w:tc>
          <w:tcPr>
            <w:tcW w:w="3540" w:type="dxa"/>
            <w:vAlign w:val="bottom"/>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1,172,452</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762,125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762,125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1,934,577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thousands)(1):</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As of June 30, 2013</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Unpaid</w:t>
            </w:r>
          </w:p>
        </w:tc>
        <w:tc>
          <w:tcPr>
            <w:tcW w:w="240" w:type="dxa"/>
            <w:vAlign w:val="bottom"/>
          </w:tcPr>
          <w:p>
            <w:pPr>
              <w:spacing w:after="0"/>
              <w:rPr>
                <w:sz w:val="13"/>
                <w:szCs w:val="13"/>
                <w:color w:val="auto"/>
              </w:rPr>
            </w:pPr>
          </w:p>
        </w:tc>
        <w:tc>
          <w:tcPr>
            <w:tcW w:w="13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Related</w:t>
            </w:r>
          </w:p>
        </w:tc>
        <w:tc>
          <w:tcPr>
            <w:tcW w:w="220" w:type="dxa"/>
            <w:vAlign w:val="bottom"/>
          </w:tcPr>
          <w:p>
            <w:pPr>
              <w:spacing w:after="0"/>
              <w:rPr>
                <w:sz w:val="13"/>
                <w:szCs w:val="13"/>
                <w:color w:val="auto"/>
              </w:rPr>
            </w:pPr>
          </w:p>
        </w:tc>
        <w:tc>
          <w:tcPr>
            <w:tcW w:w="112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40" w:type="dxa"/>
            <w:vAlign w:val="bottom"/>
          </w:tcPr>
          <w:p>
            <w:pPr>
              <w:spacing w:after="0"/>
              <w:rPr>
                <w:sz w:val="13"/>
                <w:szCs w:val="13"/>
                <w:color w:val="auto"/>
              </w:rPr>
            </w:pPr>
          </w:p>
        </w:tc>
        <w:tc>
          <w:tcPr>
            <w:tcW w:w="11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6"/>
                <w:szCs w:val="16"/>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6"/>
                <w:szCs w:val="16"/>
                <w:color w:val="auto"/>
              </w:rPr>
            </w:pPr>
          </w:p>
        </w:tc>
        <w:tc>
          <w:tcPr>
            <w:tcW w:w="1120" w:type="dxa"/>
            <w:vAlign w:val="bottom"/>
          </w:tcPr>
          <w:p>
            <w:pPr>
              <w:jc w:val="right"/>
              <w:ind w:right="24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6"/>
                <w:szCs w:val="16"/>
                <w:color w:val="auto"/>
              </w:rPr>
            </w:pPr>
          </w:p>
        </w:tc>
        <w:tc>
          <w:tcPr>
            <w:tcW w:w="1120" w:type="dxa"/>
            <w:vAlign w:val="bottom"/>
          </w:tcPr>
          <w:p>
            <w:pPr>
              <w:jc w:val="right"/>
              <w:ind w:right="280"/>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02"/>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With no related allowance</w:t>
            </w: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recorded:</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180"/>
              <w:spacing w:after="0"/>
              <w:rPr>
                <w:sz w:val="20"/>
                <w:szCs w:val="20"/>
                <w:color w:val="auto"/>
              </w:rPr>
            </w:pPr>
            <w:r>
              <w:rPr>
                <w:rFonts w:ascii="Arial" w:cs="Arial" w:eastAsia="Arial" w:hAnsi="Arial"/>
                <w:sz w:val="16"/>
                <w:szCs w:val="16"/>
                <w:color w:val="auto"/>
              </w:rPr>
              <w:t>Senior mortgages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14,411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14,339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108,077</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107,850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Corporate/Partnership loans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520" w:type="dxa"/>
            <w:vAlign w:val="bottom"/>
          </w:tcPr>
          <w:p>
            <w:pPr>
              <w:ind w:left="380"/>
              <w:spacing w:after="0"/>
              <w:rPr>
                <w:sz w:val="20"/>
                <w:szCs w:val="20"/>
                <w:color w:val="auto"/>
              </w:rPr>
            </w:pPr>
            <w:r>
              <w:rPr>
                <w:rFonts w:ascii="Arial" w:cs="Arial" w:eastAsia="Arial" w:hAnsi="Arial"/>
                <w:sz w:val="16"/>
                <w:szCs w:val="16"/>
                <w:color w:val="auto"/>
              </w:rPr>
              <w:t>Subtotal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24,401</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24,380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118,187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118,010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With an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180"/>
              <w:spacing w:after="0"/>
              <w:rPr>
                <w:sz w:val="20"/>
                <w:szCs w:val="20"/>
                <w:color w:val="auto"/>
              </w:rPr>
            </w:pPr>
            <w:r>
              <w:rPr>
                <w:rFonts w:ascii="Arial" w:cs="Arial" w:eastAsia="Arial" w:hAnsi="Arial"/>
                <w:sz w:val="16"/>
                <w:szCs w:val="16"/>
                <w:color w:val="auto"/>
              </w:rPr>
              <w:t>Senior mortgages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853,573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851,343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(398,887)</w:t>
            </w:r>
          </w:p>
        </w:tc>
        <w:tc>
          <w:tcPr>
            <w:tcW w:w="2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918,975</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918,496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(442,760)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Subordinate mortgages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54,136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53,679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(39,579)</w:t>
            </w:r>
          </w:p>
        </w:tc>
        <w:tc>
          <w:tcPr>
            <w:tcW w:w="0" w:type="dxa"/>
            <w:vAlign w:val="bottom"/>
          </w:tcPr>
          <w:p>
            <w:pPr>
              <w:spacing w:after="0"/>
              <w:rPr>
                <w:sz w:val="1"/>
                <w:szCs w:val="1"/>
                <w:color w:val="auto"/>
              </w:rPr>
            </w:pPr>
          </w:p>
        </w:tc>
      </w:tr>
      <w:tr>
        <w:trPr>
          <w:trHeight w:val="237"/>
        </w:trPr>
        <w:tc>
          <w:tcPr>
            <w:tcW w:w="2520" w:type="dxa"/>
            <w:vAlign w:val="bottom"/>
          </w:tcPr>
          <w:p>
            <w:pPr>
              <w:ind w:left="180"/>
              <w:spacing w:after="0"/>
              <w:rPr>
                <w:sz w:val="20"/>
                <w:szCs w:val="20"/>
                <w:color w:val="auto"/>
              </w:rPr>
            </w:pPr>
            <w:r>
              <w:rPr>
                <w:rFonts w:ascii="Arial" w:cs="Arial" w:eastAsia="Arial" w:hAnsi="Arial"/>
                <w:sz w:val="16"/>
                <w:szCs w:val="16"/>
                <w:color w:val="auto"/>
              </w:rPr>
              <w:t>Corporate/Partnership loans</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62,336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62,419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(9,060)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63,096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63,246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(9,060)</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970,045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967,230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(447,526)</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1,036,050</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1,035,421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(491,399)</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Senior mortgages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867,984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865,682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(398,887)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1,027,052</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1,026,346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(442,760)</w:t>
            </w:r>
          </w:p>
        </w:tc>
        <w:tc>
          <w:tcPr>
            <w:tcW w:w="0" w:type="dxa"/>
            <w:vAlign w:val="bottom"/>
          </w:tcPr>
          <w:p>
            <w:pPr>
              <w:spacing w:after="0"/>
              <w:rPr>
                <w:sz w:val="1"/>
                <w:szCs w:val="1"/>
                <w:color w:val="auto"/>
              </w:rPr>
            </w:pPr>
          </w:p>
        </w:tc>
      </w:tr>
      <w:tr>
        <w:trPr>
          <w:trHeight w:val="237"/>
        </w:trPr>
        <w:tc>
          <w:tcPr>
            <w:tcW w:w="2520" w:type="dxa"/>
            <w:vAlign w:val="bottom"/>
          </w:tcPr>
          <w:p>
            <w:pPr>
              <w:ind w:left="180"/>
              <w:spacing w:after="0"/>
              <w:rPr>
                <w:sz w:val="20"/>
                <w:szCs w:val="20"/>
                <w:color w:val="auto"/>
              </w:rPr>
            </w:pPr>
            <w:r>
              <w:rPr>
                <w:rFonts w:ascii="Arial" w:cs="Arial" w:eastAsia="Arial" w:hAnsi="Arial"/>
                <w:sz w:val="16"/>
                <w:szCs w:val="16"/>
                <w:color w:val="auto"/>
              </w:rPr>
              <w:t>Subordinate mortgages</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54,136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53,468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53,979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53,679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(39,579)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Corporate/Partnership loans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72,326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72,460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73,206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73,406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(9,060)</w:t>
            </w:r>
          </w:p>
        </w:tc>
        <w:tc>
          <w:tcPr>
            <w:tcW w:w="0" w:type="dxa"/>
            <w:vAlign w:val="bottom"/>
          </w:tcPr>
          <w:p>
            <w:pPr>
              <w:spacing w:after="0"/>
              <w:rPr>
                <w:sz w:val="1"/>
                <w:szCs w:val="1"/>
                <w:color w:val="auto"/>
              </w:rPr>
            </w:pP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994,446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991,610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(447,526)</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1,154,237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1,153,431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(491,399)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right="2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 In addition, as of June 30, 2013 and December 31, 2012, certain loans modified through troubled debt restructurings with a recorded investment of $198.0 million and $175.0 million, respectively, are also included as impaired loans in accordance with GAAP although they are performing and on accrual status.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6"/>
              </w:rPr>
              <w:t>For the Three Months Ended June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9"/>
              </w:rPr>
              <w:t>For the Six Months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1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2013</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spacing w:after="0"/>
              <w:rPr>
                <w:sz w:val="22"/>
                <w:szCs w:val="22"/>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114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1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94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88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2"/>
                <w:szCs w:val="12"/>
                <w:color w:val="auto"/>
              </w:rPr>
            </w:pPr>
          </w:p>
        </w:tc>
        <w:tc>
          <w:tcPr>
            <w:tcW w:w="9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80" w:type="dxa"/>
            <w:vAlign w:val="bottom"/>
          </w:tcPr>
          <w:p>
            <w:pPr>
              <w:spacing w:after="0"/>
              <w:rPr>
                <w:sz w:val="16"/>
                <w:szCs w:val="16"/>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Recognized</w:t>
            </w:r>
          </w:p>
        </w:tc>
      </w:tr>
      <w:tr>
        <w:trPr>
          <w:trHeight w:val="202"/>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With no related</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2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allowance recorded:</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7"/>
        </w:trPr>
        <w:tc>
          <w:tcPr>
            <w:tcW w:w="1840" w:type="dxa"/>
            <w:vAlign w:val="bottom"/>
          </w:tcPr>
          <w:p>
            <w:pPr>
              <w:ind w:left="180"/>
              <w:spacing w:after="0"/>
              <w:rPr>
                <w:sz w:val="20"/>
                <w:szCs w:val="20"/>
                <w:color w:val="auto"/>
              </w:rPr>
            </w:pPr>
            <w:r>
              <w:rPr>
                <w:rFonts w:ascii="Arial" w:cs="Arial" w:eastAsia="Arial" w:hAnsi="Arial"/>
                <w:sz w:val="16"/>
                <w:szCs w:val="16"/>
                <w:color w:val="auto"/>
              </w:rPr>
              <w:t>Senior mortgages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16,561</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8,212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180,037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1,799</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47,067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9,057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193,187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2,206</w:t>
            </w:r>
          </w:p>
        </w:tc>
      </w:tr>
      <w:tr>
        <w:trPr>
          <w:trHeight w:val="33"/>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Corporate/Partnership</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10,110</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17"/>
        </w:trPr>
        <w:tc>
          <w:tcPr>
            <w:tcW w:w="1840" w:type="dxa"/>
            <w:vAlign w:val="bottom"/>
          </w:tcPr>
          <w:p>
            <w:pPr>
              <w:ind w:left="380"/>
              <w:spacing w:after="0"/>
              <w:rPr>
                <w:sz w:val="20"/>
                <w:szCs w:val="20"/>
                <w:color w:val="auto"/>
              </w:rPr>
            </w:pPr>
            <w:r>
              <w:rPr>
                <w:rFonts w:ascii="Arial" w:cs="Arial" w:eastAsia="Arial" w:hAnsi="Arial"/>
                <w:sz w:val="16"/>
                <w:szCs w:val="16"/>
                <w:color w:val="auto"/>
              </w:rPr>
              <w:t>Subtotal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26,612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8,532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190,147</w:t>
            </w: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1,799</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57,137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9,497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203,297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2,206</w:t>
            </w:r>
          </w:p>
        </w:tc>
      </w:tr>
      <w:tr>
        <w:trPr>
          <w:trHeight w:val="33"/>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With an allowance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recorded:</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7"/>
        </w:trPr>
        <w:tc>
          <w:tcPr>
            <w:tcW w:w="1840" w:type="dxa"/>
            <w:vAlign w:val="bottom"/>
          </w:tcPr>
          <w:p>
            <w:pPr>
              <w:ind w:left="180"/>
              <w:spacing w:after="0"/>
              <w:rPr>
                <w:sz w:val="20"/>
                <w:szCs w:val="20"/>
                <w:color w:val="auto"/>
              </w:rPr>
            </w:pPr>
            <w:r>
              <w:rPr>
                <w:rFonts w:ascii="Arial" w:cs="Arial" w:eastAsia="Arial" w:hAnsi="Arial"/>
                <w:sz w:val="16"/>
                <w:szCs w:val="16"/>
                <w:color w:val="auto"/>
              </w:rPr>
              <w:t>Senior mortgages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878,381</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1,041,613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1,194</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891,912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1,117,396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2,434</w:t>
            </w:r>
          </w:p>
        </w:tc>
      </w:tr>
      <w:tr>
        <w:trPr>
          <w:trHeight w:val="33"/>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Subordinate mortgages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65,659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53,971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0"/>
        </w:trPr>
        <w:tc>
          <w:tcPr>
            <w:tcW w:w="1840" w:type="dxa"/>
            <w:vAlign w:val="bottom"/>
          </w:tcPr>
          <w:p>
            <w:pPr>
              <w:ind w:left="180"/>
              <w:spacing w:after="0"/>
              <w:rPr>
                <w:sz w:val="20"/>
                <w:szCs w:val="20"/>
                <w:color w:val="auto"/>
              </w:rPr>
            </w:pPr>
            <w:r>
              <w:rPr>
                <w:rFonts w:ascii="Arial" w:cs="Arial" w:eastAsia="Arial" w:hAnsi="Arial"/>
                <w:sz w:val="16"/>
                <w:szCs w:val="16"/>
                <w:color w:val="auto"/>
              </w:rPr>
              <w:t>Corporate/Partnership</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1840" w:type="dxa"/>
            <w:vAlign w:val="bottom"/>
          </w:tcPr>
          <w:p>
            <w:pPr>
              <w:ind w:left="1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61,956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62,329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62,168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156</w:t>
            </w:r>
          </w:p>
        </w:tc>
      </w:tr>
      <w:tr>
        <w:trPr>
          <w:trHeight w:val="33"/>
        </w:trPr>
        <w:tc>
          <w:tcPr>
            <w:tcW w:w="1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1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994,292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1,169,228</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1,270</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1,008,212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1,230,830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2,590</w:t>
            </w: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Senior mortgages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894,942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1,221,650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2,993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938,979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1,310,583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4,640</w:t>
            </w:r>
          </w:p>
        </w:tc>
      </w:tr>
      <w:tr>
        <w:trPr>
          <w:trHeight w:val="237"/>
        </w:trPr>
        <w:tc>
          <w:tcPr>
            <w:tcW w:w="1840" w:type="dxa"/>
            <w:vAlign w:val="bottom"/>
          </w:tcPr>
          <w:p>
            <w:pPr>
              <w:ind w:left="180"/>
              <w:spacing w:after="0"/>
              <w:rPr>
                <w:sz w:val="20"/>
                <w:szCs w:val="20"/>
                <w:color w:val="auto"/>
              </w:rPr>
            </w:pPr>
            <w:r>
              <w:rPr>
                <w:rFonts w:ascii="Arial" w:cs="Arial" w:eastAsia="Arial" w:hAnsi="Arial"/>
                <w:sz w:val="16"/>
                <w:szCs w:val="16"/>
                <w:color w:val="auto"/>
                <w:w w:val="98"/>
              </w:rPr>
              <w:t>Subordinate mortgages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53,966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65,659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53,971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51,266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Corporate/Partnership</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72,066</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72,399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72,278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w:t>
            </w:r>
          </w:p>
        </w:tc>
      </w:tr>
      <w:tr>
        <w:trPr>
          <w:trHeight w:val="244"/>
        </w:trPr>
        <w:tc>
          <w:tcPr>
            <w:tcW w:w="18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1,020,904</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9,062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1,359,375</w:t>
            </w:r>
          </w:p>
        </w:tc>
        <w:tc>
          <w:tcPr>
            <w:tcW w:w="12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3,069</w:t>
            </w: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1,065,349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10,610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1,434,127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4,796</w:t>
            </w:r>
          </w:p>
        </w:tc>
      </w:tr>
      <w:tr>
        <w:trPr>
          <w:trHeight w:val="20"/>
        </w:trPr>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quarter ended June 30, 2013, the Company recorded interest income of $8.0 million related to the resolution of a certain non-performing loan. Interest income was not previously recorded while the loan was on non-accrual status.</w:t>
      </w:r>
    </w:p>
    <w:p>
      <w:pPr>
        <w:spacing w:after="0" w:line="126" w:lineRule="exact"/>
        <w:rPr>
          <w:sz w:val="20"/>
          <w:szCs w:val="20"/>
          <w:color w:val="auto"/>
        </w:rPr>
      </w:pPr>
    </w:p>
    <w:p>
      <w:pPr>
        <w:jc w:val="both"/>
        <w:ind w:firstLine="405"/>
        <w:spacing w:after="0" w:line="347" w:lineRule="auto"/>
        <w:rPr>
          <w:sz w:val="20"/>
          <w:szCs w:val="20"/>
          <w:color w:val="auto"/>
        </w:rPr>
      </w:pPr>
      <w:r>
        <w:rPr>
          <w:rFonts w:ascii="Arial" w:cs="Arial" w:eastAsia="Arial" w:hAnsi="Arial"/>
          <w:sz w:val="16"/>
          <w:szCs w:val="16"/>
          <w:b w:val="1"/>
          <w:bCs w:val="1"/>
          <w:color w:val="auto"/>
        </w:rPr>
        <w:t>Troubled Debt Restructurings</w:t>
      </w:r>
      <w:r>
        <w:rPr>
          <w:rFonts w:ascii="Arial" w:cs="Arial" w:eastAsia="Arial" w:hAnsi="Arial"/>
          <w:sz w:val="16"/>
          <w:szCs w:val="16"/>
          <w:color w:val="auto"/>
        </w:rPr>
        <w:t>—During the three and six months ended June 30, 2013 and 2012, the Company modified loans that were determined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troubled debt restructurings. The recorded investment in these loans was impacted by the modifications as follows, presented by class ($ in thousands):</w:t>
      </w:r>
    </w:p>
    <w:p>
      <w:pPr>
        <w:spacing w:after="0" w:line="301"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ind w:left="185"/>
              <w:spacing w:after="0"/>
              <w:rPr>
                <w:sz w:val="20"/>
                <w:szCs w:val="20"/>
                <w:color w:val="auto"/>
              </w:rPr>
            </w:pPr>
            <w:r>
              <w:rPr>
                <w:rFonts w:ascii="Arial" w:cs="Arial" w:eastAsia="Arial" w:hAnsi="Arial"/>
                <w:sz w:val="14"/>
                <w:szCs w:val="14"/>
                <w:b w:val="1"/>
                <w:bCs w:val="1"/>
                <w:color w:val="auto"/>
                <w:w w:val="93"/>
              </w:rPr>
              <w:t>For the Three Months Ended June 30,</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Pre-Modification</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Pre-Modification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5"/>
              </w:rPr>
              <w:t>Post-Modification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10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of Loans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6"/>
                <w:szCs w:val="16"/>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of Loans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mortgages</w:t>
            </w:r>
          </w:p>
        </w:tc>
        <w:tc>
          <w:tcPr>
            <w:tcW w:w="114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71,758</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71,758</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4,561</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ind w:left="185"/>
              <w:spacing w:after="0"/>
              <w:rPr>
                <w:sz w:val="20"/>
                <w:szCs w:val="20"/>
                <w:color w:val="auto"/>
              </w:rPr>
            </w:pPr>
            <w:r>
              <w:rPr>
                <w:rFonts w:ascii="Arial" w:cs="Arial" w:eastAsia="Arial" w:hAnsi="Arial"/>
                <w:sz w:val="14"/>
                <w:szCs w:val="14"/>
                <w:b w:val="1"/>
                <w:bCs w:val="1"/>
                <w:color w:val="auto"/>
                <w:w w:val="93"/>
              </w:rPr>
              <w:t>For the Six Months Ended June 30,</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Pre-Modification</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Pre-Modification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5"/>
              </w:rPr>
              <w:t>Post-Modification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2"/>
                <w:szCs w:val="12"/>
                <w:color w:val="auto"/>
              </w:rPr>
            </w:pPr>
          </w:p>
        </w:tc>
        <w:tc>
          <w:tcPr>
            <w:tcW w:w="10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of Loans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of Loans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mortgages</w:t>
            </w: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136,758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310,342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264,868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June 30, 2013, the Company restructured one performing loan with a recorded investment of $3.2 million to grant a maturity extension of one year. The Company also extended a payoff option on a loan with a recorded investment of $68.6 million that was classified as non-performing.</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six months ended June 30, 2013, the Company restructured three loans that were considered troubled debt restructurings. In addition to the loans modified during the current quarter that are described above, the Company restructured one non-performing loan with a recorded investment of $72.7 million. The Company received a $13.3 million paydown and accepted a discounted payoff option, with final payment expected to be made in January 2014 and the loan was reclassified from non-performing to performing status as the Company believes the borrower can perform under the modified terms of the agreement.</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June 30, 2012, the Company restructured one loan that was considered a troubled debt restructuring. The Company extended the term of this performing loan by one year with the interest rate unchanged.</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Troubled debt restructurings that occurred during the six months ended June 30, 2012 included the modifications of performing loans with a combined recorded investment of $62.6 million. The modified terms of these loans granted maturity extensions ranging from three months to one year and included conditional extension options in certain cases dependent on borrower-specific performance hurdles. In each case, the Company believes the borrowers can perform under the modified terms of the loans and continues to classify these loans as performing.</w:t>
      </w:r>
    </w:p>
    <w:p>
      <w:pPr>
        <w:spacing w:after="0" w:line="1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Non-performing loans with a combined recorded investment of $247.7 million were also modified during the six months ended June 30, 2012 and continued to be classified as non-performing subsequent to modification. Included in this balance was a loan with a recorded investment of $181.5 million prior to modification, for which the Company agreed to reduce the outstanding principal balance and recorded charge-offs totaling $45.5 million, and also reduced the loan's interest rate. The remaining non-performing loans were granted maturity extensions ranging from one month to seven months and the interest rate was reduced on one loan.</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June 30, 2013, the Company had $21.4 million of unfunded commitments associated with modified loans considered troubled debt restructurings.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Troubled debt restructurings that subsequently defaulted during the period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6"/>
              </w:rPr>
              <w:t>For the 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5"/>
              </w:rPr>
              <w:t>For the Six Months Ended 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2012</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9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Outstanding</w:t>
            </w: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Outstanding</w:t>
            </w:r>
          </w:p>
        </w:tc>
        <w:tc>
          <w:tcPr>
            <w:tcW w:w="9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Outstanding</w:t>
            </w:r>
          </w:p>
        </w:tc>
        <w:tc>
          <w:tcPr>
            <w:tcW w:w="10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Recorded</w:t>
            </w: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of Loans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of Loans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of Loans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of Loans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63"/>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26,693</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26,120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26,693</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26,120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—During the six months ended June 30, 2013, the Company originated a mandatorily redeemable preferred equity investment of $65.7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which has a term of three years with two 12-month extensions. The Company has an unfunded commitment of $80.3 million, which it expects to fund later this year. The investment is classified as a held-to-maturity debt security as the Company has the ability and intent to hold the investment until maturity. As of June 30, 2013, the estimated fair value approximated the net carrying amount.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other investments and its proportionate share of results from equity method investments were as follows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Equity in Earnings</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2013</w:t>
            </w:r>
          </w:p>
        </w:tc>
        <w:tc>
          <w:tcPr>
            <w:tcW w:w="140" w:type="dxa"/>
            <w:vAlign w:val="bottom"/>
          </w:tcPr>
          <w:p>
            <w:pPr>
              <w:spacing w:after="0"/>
              <w:rPr>
                <w:sz w:val="13"/>
                <w:szCs w:val="13"/>
                <w:color w:val="auto"/>
              </w:rPr>
            </w:pPr>
          </w:p>
        </w:tc>
        <w:tc>
          <w:tcPr>
            <w:tcW w:w="106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5"/>
          </w:tcPr>
          <w:p>
            <w:pPr>
              <w:ind w:left="280"/>
              <w:spacing w:after="0" w:line="153" w:lineRule="exact"/>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3"/>
                <w:szCs w:val="13"/>
                <w:color w:val="auto"/>
              </w:rPr>
            </w:pPr>
          </w:p>
        </w:tc>
        <w:tc>
          <w:tcPr>
            <w:tcW w:w="2220" w:type="dxa"/>
            <w:vAlign w:val="bottom"/>
            <w:gridSpan w:val="4"/>
          </w:tcPr>
          <w:p>
            <w:pPr>
              <w:jc w:val="right"/>
              <w:ind w:right="593"/>
              <w:spacing w:after="0" w:line="153" w:lineRule="exact"/>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06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LNR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205,773</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20,811</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Madison Funds</w:t>
            </w:r>
          </w:p>
        </w:tc>
        <w:tc>
          <w:tcPr>
            <w:tcW w:w="1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56,547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4,865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Oak Hill Funds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Real estate equity investments</w:t>
            </w:r>
          </w:p>
        </w:tc>
        <w:tc>
          <w:tcPr>
            <w:tcW w:w="1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47,684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47,619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8,719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15,490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equity method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97"/>
        </w:trPr>
        <w:tc>
          <w:tcPr>
            <w:tcW w:w="3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equity method investments</w:t>
            </w: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tcPr>
          <w:p>
            <w:pPr>
              <w:jc w:val="right"/>
              <w:ind w:right="14"/>
              <w:spacing w:after="0"/>
              <w:rPr>
                <w:sz w:val="20"/>
                <w:szCs w:val="20"/>
                <w:color w:val="auto"/>
              </w:rPr>
            </w:pPr>
            <w:r>
              <w:rPr>
                <w:rFonts w:ascii="Arial" w:cs="Arial" w:eastAsia="Arial" w:hAnsi="Arial"/>
                <w:sz w:val="18"/>
                <w:szCs w:val="18"/>
                <w:color w:val="auto"/>
              </w:rPr>
              <w:t>180,583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387,718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8,323</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18,420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30,001</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53,206</w:t>
            </w: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80" w:type="dxa"/>
            <w:vAlign w:val="bottom"/>
          </w:tcPr>
          <w:p>
            <w:pPr>
              <w:ind w:left="160"/>
              <w:spacing w:after="0"/>
              <w:rPr>
                <w:sz w:val="20"/>
                <w:szCs w:val="20"/>
                <w:color w:val="auto"/>
              </w:rPr>
            </w:pPr>
            <w:r>
              <w:rPr>
                <w:rFonts w:ascii="Arial" w:cs="Arial" w:eastAsia="Arial" w:hAnsi="Arial"/>
                <w:sz w:val="18"/>
                <w:szCs w:val="18"/>
                <w:color w:val="auto"/>
              </w:rPr>
              <w:t>Total other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189,618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398,843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LNR</w:t>
      </w:r>
      <w:r>
        <w:rPr>
          <w:rFonts w:ascii="Arial" w:cs="Arial" w:eastAsia="Arial" w:hAnsi="Arial"/>
          <w:sz w:val="17"/>
          <w:szCs w:val="17"/>
          <w:color w:val="auto"/>
        </w:rPr>
        <w:t>—On July 29, 2010, the Company acquired an ownership interest of approximately 24% in LNR Property Corporation ("LNR"). LNR is a servicer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special servicer of commercial mortgage loans and CMBS and a diversified real estate investment, finance and management company. In the transaction, the Company and a group of investors, including other creditors of LNR, acquired 100% of the common stock of LNR in exchange for cash and the extinguishment of existing senior notes of LNR's parent holding company (the "Holdco Notes"). The Company contributed $100.0 million aggregate principal amount of Holdco Notes and $100.0 million in cash in exchange for an equity interest of $120.0 million.</w:t>
      </w:r>
    </w:p>
    <w:p>
      <w:pPr>
        <w:spacing w:after="0" w:line="13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April 22, 2013, the Company completed the sale of its 24% equity interest in LNR and received $220.3 million in net proceeds, which approximated our carrying value on the disposition date. Approximately $25.2 million of net proceeds were placed in escrow for potential indemnification obligations through April 2014. The Company is not currently aware that any material indemnification claims are probable of occurring.</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represent the latest available investee level summarized financial information for LNR ($ in thousands)(1):</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For the Three Months</w:t>
            </w:r>
          </w:p>
        </w:tc>
        <w:tc>
          <w:tcPr>
            <w:tcW w:w="32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880" w:type="dxa"/>
            <w:vAlign w:val="bottom"/>
          </w:tcPr>
          <w:p>
            <w:pPr>
              <w:spacing w:after="0"/>
              <w:rPr>
                <w:sz w:val="14"/>
                <w:szCs w:val="14"/>
                <w:color w:val="auto"/>
              </w:rPr>
            </w:pPr>
          </w:p>
        </w:tc>
      </w:tr>
      <w:tr>
        <w:trPr>
          <w:trHeight w:val="192"/>
        </w:trPr>
        <w:tc>
          <w:tcPr>
            <w:tcW w:w="4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88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Total revenue(2)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68,779</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71,337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146,579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148,696</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3,642</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Net income attributable to LNR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42,452</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36,178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231,701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86,799</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iStar's ownership percentage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360" w:type="dxa"/>
            <w:vAlign w:val="bottom"/>
          </w:tcPr>
          <w:p>
            <w:pPr>
              <w:ind w:left="160"/>
              <w:spacing w:after="0"/>
              <w:rPr>
                <w:sz w:val="20"/>
                <w:szCs w:val="20"/>
                <w:color w:val="auto"/>
              </w:rPr>
            </w:pPr>
            <w:r>
              <w:rPr>
                <w:rFonts w:ascii="Arial" w:cs="Arial" w:eastAsia="Arial" w:hAnsi="Arial"/>
                <w:sz w:val="18"/>
                <w:szCs w:val="18"/>
                <w:color w:val="auto"/>
              </w:rPr>
              <w:t>Subtotal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10,178</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8,674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55,553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20,811</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Basis difference(3)</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(39,088)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iStar's equity in earnings from LNR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8,674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16,465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20,811</w:t>
            </w:r>
          </w:p>
        </w:tc>
      </w:tr>
      <w:tr>
        <w:trPr>
          <w:trHeight w:val="662"/>
        </w:trPr>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3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16"/>
                <w:szCs w:val="16"/>
                <w:color w:val="auto"/>
              </w:rPr>
            </w:pPr>
          </w:p>
        </w:tc>
        <w:tc>
          <w:tcPr>
            <w:tcW w:w="156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As of September 30,</w:t>
            </w:r>
          </w:p>
        </w:tc>
      </w:tr>
      <w:tr>
        <w:trPr>
          <w:trHeight w:val="250"/>
        </w:trPr>
        <w:tc>
          <w:tcPr>
            <w:tcW w:w="67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2012</w:t>
            </w: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Total assets(2)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4"/>
              <w:spacing w:after="0"/>
              <w:rPr>
                <w:sz w:val="20"/>
                <w:szCs w:val="20"/>
                <w:color w:val="auto"/>
              </w:rPr>
            </w:pPr>
            <w:r>
              <w:rPr>
                <w:rFonts w:ascii="Arial" w:cs="Arial" w:eastAsia="Arial" w:hAnsi="Arial"/>
                <w:sz w:val="18"/>
                <w:szCs w:val="18"/>
                <w:color w:val="auto"/>
              </w:rPr>
              <w:t>1,675,581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1,384,337</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492,590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398,912</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Total liabilities(2)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4"/>
              <w:spacing w:after="0"/>
              <w:rPr>
                <w:sz w:val="20"/>
                <w:szCs w:val="20"/>
                <w:color w:val="auto"/>
              </w:rPr>
            </w:pPr>
            <w:r>
              <w:rPr>
                <w:rFonts w:ascii="Arial" w:cs="Arial" w:eastAsia="Arial" w:hAnsi="Arial"/>
                <w:sz w:val="18"/>
                <w:szCs w:val="18"/>
                <w:color w:val="auto"/>
              </w:rPr>
              <w:t>575,738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517,088</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1,560</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LNR Property LLC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4"/>
              <w:spacing w:after="0"/>
              <w:rPr>
                <w:sz w:val="20"/>
                <w:szCs w:val="20"/>
                <w:color w:val="auto"/>
              </w:rPr>
            </w:pPr>
            <w:r>
              <w:rPr>
                <w:rFonts w:ascii="Arial" w:cs="Arial" w:eastAsia="Arial" w:hAnsi="Arial"/>
                <w:sz w:val="18"/>
                <w:szCs w:val="18"/>
                <w:color w:val="auto"/>
              </w:rPr>
              <w:t>1,098,241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865,689</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iStar's ownership percentage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iStar's equity in LNR(4)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205,773</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260"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records its investment in LNR on a one quarter lag, therefore, amounts in the Company's financial statements for the three and six months ended June 30, 2013 and 2012 are based on balances and results from LNR for the three and six months ended March 31, 2013 and 2012.</w:t>
      </w:r>
    </w:p>
    <w:p>
      <w:pPr>
        <w:jc w:val="both"/>
        <w:ind w:left="660" w:hanging="652"/>
        <w:spacing w:after="0" w:line="24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LNR consolidates certain commercial mortgage-backed securities and collateralized debt obligation trusts that are considered VIEs (and for which it is the primary beneficiary), that have been excluded from the amounts presented above. As of March 31, 2013 and September 30, 2012, the assets of these trusts, which aggregated $92.50 billion and $97.52 billion, respectively, were the sole source of repayment of the related liabilities, which aggregated approximately $92.15 billion and $97.21 billion, respectively, and are non-recourse to LNR and its equity holders, including the Company. In addition, total revenue presented above includes $21.1 million and $16.3 million for the three months ended March 31, 2013 and 2012, respectively, and $50.4 million and $45.1 million for the six months ended March 31, 2013 and 2012, respectively,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spacing w:after="0" w:line="1" w:lineRule="exact"/>
        <w:rPr>
          <w:rFonts w:ascii="Arial" w:cs="Arial" w:eastAsia="Arial" w:hAnsi="Arial"/>
          <w:sz w:val="14"/>
          <w:szCs w:val="14"/>
          <w:color w:val="auto"/>
        </w:rPr>
      </w:pPr>
    </w:p>
    <w:p>
      <w:pPr>
        <w:ind w:left="660" w:right="20" w:hanging="652"/>
        <w:spacing w:after="0" w:line="24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has limited its recognition of its proportionate share of earnings in LNR for the three and six months ended June 30, 2013 to the amount of proceeds it received from the sale.</w:t>
      </w: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Company's investment in LNR at June 30, 2013 and December 31, 2012, respectively.</w:t>
      </w:r>
    </w:p>
    <w:p>
      <w:pPr>
        <w:spacing w:after="0" w:line="16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—As of June 30, 2013, the Company owned a 29.52% interest in Madison International Real Estate Fund II, LP, a 32.92%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Madison International Real Estate Fund III, LP and a 29.52% interest in Madison GP1 Investors, LP (collectively, the "Madison Funds"). The Madison Funds invest in ownership positions of entities that own real estate assets. The Company determined that these entities are variable interest entities and that the Company is not the primary beneficiary.</w:t>
      </w:r>
    </w:p>
    <w:p>
      <w:pPr>
        <w:spacing w:after="0" w:line="14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Oak Hill Funds</w:t>
      </w:r>
      <w:r>
        <w:rPr>
          <w:rFonts w:ascii="Arial" w:cs="Arial" w:eastAsia="Arial" w:hAnsi="Arial"/>
          <w:sz w:val="17"/>
          <w:szCs w:val="17"/>
          <w:color w:val="auto"/>
        </w:rPr>
        <w:t>—As of June 30, 2013, the Company owned a 5.92% interest in OHA Strategic Credit Master Fund, L.P. ("OHASCF"). OHASCF was</w:t>
      </w:r>
      <w:r>
        <w:rPr>
          <w:rFonts w:ascii="Arial" w:cs="Arial" w:eastAsia="Arial" w:hAnsi="Arial"/>
          <w:sz w:val="17"/>
          <w:szCs w:val="17"/>
          <w:b w:val="1"/>
          <w:bCs w:val="1"/>
          <w:color w:val="auto"/>
        </w:rPr>
        <w:t xml:space="preserve"> </w:t>
      </w:r>
      <w:r>
        <w:rPr>
          <w:rFonts w:ascii="Arial" w:cs="Arial" w:eastAsia="Arial" w:hAnsi="Arial"/>
          <w:sz w:val="17"/>
          <w:szCs w:val="17"/>
          <w:color w:val="auto"/>
        </w:rPr>
        <w:t>formed to acquire and manage a diverse portfolio of assets, investing in distressed, stressed and undervalued loans, bonds, equities and other investments. The Company determined that this entity is a variable interest entity and that the Company is not the primary beneficiary.</w:t>
      </w:r>
    </w:p>
    <w:p>
      <w:pPr>
        <w:spacing w:after="0" w:line="11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Real estate equity investments</w:t>
      </w:r>
      <w:r>
        <w:rPr>
          <w:rFonts w:ascii="Arial" w:cs="Arial" w:eastAsia="Arial" w:hAnsi="Arial"/>
          <w:sz w:val="18"/>
          <w:szCs w:val="18"/>
          <w:color w:val="auto"/>
        </w:rPr>
        <w:t>—During the quarter ended June 30, 2013, the Company sold land for net proceeds of $21.4 million to a newly formed</w:t>
      </w:r>
      <w:r>
        <w:rPr>
          <w:rFonts w:ascii="Arial" w:cs="Arial" w:eastAsia="Arial" w:hAnsi="Arial"/>
          <w:sz w:val="18"/>
          <w:szCs w:val="18"/>
          <w:b w:val="1"/>
          <w:bCs w:val="1"/>
          <w:color w:val="auto"/>
        </w:rPr>
        <w:t xml:space="preserve"> </w:t>
      </w:r>
      <w:r>
        <w:rPr>
          <w:rFonts w:ascii="Arial" w:cs="Arial" w:eastAsia="Arial" w:hAnsi="Arial"/>
          <w:sz w:val="18"/>
          <w:szCs w:val="18"/>
          <w:color w:val="auto"/>
        </w:rPr>
        <w:t>unconsolidated entity in which the Company has a preferred partnership interest and a 47.5% equity interest. The Company has a recorded equity interest of $10.6 million, which represents the Company's proportionate share of the assets retained on a carryover basis.</w:t>
      </w:r>
    </w:p>
    <w:p>
      <w:pPr>
        <w:spacing w:after="0" w:line="14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June 30, 2013, the Company's real estate equity investments included equity interests in real estate ventures ranging from 31% to 70%, comprised of investments of $16.4 million in net lease assets, $18.2 million in operating properties and $13.1 million in other land assets. As of December 31, 2012, the Company's real estate equity investments included $16.4 million in net lease assets, $25.7 million in operating properties and $5.5 million in land assets. One of the Company's equity investments in operating properties represents a 33% interest in residential property units. The Company's earnings from its interest in this property includes income from sales of residential units of $1.5 million and $10.2 million for the three months ended June 30, 2013 and 2012, respectively, and $4.0 million and $18.2 million for the six months ended June 30, 2013 and 2012, respectively.</w:t>
      </w:r>
    </w:p>
    <w:p>
      <w:pPr>
        <w:spacing w:after="0" w:line="134"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Other Equity Method Investments</w:t>
      </w:r>
      <w:r>
        <w:rPr>
          <w:rFonts w:ascii="Arial" w:cs="Arial" w:eastAsia="Arial" w:hAnsi="Arial"/>
          <w:sz w:val="18"/>
          <w:szCs w:val="18"/>
          <w:color w:val="auto"/>
        </w:rPr>
        <w:t>—The Company also had smaller investments in several other entities that were accounted for under the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method. Several of these investments are in real estate related funds or other strategic investments.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financing fees, net(1)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33,929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Leasing costs, net(2)</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20,205</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11,517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5,218</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furniture, fixtures and equipment, net(3)</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Derivative asset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22,884</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Deferred expenses and other assets,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103,697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93,990</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$4.9 million and $4.1 million as of June 30, 2013 and December 31, 2012, respectively.</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amortization on leasing costs was $5.6 million and $6.6 million as of June 30, 2013 and December 31, 2012,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$5.9 million and $6.2 million as of June 30, 2013 and December 31, 2012, respectively.</w:t>
      </w:r>
    </w:p>
    <w:p>
      <w:pPr>
        <w:spacing w:after="0" w:line="200" w:lineRule="exact"/>
        <w:rPr>
          <w:sz w:val="20"/>
          <w:szCs w:val="20"/>
          <w:color w:val="auto"/>
        </w:rPr>
      </w:pPr>
    </w:p>
    <w:p>
      <w:pPr>
        <w:spacing w:after="0" w:line="3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29,521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38,716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50,467</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Unearned operating lease income</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11,294</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Security deposits and other investment deposits(1)</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3,435</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15,820</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112,759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132,460</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During the six months ended June 30, 2013, $8.9 million of restricted cash collateralizing a letter of credit related to one of the Company's loan investments was disbursed.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TRS entities were as follows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50"/>
        </w:trPr>
        <w:tc>
          <w:tcPr>
            <w:tcW w:w="7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2013</w:t>
            </w:r>
          </w:p>
        </w:tc>
        <w:tc>
          <w:tcPr>
            <w:tcW w:w="200" w:type="dxa"/>
            <w:vAlign w:val="bottom"/>
          </w:tcPr>
          <w:p>
            <w:pPr>
              <w:spacing w:after="0"/>
              <w:rPr>
                <w:sz w:val="21"/>
                <w:szCs w:val="21"/>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assets(1)</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40,800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(51,473)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(40,800)</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tax assets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57"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Deferred tax assets as of June 30, 2013, include real estate basis differences of $32.0 million, net operating loss carryforwards of $6.5 million, investment basis differences of $8.5 million and capital loss carryforwards of $4.3 million. Deferred tax assets as of December 31, 2012, include real estate basis differences of $31.2 million, net operating loss carryforwards of $10.8 million and investment basis differences of $(1.2)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2013 and December 31, 2012, the Company's debt obligations were as follows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53"/>
        </w:trPr>
        <w:tc>
          <w:tcPr>
            <w:tcW w:w="4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26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780" w:type="dxa"/>
            <w:vAlign w:val="bottom"/>
          </w:tcPr>
          <w:p>
            <w:pPr>
              <w:jc w:val="right"/>
              <w:ind w:right="615"/>
              <w:spacing w:after="0" w:line="153" w:lineRule="exact"/>
              <w:rPr>
                <w:sz w:val="20"/>
                <w:szCs w:val="20"/>
                <w:color w:val="auto"/>
              </w:rPr>
            </w:pPr>
            <w:r>
              <w:rPr>
                <w:rFonts w:ascii="Arial" w:cs="Arial" w:eastAsia="Arial" w:hAnsi="Arial"/>
                <w:sz w:val="14"/>
                <w:szCs w:val="14"/>
                <w:b w:val="1"/>
                <w:bCs w:val="1"/>
                <w:color w:val="auto"/>
              </w:rPr>
              <w:t>Stated</w:t>
            </w:r>
          </w:p>
        </w:tc>
        <w:tc>
          <w:tcPr>
            <w:tcW w:w="44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Scheduled</w:t>
            </w:r>
          </w:p>
        </w:tc>
      </w:tr>
      <w:tr>
        <w:trPr>
          <w:trHeight w:val="192"/>
        </w:trPr>
        <w:tc>
          <w:tcPr>
            <w:tcW w:w="4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Interest Rates</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Secured credit facilities and 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2012 Tranche A-1 Facility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169,164</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Arial" w:cs="Arial" w:eastAsia="Arial" w:hAnsi="Arial"/>
                <w:sz w:val="18"/>
                <w:szCs w:val="18"/>
                <w:color w:val="auto"/>
              </w:rPr>
              <w:t>LIBOR + 4.00%</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2016</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2012 Tranche A-2 Facility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470,000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LIBOR + 5.75%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2017</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October 2012 Secured Credit Facility</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1,754,466</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Arial" w:cs="Arial" w:eastAsia="Arial" w:hAnsi="Arial"/>
                <w:sz w:val="18"/>
                <w:szCs w:val="18"/>
                <w:color w:val="auto"/>
              </w:rPr>
              <w:t>LIBOR + 4.50%</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February 2013 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1,597,054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LIBOR + 3.50%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2017</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Term loans collateralized by net lease assets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270,250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264,432</w:t>
            </w:r>
          </w:p>
        </w:tc>
        <w:tc>
          <w:tcPr>
            <w:tcW w:w="1900" w:type="dxa"/>
            <w:vAlign w:val="bottom"/>
            <w:gridSpan w:val="2"/>
          </w:tcPr>
          <w:p>
            <w:pPr>
              <w:jc w:val="right"/>
              <w:ind w:right="95"/>
              <w:spacing w:after="0"/>
              <w:rPr>
                <w:sz w:val="20"/>
                <w:szCs w:val="20"/>
                <w:color w:val="auto"/>
              </w:rPr>
            </w:pPr>
            <w:r>
              <w:rPr>
                <w:rFonts w:ascii="Arial" w:cs="Arial" w:eastAsia="Arial" w:hAnsi="Arial"/>
                <w:sz w:val="18"/>
                <w:szCs w:val="18"/>
                <w:color w:val="auto"/>
              </w:rPr>
              <w:t>4.851% - 7.68%</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2026</w:t>
            </w: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secured credit facilities and term loans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2,345,400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2,658,062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Unsecured notes: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8.625% senior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96,801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5.95% senior notes</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448,453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5.70%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200,601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2014</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6.05%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105,765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105,765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April 2015</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5.875%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261,403</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2016</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3.875%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July 2016</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3.0% senior convertible notes(4)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2016</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5.85%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99,722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2017</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9.0%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7.125%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7.125%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February 2018</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4.875% senior notes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2018</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unsecured notes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2,007,491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1,987,745</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Other debt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Arial" w:cs="Arial" w:eastAsia="Arial" w:hAnsi="Arial"/>
                <w:sz w:val="18"/>
                <w:szCs w:val="18"/>
                <w:color w:val="auto"/>
              </w:rPr>
              <w:t>LIBOR + 1.5%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2035</w:t>
            </w: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4,452,891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4,745,807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Debt discounts, net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(54,313)</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 obligations,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4,402,447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4,691,494</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250"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loans each have a LIBOR floor of 1.25%. As of June 30, 2013, inclusive of the floors, the 2012 Tranche A-1 Facility and 2012 Tranche A-2 Facility loans incurred interest at a rate of 5.25% and 7.00%, respectively.</w:t>
      </w: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loan had a LIBOR floor of 1.25%.</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loan has a LIBOR floor of 1.00%. As of June 30, 2013, inclusive of the floor, the February 2013 Secured Credit Facility incurred interest at a rate of 4.50%.</w:t>
      </w:r>
    </w:p>
    <w:p>
      <w:pPr>
        <w:spacing w:after="0" w:line="1"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Company's senior convertible fixed rate notes due November 2016 ("Convertible Notes") are convertible at the option of the holders, into 85.0 shares per $1,000 principal amount of Convertible Notes, at any time prior to the close of business on November 14, 2016.</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Future Scheduled Maturities</w:t>
      </w:r>
      <w:r>
        <w:rPr>
          <w:rFonts w:ascii="Arial" w:cs="Arial" w:eastAsia="Arial" w:hAnsi="Arial"/>
          <w:sz w:val="17"/>
          <w:szCs w:val="17"/>
          <w:color w:val="auto"/>
        </w:rPr>
        <w:t>—As of June 30, 2013, future scheduled maturities of outstanding debt obligations are as follows ($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 (remaining six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200,601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9,412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210,013</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105,765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726,403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734,499</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2,067,054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2,441,776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260,838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960,838</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2,107,491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2,345,400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4,452,891</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Unamortized debt discounts,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(35,724)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(50,444)</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2,092,771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2,309,676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4,402,447</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February 2013 Secured Credit Facility</w:t>
      </w:r>
      <w:r>
        <w:rPr>
          <w:rFonts w:ascii="Arial" w:cs="Arial" w:eastAsia="Arial" w:hAnsi="Arial"/>
          <w:sz w:val="18"/>
          <w:szCs w:val="18"/>
          <w:color w:val="auto"/>
        </w:rPr>
        <w:t>—On February 11, 2013, the Company entered into a $1.71 billion senior secured credit facility due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15, 2017 (the “February 2013 Secured Credit Facility”) that amended and restated its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Borrowings under the February 2013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February 2013 Secured Credit Facility. For so long as collateral coverage is between 137.5% and 150% of outstanding borrowings, 50% of proceeds from principal repayments and sales of collateral will be applied to repay outstanding borrowings under the February 2013 Secured Credit Facility and for so long as collateral coverage is greater than 150% of outstanding borrowings, the Company may retain all proceeds from principal repayments and sales of collateral. The Company retains proceeds from interest, rent, lease payments and fee income in all cases.</w:t>
      </w:r>
    </w:p>
    <w:p>
      <w:pPr>
        <w:spacing w:after="0" w:line="13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February 2013 Secured Credit Facility transaction, the Company incurred $17.1 million of lender fees, of which $14.4 million was capitalized in "Debt Obligations, net" on the Company's Consolidated Balance Sheets and $2.7 million was recorded in "Gain (loss) on early extinguishment of debt, net" on the Company's Consolidated Statement of Operations as it related to the lenders who did not participate in the new facility. The Company also incurred $3.8 million in third party fees, of which $3.6 million was recognized in “Other expense” on the Company's Consolidated Statements of Operations, as it related primarily to those lenders from the original facility that modified their debt under the new facility, and $0.2 million was recorded in “Deferred expenses and other assets, net” on the Company's Consolidated Balance Sheets, as it related to the new lenders.</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February 2013 Secured Credit Facility contains certain covenants relating to the collateral, among other matters, but does not contain corporate level financial covenants. For so long as the Company maintains its qualification as a REIT, it is permitted to distribute 100% of its REIT taxable income on an annual basis. In addition, the Company may distribute to its stockholders real estate assets, or interests therein, having an aggregate equity value not to exceed $200 million, that are not collateral securing the borrowings under the February 2013 Secured Credit Facility. Except for the distribution of real estate assets described in the preceding sentence, the Company may not pay common dividends if it ceases to qualify as a REIT.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June 30, 2013, the Company has made cumulative amortization repayments of $109.9 million on the February 2013 Secured Credit Facility. Repayments of the February 2013 Secured Credit Facility prior to the scheduled maturity date have resulted in losses on early extinguishment of debt of $1.7 million and $2.5 million for the three and six months ended June 30, 2013, respectively, related to the acceleration of discounts and unamortized deferred financing fees on the portion of the facility that was repaid.</w:t>
      </w:r>
    </w:p>
    <w:p>
      <w:pPr>
        <w:spacing w:after="0" w:line="142"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October 2012 Secured Credit Facility</w:t>
      </w:r>
      <w:r>
        <w:rPr>
          <w:rFonts w:ascii="Arial" w:cs="Arial" w:eastAsia="Arial" w:hAnsi="Arial"/>
          <w:sz w:val="18"/>
          <w:szCs w:val="18"/>
          <w:color w:val="auto"/>
        </w:rPr>
        <w:t>—On October 15, 2012, the Company entered into a $1.82 billion senior secured credit agreement due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15, 2017 (the “October 2012 Secured Credit Facility”). Proceeds from the October 2012 Secured Credit Facility were used to refinance the remaining outstanding balances of the Company’s then existing 2011 Secured Credit Facilities.</w:t>
      </w:r>
    </w:p>
    <w:p>
      <w:pPr>
        <w:spacing w:after="0" w:line="1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October 2012 Secured Credit Facility was refinanced by the February 2013 Secured Credit Facility. Prior to refinancing, the Company made cumulative amortization repayments of $113.0 million on the October 2012 Secured Credit Facility, which resulted in losses on early extinguishment of debt of $0.8 million for the three months ended March 31, 2013 related to the acceleration of discounts and unamortized deferred financing fees on the portion of the facility that was repaid.</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the time of the refinancing, the Company had $30.5 million of unamortized discounts and financing fees related to the October 2012 Secured Credit Facility. In connection with the refinancing, the Company recorded a loss on early extinguishment of debt of $4.9 million, related primarily to the portion of lenders in the original facility that did not participate in the new facility. The remaining $25.6 million of unamortized fees and discounts will continue to be amortized to interest expense over the remaining term of the February 2013 Secured Credit Facility.</w:t>
      </w:r>
    </w:p>
    <w:p>
      <w:pPr>
        <w:spacing w:after="0" w:line="142"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6"/>
          <w:szCs w:val="16"/>
          <w:b w:val="1"/>
          <w:bCs w:val="1"/>
          <w:color w:val="auto"/>
        </w:rPr>
        <w:t>March 2012 Secured Credit Facilities</w:t>
      </w:r>
      <w:r>
        <w:rPr>
          <w:rFonts w:ascii="Arial" w:cs="Arial" w:eastAsia="Arial" w:hAnsi="Arial"/>
          <w:sz w:val="16"/>
          <w:szCs w:val="16"/>
          <w:color w:val="auto"/>
        </w:rPr>
        <w:t>—In March 2012, the Company entered into an $880.0 million senior secured credit agreement providing for</w:t>
      </w:r>
      <w:r>
        <w:rPr>
          <w:rFonts w:ascii="Arial" w:cs="Arial" w:eastAsia="Arial" w:hAnsi="Arial"/>
          <w:sz w:val="16"/>
          <w:szCs w:val="16"/>
          <w:b w:val="1"/>
          <w:bCs w:val="1"/>
          <w:color w:val="auto"/>
        </w:rPr>
        <w:t xml:space="preserve"> </w:t>
      </w:r>
      <w:r>
        <w:rPr>
          <w:rFonts w:ascii="Arial" w:cs="Arial" w:eastAsia="Arial" w:hAnsi="Arial"/>
          <w:sz w:val="16"/>
          <w:szCs w:val="16"/>
          <w:color w:val="auto"/>
        </w:rPr>
        <w:t>two 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were used to repurchase and repay at maturity $606.7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w:t>
      </w:r>
    </w:p>
    <w:p>
      <w:pPr>
        <w:spacing w:after="0" w:line="1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the Company.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The Company may make optional prepayments on each tranche of term loans, subject to prepayment fees.</w:t>
      </w:r>
    </w:p>
    <w:p>
      <w:pPr>
        <w:spacing w:after="0" w:line="13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Through June 30, 2013, the Company made cumulative amortization repayments of $401.9 million on the 2012 Tranche A-1 Facility, which exceeds all required amortization payments through maturity. Repayments of the 2012 Tranche A-1 Facility prior to scheduled amortization dates have resulted in losses on early extinguishment of debt of $1.3 million and $4.2 million for the three and six months ended June 30, 2013, respectively, related to the acceleration of discounts and unamortized deferred financing fees on the portion of the facility that was repaid.</w:t>
      </w:r>
    </w:p>
    <w:p>
      <w:pPr>
        <w:spacing w:after="0" w:line="127"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Unsecured Notes</w:t>
      </w:r>
      <w:r>
        <w:rPr>
          <w:rFonts w:ascii="Arial" w:cs="Arial" w:eastAsia="Arial" w:hAnsi="Arial"/>
          <w:sz w:val="16"/>
          <w:szCs w:val="16"/>
          <w:color w:val="auto"/>
        </w:rPr>
        <w:t>—In May 2013, the Company issued $265.0 million aggregate principal of 3.875% senior unsecured notes due July 2016 and issued</w:t>
      </w:r>
      <w:r>
        <w:rPr>
          <w:rFonts w:ascii="Arial" w:cs="Arial" w:eastAsia="Arial" w:hAnsi="Arial"/>
          <w:sz w:val="16"/>
          <w:szCs w:val="16"/>
          <w:b w:val="1"/>
          <w:bCs w:val="1"/>
          <w:color w:val="auto"/>
        </w:rPr>
        <w:t xml:space="preserve"> </w:t>
      </w:r>
      <w:r>
        <w:rPr>
          <w:rFonts w:ascii="Arial" w:cs="Arial" w:eastAsia="Arial" w:hAnsi="Arial"/>
          <w:sz w:val="16"/>
          <w:szCs w:val="16"/>
          <w:color w:val="auto"/>
        </w:rPr>
        <w:t>$300.0 million aggregate principal of 4.875% senior unsecured notes due July 2018. Net proceeds from these transactions, together with cash on hand, were used to fully repay the remaining $96.8 million of outstanding 8.625% senior unsecured notes due June 2013 and the remaining $448.5 million of outstanding 5.95% senior unsecured notes due in October 2013. In connection with the repayment of the 5.95% senior unsecured notes, the Company incurred $9.5 million of losses related to a prepayment penalty and the acceleration of amortization of discounts, which was recorded in "Gain (loss) on early extinguishment of debt, net" on the Company's Consolidated Statements of Operations for the three months and six months ended June 30, 2013.</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b w:val="1"/>
          <w:bCs w:val="1"/>
          <w:color w:val="auto"/>
        </w:rPr>
        <w:t>Unencumbered/Encumbered Assets</w:t>
      </w:r>
      <w:r>
        <w:rPr>
          <w:rFonts w:ascii="Arial" w:cs="Arial" w:eastAsia="Arial" w:hAnsi="Arial"/>
          <w:sz w:val="18"/>
          <w:szCs w:val="18"/>
          <w:color w:val="auto"/>
        </w:rPr>
        <w:t>—As of June 30, 2013, the carrying value of the Company's encumbered and unencumbered assets by asset type</w:t>
      </w:r>
      <w:r>
        <w:rPr>
          <w:rFonts w:ascii="Arial" w:cs="Arial" w:eastAsia="Arial" w:hAnsi="Arial"/>
          <w:sz w:val="18"/>
          <w:szCs w:val="18"/>
          <w:b w:val="1"/>
          <w:bCs w:val="1"/>
          <w:color w:val="auto"/>
        </w:rPr>
        <w:t xml:space="preserve"> </w:t>
      </w:r>
      <w:r>
        <w:rPr>
          <w:rFonts w:ascii="Arial" w:cs="Arial" w:eastAsia="Arial" w:hAnsi="Arial"/>
          <w:sz w:val="18"/>
          <w:szCs w:val="18"/>
          <w:color w:val="auto"/>
        </w:rPr>
        <w:t>are as follows ($ in thousands):</w:t>
      </w:r>
    </w:p>
    <w:p>
      <w:pPr>
        <w:spacing w:after="0" w:line="347"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w w:val="85"/>
              </w:rPr>
              <w:t>As of</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13"/>
                <w:szCs w:val="13"/>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Encumbered Assets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Encumbered Assets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1,659,468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1,091,209</w:t>
            </w:r>
          </w:p>
        </w:tc>
        <w:tc>
          <w:tcPr>
            <w:tcW w:w="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1,794,198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1,004,825</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223,340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300,752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141,673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494,192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 net(1)</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1,044,024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1,197,373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665,712</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29,482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43,545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355,298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487,073</w:t>
            </w:r>
          </w:p>
        </w:tc>
        <w:tc>
          <w:tcPr>
            <w:tcW w:w="0" w:type="dxa"/>
            <w:vAlign w:val="bottom"/>
          </w:tcPr>
          <w:p>
            <w:pPr>
              <w:spacing w:after="0"/>
              <w:rPr>
                <w:sz w:val="1"/>
                <w:szCs w:val="1"/>
                <w:color w:val="auto"/>
              </w:rPr>
            </w:pPr>
          </w:p>
        </w:tc>
      </w:tr>
      <w:tr>
        <w:trPr>
          <w:trHeight w:val="257"/>
        </w:trPr>
        <w:tc>
          <w:tcPr>
            <w:tcW w:w="548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2,956,314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3,022,766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3,176,789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3,007,100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June 30, 2013 and December 31, 2012, the amounts presented are gross of general reserves for loan losses of $32.3 million and $33.1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Company's outstanding unsecured debt securities contain corporate level covenants that include a covenant to maintain a ratio of unencumbered assets to unsecured indebtedness of at least 1.2x and a restriction on debt incurrence based upon the effect of the debt incurrence on the Company's fixed charge coverage ratio. If any of the Company's covenants are breached and not cured within applicable cure periods, the breach could result in acceleration of its debt securities unless a waiver or modification is agreed upon with the requisite percentage of the bondholders. While the Company expects that its ability to incur new indebtedness under the fixed charge coverage ratio will be limited for the foreseeable future, it will continue to be permitted to incur indebtedness for the purpose of refinancing existing indebtedness and for other permitted purposes under the indentures.</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March 2012 Secured Credit Facilities and February 2013 Secured Credit Facility are collectively defined as the "Secured Credit Facilities." The Company's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Company is required to maintain collateral coverage of 1.25x outstanding borrowings. In addition, for so long as the Company maintains its qualification as a REIT, the Secured Credit Facilities permit the Company to distribute 100% of its REIT taxable income on an annual basis and the February 2013 Secured Credit Facility permits the Company to distribute to its shareholders real estate assets, or interests therein, having an aggregate equity value not to exceed $200 million, so long as such assets are not collateral for the February 2013 Secured Credit Facility. The Company may not pay common dividends if it ceases to qualify as a REIT (except that the February 2013 Secured Credit Facility permits us to distribute certain real estate assets as described in the preceding sentence).</w:t>
      </w:r>
    </w:p>
    <w:p>
      <w:pPr>
        <w:spacing w:after="0" w:line="14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Secured Credit Facilities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185"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June 30, 2013, the maximum amount of fundings the Company may be required to make under each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281"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Loans and Other</w:t>
            </w:r>
          </w:p>
        </w:tc>
        <w:tc>
          <w:tcPr>
            <w:tcW w:w="260" w:type="dxa"/>
            <w:vAlign w:val="bottom"/>
          </w:tcPr>
          <w:p>
            <w:pPr>
              <w:spacing w:after="0"/>
              <w:rPr>
                <w:sz w:val="14"/>
                <w:szCs w:val="14"/>
                <w:color w:val="auto"/>
              </w:rPr>
            </w:pPr>
          </w:p>
        </w:tc>
        <w:tc>
          <w:tcPr>
            <w:tcW w:w="12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Real Estate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Strategic</w:t>
            </w:r>
          </w:p>
        </w:tc>
        <w:tc>
          <w:tcPr>
            <w:tcW w:w="36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Lending Investments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Performance-Based Commitments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164,542</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Discretionary Fundings</w:t>
            </w: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47,040</w:t>
            </w:r>
          </w:p>
        </w:tc>
        <w:tc>
          <w:tcPr>
            <w:tcW w:w="0" w:type="dxa"/>
            <w:vAlign w:val="bottom"/>
          </w:tcPr>
          <w:p>
            <w:pPr>
              <w:spacing w:after="0"/>
              <w:rPr>
                <w:sz w:val="1"/>
                <w:szCs w:val="1"/>
                <w:color w:val="auto"/>
              </w:rPr>
            </w:pPr>
          </w:p>
        </w:tc>
      </w:tr>
      <w:tr>
        <w:trPr>
          <w:trHeight w:val="257"/>
        </w:trPr>
        <w:tc>
          <w:tcPr>
            <w:tcW w:w="274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211,582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—The Company and/or one or more of its subsidiaries is party to various pending litigation matters that are considered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routine litigation incidental to the Company's business as a finance and investment company focused on the commercial real estate industry, including loan foreclosure and foreclosure-related proceedings.</w:t>
      </w:r>
    </w:p>
    <w:p>
      <w:pPr>
        <w:spacing w:after="0" w:line="14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evaluates, on a quarterly basis,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w:t>
      </w:r>
    </w:p>
    <w:p>
      <w:pPr>
        <w:spacing w:after="0" w:line="18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use of derivative financial instruments is primarily limited to the utilization of interest rate hedges and foreign exchange hedges. The principal objective of such hedges is to minimize the risks and/or costs associated with the Company's operating and financial structure and to manage its exposure to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1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June 30, 2013 and December 31, 2012 ($ 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Derivative Assets as of</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Derivative Liabilities as of</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80" w:type="dxa"/>
            <w:vAlign w:val="bottom"/>
          </w:tcPr>
          <w:p>
            <w:pPr>
              <w:spacing w:after="0"/>
              <w:rPr>
                <w:sz w:val="22"/>
                <w:szCs w:val="2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2013</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22"/>
                <w:szCs w:val="22"/>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0"/>
              </w:rPr>
              <w:t>June 30, 2013</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w:t>
            </w:r>
          </w:p>
        </w:tc>
        <w:tc>
          <w:tcPr>
            <w:tcW w:w="14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740" w:type="dxa"/>
            <w:vAlign w:val="bottom"/>
          </w:tcPr>
          <w:p>
            <w:pPr>
              <w:jc w:val="right"/>
              <w:ind w:right="259"/>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80" w:type="dxa"/>
            <w:vAlign w:val="bottom"/>
          </w:tcPr>
          <w:p>
            <w:pPr>
              <w:spacing w:after="0"/>
              <w:rPr>
                <w:sz w:val="13"/>
                <w:szCs w:val="13"/>
                <w:color w:val="auto"/>
              </w:rPr>
            </w:pPr>
          </w:p>
        </w:tc>
        <w:tc>
          <w:tcPr>
            <w:tcW w:w="640" w:type="dxa"/>
            <w:vAlign w:val="bottom"/>
          </w:tcPr>
          <w:p>
            <w:pPr>
              <w:jc w:val="center"/>
              <w:ind w:right="217"/>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3"/>
                <w:szCs w:val="13"/>
                <w:color w:val="auto"/>
              </w:rPr>
            </w:pPr>
          </w:p>
        </w:tc>
        <w:tc>
          <w:tcPr>
            <w:tcW w:w="76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1480" w:type="dxa"/>
            <w:vAlign w:val="bottom"/>
            <w:vMerge w:val="continue"/>
          </w:tcPr>
          <w:p>
            <w:pPr>
              <w:spacing w:after="0"/>
              <w:rPr>
                <w:sz w:val="16"/>
                <w:szCs w:val="16"/>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740" w:type="dxa"/>
            <w:vAlign w:val="bottom"/>
          </w:tcPr>
          <w:p>
            <w:pPr>
              <w:jc w:val="right"/>
              <w:ind w:right="219"/>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6"/>
                <w:szCs w:val="16"/>
                <w:color w:val="auto"/>
              </w:rPr>
            </w:pPr>
          </w:p>
        </w:tc>
        <w:tc>
          <w:tcPr>
            <w:tcW w:w="640" w:type="dxa"/>
            <w:vAlign w:val="bottom"/>
          </w:tcPr>
          <w:p>
            <w:pPr>
              <w:jc w:val="center"/>
              <w:ind w:right="197"/>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5"/>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Foreign exchange</w:t>
            </w: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4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Other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29"/>
        </w:trPr>
        <w:tc>
          <w:tcPr>
            <w:tcW w:w="1480" w:type="dxa"/>
            <w:vAlign w:val="bottom"/>
          </w:tcPr>
          <w:p>
            <w:pPr>
              <w:ind w:left="20"/>
              <w:spacing w:after="0"/>
              <w:rPr>
                <w:sz w:val="20"/>
                <w:szCs w:val="20"/>
                <w:color w:val="auto"/>
              </w:rPr>
            </w:pPr>
            <w:r>
              <w:rPr>
                <w:rFonts w:ascii="Arial" w:cs="Arial" w:eastAsia="Arial" w:hAnsi="Arial"/>
                <w:sz w:val="18"/>
                <w:szCs w:val="18"/>
                <w:color w:val="auto"/>
              </w:rPr>
              <w:t>Cash flow interest</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tcPr>
          <w:p>
            <w:pPr>
              <w:ind w:left="20"/>
              <w:spacing w:after="0"/>
              <w:rPr>
                <w:sz w:val="20"/>
                <w:szCs w:val="20"/>
                <w:color w:val="auto"/>
              </w:rPr>
            </w:pPr>
            <w:r>
              <w:rPr>
                <w:rFonts w:ascii="Arial" w:cs="Arial" w:eastAsia="Arial" w:hAnsi="Arial"/>
                <w:sz w:val="18"/>
                <w:szCs w:val="18"/>
                <w:color w:val="auto"/>
              </w:rPr>
              <w:t>rate swap</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Other Assets</w:t>
            </w:r>
          </w:p>
        </w:tc>
        <w:tc>
          <w:tcPr>
            <w:tcW w:w="2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on the Consolidated Statements of Operations for the three and six months ended June 30, 2013 and 2012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Amount of Gain (Loss)</w:t>
            </w:r>
          </w:p>
        </w:tc>
        <w:tc>
          <w:tcPr>
            <w:tcW w:w="16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 of Gain (Loss)</w:t>
            </w: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Location of Gain (Loss)</w:t>
            </w: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120" w:type="dxa"/>
            <w:vAlign w:val="bottom"/>
            <w:vMerge w:val="restart"/>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Comprehensive Income into</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Earnings (Ineffective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Recognized 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Earnings (Effective Portion)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2013</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Cash flow interest rate swap</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Three Months Ended June 30, 2012</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 interest rate swap</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Six Months Ended June 30, 2013</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 interest rate swap</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2012</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Cash flow interest rate swap</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fluctuations in foreign exchange rates on investments it holds in foreign entities. The Company uses currency forward agreements to hedge its exposure to changes in foreign exchange rates on its foreign investments. Currency forward agreements involve fixing the USD to the respective foreign currency exchange rate for delivery of a specified amount of foreign currency on a specified date. The currency forward agreements are typically cash settled in US dollars for their fair value at or close to their settlement date.</w:t>
      </w:r>
    </w:p>
    <w:p>
      <w:pPr>
        <w:spacing w:after="0" w:line="1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net investment is either sold or substantially liquidated. In June 2013, the Company entered into a foreign exchange contract to hedge its exposure in a subsidiary whose functional currency is INR. As of June 30, 2013, the Company had the following outstanding foreign currency derivatives that were used to hedge its net investments in foreign operations that were designated:</w:t>
      </w:r>
    </w:p>
    <w:p>
      <w:pPr>
        <w:spacing w:after="0" w:line="294"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3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ind w:left="36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4"/>
                <w:szCs w:val="14"/>
                <w:color w:val="auto"/>
              </w:rPr>
            </w:pP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Notional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4"/>
          </w:tcPr>
          <w:p>
            <w:pPr>
              <w:ind w:left="380"/>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(USD Equivalent)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Sells INR/Buys USD Forward</w:t>
            </w: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456,000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w w:val="89"/>
              </w:rPr>
              <w:t>January 2014</w:t>
            </w:r>
          </w:p>
        </w:tc>
        <w:tc>
          <w:tcPr>
            <w:tcW w:w="0" w:type="dxa"/>
            <w:vAlign w:val="bottom"/>
          </w:tcPr>
          <w:p>
            <w:pPr>
              <w:spacing w:after="0"/>
              <w:rPr>
                <w:sz w:val="1"/>
                <w:szCs w:val="1"/>
                <w:color w:val="auto"/>
              </w:rPr>
            </w:pPr>
          </w:p>
        </w:tc>
      </w:tr>
      <w:tr>
        <w:trPr>
          <w:trHeight w:val="463"/>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15"/>
          </w:tcPr>
          <w:p>
            <w:pPr>
              <w:ind w:left="40"/>
              <w:spacing w:after="0"/>
              <w:rPr>
                <w:sz w:val="20"/>
                <w:szCs w:val="20"/>
                <w:color w:val="auto"/>
              </w:rPr>
            </w:pPr>
            <w:r>
              <w:rPr>
                <w:rFonts w:ascii="Arial" w:cs="Arial" w:eastAsia="Arial" w:hAnsi="Arial"/>
                <w:sz w:val="14"/>
                <w:szCs w:val="14"/>
                <w:b w:val="1"/>
                <w:bCs w:val="1"/>
                <w:color w:val="auto"/>
                <w:w w:val="92"/>
              </w:rPr>
              <w:t>Amount of Gain or (Loss) Recognized in Accumulated Other</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4"/>
          </w:tcPr>
          <w:p>
            <w:pPr>
              <w:jc w:val="right"/>
              <w:ind w:right="468"/>
              <w:spacing w:after="0"/>
              <w:rPr>
                <w:sz w:val="20"/>
                <w:szCs w:val="20"/>
                <w:color w:val="auto"/>
              </w:rPr>
            </w:pPr>
            <w:r>
              <w:rPr>
                <w:rFonts w:ascii="Arial" w:cs="Arial" w:eastAsia="Arial" w:hAnsi="Arial"/>
                <w:sz w:val="14"/>
                <w:szCs w:val="14"/>
                <w:b w:val="1"/>
                <w:bCs w:val="1"/>
                <w:color w:val="auto"/>
                <w:w w:val="98"/>
              </w:rPr>
              <w:t>Comprehensive Income (Effective Portion)</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7"/>
          </w:tcPr>
          <w:p>
            <w:pPr>
              <w:ind w:left="120"/>
              <w:spacing w:after="0" w:line="153" w:lineRule="exact"/>
              <w:rPr>
                <w:sz w:val="20"/>
                <w:szCs w:val="20"/>
                <w:color w:val="auto"/>
              </w:rPr>
            </w:pPr>
            <w:r>
              <w:rPr>
                <w:rFonts w:ascii="Arial" w:cs="Arial" w:eastAsia="Arial" w:hAnsi="Arial"/>
                <w:sz w:val="14"/>
                <w:szCs w:val="14"/>
                <w:b w:val="1"/>
                <w:bCs w:val="1"/>
                <w:color w:val="auto"/>
                <w:w w:val="94"/>
              </w:rPr>
              <w:t>For the Three Months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5"/>
          </w:tcPr>
          <w:p>
            <w:pPr>
              <w:jc w:val="center"/>
              <w:spacing w:after="0" w:line="153" w:lineRule="exact"/>
              <w:rPr>
                <w:sz w:val="20"/>
                <w:szCs w:val="20"/>
                <w:color w:val="auto"/>
              </w:rPr>
            </w:pPr>
            <w:r>
              <w:rPr>
                <w:rFonts w:ascii="Arial" w:cs="Arial" w:eastAsia="Arial" w:hAnsi="Arial"/>
                <w:sz w:val="14"/>
                <w:szCs w:val="14"/>
                <w:b w:val="1"/>
                <w:bCs w:val="1"/>
                <w:color w:val="auto"/>
                <w:w w:val="93"/>
              </w:rPr>
              <w:t>For the Six Months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9"/>
              </w:rPr>
              <w:t>Ended June 30,</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Ended June 30,</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Derivatives Designated in Hedging Relationships</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86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Consolidated Statements of Operations within other expense. As of June 30, 2013, the Company had the following outstanding foreign currency derivatives that were used to hedge its net investments in foreign operations that were not designated: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Derivative Type</w:t>
            </w:r>
          </w:p>
        </w:tc>
        <w:tc>
          <w:tcPr>
            <w:tcW w:w="3980" w:type="dxa"/>
            <w:vAlign w:val="bottom"/>
          </w:tcPr>
          <w:p>
            <w:pPr>
              <w:ind w:left="2920"/>
              <w:spacing w:after="0"/>
              <w:rPr>
                <w:sz w:val="20"/>
                <w:szCs w:val="20"/>
                <w:color w:val="auto"/>
              </w:rPr>
            </w:pPr>
            <w:r>
              <w:rPr>
                <w:rFonts w:ascii="Arial" w:cs="Arial" w:eastAsia="Arial" w:hAnsi="Arial"/>
                <w:sz w:val="14"/>
                <w:szCs w:val="14"/>
                <w:b w:val="1"/>
                <w:bCs w:val="1"/>
                <w:color w:val="auto"/>
              </w:rPr>
              <w:t>Notional</w:t>
            </w:r>
          </w:p>
        </w:tc>
        <w:tc>
          <w:tcPr>
            <w:tcW w:w="206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Notional</w:t>
            </w:r>
          </w:p>
        </w:tc>
        <w:tc>
          <w:tcPr>
            <w:tcW w:w="100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99"/>
              </w:rPr>
              <w:t>Maturity</w:t>
            </w:r>
          </w:p>
        </w:tc>
        <w:tc>
          <w:tcPr>
            <w:tcW w:w="0" w:type="dxa"/>
            <w:vAlign w:val="bottom"/>
          </w:tcPr>
          <w:p>
            <w:pPr>
              <w:spacing w:after="0"/>
              <w:rPr>
                <w:sz w:val="1"/>
                <w:szCs w:val="1"/>
                <w:color w:val="auto"/>
              </w:rPr>
            </w:pPr>
          </w:p>
        </w:tc>
      </w:tr>
      <w:tr>
        <w:trPr>
          <w:trHeight w:val="186"/>
        </w:trPr>
        <w:tc>
          <w:tcPr>
            <w:tcW w:w="3920" w:type="dxa"/>
            <w:vAlign w:val="bottom"/>
            <w:vMerge w:val="continue"/>
          </w:tcPr>
          <w:p>
            <w:pPr>
              <w:spacing w:after="0"/>
              <w:rPr>
                <w:sz w:val="16"/>
                <w:szCs w:val="16"/>
                <w:color w:val="auto"/>
              </w:rPr>
            </w:pPr>
          </w:p>
        </w:tc>
        <w:tc>
          <w:tcPr>
            <w:tcW w:w="3980" w:type="dxa"/>
            <w:vAlign w:val="bottom"/>
          </w:tcPr>
          <w:p>
            <w:pPr>
              <w:ind w:left="2940"/>
              <w:spacing w:after="0"/>
              <w:rPr>
                <w:sz w:val="20"/>
                <w:szCs w:val="20"/>
                <w:color w:val="auto"/>
              </w:rPr>
            </w:pPr>
            <w:r>
              <w:rPr>
                <w:rFonts w:ascii="Arial" w:cs="Arial" w:eastAsia="Arial" w:hAnsi="Arial"/>
                <w:sz w:val="14"/>
                <w:szCs w:val="14"/>
                <w:b w:val="1"/>
                <w:bCs w:val="1"/>
                <w:color w:val="auto"/>
              </w:rPr>
              <w:t>Amount</w:t>
            </w:r>
          </w:p>
        </w:tc>
        <w:tc>
          <w:tcPr>
            <w:tcW w:w="206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(USD Equivalent)</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2947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Sells EUR/Buys USD Forward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Sells GBP/Buys USD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Sells CAD/Buys USD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40" w:type="dxa"/>
            <w:vAlign w:val="bottom"/>
          </w:tcPr>
          <w:p>
            <w:pPr>
              <w:jc w:val="center"/>
              <w:ind w:left="508"/>
              <w:spacing w:after="0"/>
              <w:rPr>
                <w:sz w:val="20"/>
                <w:szCs w:val="20"/>
                <w:color w:val="auto"/>
              </w:rPr>
            </w:pPr>
            <w:r>
              <w:rPr>
                <w:rFonts w:ascii="Arial" w:cs="Arial" w:eastAsia="Arial" w:hAnsi="Arial"/>
                <w:sz w:val="14"/>
                <w:szCs w:val="14"/>
                <w:b w:val="1"/>
                <w:bCs w:val="1"/>
                <w:color w:val="auto"/>
                <w:w w:val="95"/>
              </w:rPr>
              <w:t>Location of Gain or</w:t>
            </w:r>
          </w:p>
        </w:tc>
        <w:tc>
          <w:tcPr>
            <w:tcW w:w="0" w:type="dxa"/>
            <w:vAlign w:val="bottom"/>
          </w:tcPr>
          <w:p>
            <w:pPr>
              <w:spacing w:after="0"/>
              <w:rPr>
                <w:sz w:val="1"/>
                <w:szCs w:val="1"/>
                <w:color w:val="auto"/>
              </w:rPr>
            </w:pPr>
          </w:p>
        </w:tc>
      </w:tr>
      <w:tr>
        <w:trPr>
          <w:trHeight w:val="149"/>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in Hedging Relationships</w:t>
            </w:r>
          </w:p>
        </w:tc>
        <w:tc>
          <w:tcPr>
            <w:tcW w:w="184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0" w:type="dxa"/>
            <w:vAlign w:val="bottom"/>
          </w:tcPr>
          <w:p>
            <w:pPr>
              <w:spacing w:after="0"/>
              <w:rPr>
                <w:sz w:val="1"/>
                <w:szCs w:val="1"/>
                <w:color w:val="auto"/>
              </w:rPr>
            </w:pPr>
          </w:p>
        </w:tc>
      </w:tr>
      <w:tr>
        <w:trPr>
          <w:trHeight w:val="186"/>
        </w:trPr>
        <w:tc>
          <w:tcPr>
            <w:tcW w:w="3800" w:type="dxa"/>
            <w:vAlign w:val="bottom"/>
            <w:vMerge w:val="continue"/>
          </w:tcPr>
          <w:p>
            <w:pPr>
              <w:spacing w:after="0"/>
              <w:rPr>
                <w:sz w:val="16"/>
                <w:szCs w:val="16"/>
                <w:color w:val="auto"/>
              </w:rPr>
            </w:pPr>
          </w:p>
        </w:tc>
        <w:tc>
          <w:tcPr>
            <w:tcW w:w="1840" w:type="dxa"/>
            <w:vAlign w:val="bottom"/>
          </w:tcPr>
          <w:p>
            <w:pPr>
              <w:jc w:val="center"/>
              <w:ind w:left="508"/>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2947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84,400</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109,831</w:t>
            </w:r>
          </w:p>
        </w:tc>
        <w:tc>
          <w:tcPr>
            <w:tcW w:w="1120" w:type="dxa"/>
            <w:vAlign w:val="bottom"/>
          </w:tcPr>
          <w:p>
            <w:pPr>
              <w:ind w:left="420"/>
              <w:spacing w:after="0"/>
              <w:rPr>
                <w:sz w:val="20"/>
                <w:szCs w:val="20"/>
                <w:color w:val="auto"/>
              </w:rPr>
            </w:pPr>
            <w:r>
              <w:rPr>
                <w:rFonts w:ascii="Arial" w:cs="Arial" w:eastAsia="Arial" w:hAnsi="Arial"/>
                <w:sz w:val="18"/>
                <w:szCs w:val="18"/>
                <w:color w:val="auto"/>
                <w:w w:val="88"/>
              </w:rPr>
              <w:t>July 2013</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27,900</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42,421</w:t>
            </w:r>
          </w:p>
        </w:tc>
        <w:tc>
          <w:tcPr>
            <w:tcW w:w="1120" w:type="dxa"/>
            <w:vAlign w:val="bottom"/>
          </w:tcPr>
          <w:p>
            <w:pPr>
              <w:ind w:left="420"/>
              <w:spacing w:after="0"/>
              <w:rPr>
                <w:sz w:val="20"/>
                <w:szCs w:val="20"/>
                <w:color w:val="auto"/>
              </w:rPr>
            </w:pPr>
            <w:r>
              <w:rPr>
                <w:rFonts w:ascii="Arial" w:cs="Arial" w:eastAsia="Arial" w:hAnsi="Arial"/>
                <w:sz w:val="18"/>
                <w:szCs w:val="18"/>
                <w:color w:val="auto"/>
                <w:w w:val="88"/>
              </w:rPr>
              <w:t>July 2013</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C$</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43,150</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41,042</w:t>
            </w:r>
          </w:p>
        </w:tc>
        <w:tc>
          <w:tcPr>
            <w:tcW w:w="1120" w:type="dxa"/>
            <w:vAlign w:val="bottom"/>
          </w:tcPr>
          <w:p>
            <w:pPr>
              <w:ind w:left="420"/>
              <w:spacing w:after="0"/>
              <w:rPr>
                <w:sz w:val="20"/>
                <w:szCs w:val="20"/>
                <w:color w:val="auto"/>
              </w:rPr>
            </w:pPr>
            <w:r>
              <w:rPr>
                <w:rFonts w:ascii="Arial" w:cs="Arial" w:eastAsia="Arial" w:hAnsi="Arial"/>
                <w:sz w:val="18"/>
                <w:szCs w:val="18"/>
                <w:color w:val="auto"/>
                <w:w w:val="88"/>
              </w:rPr>
              <w:t>July 2013</w:t>
            </w:r>
          </w:p>
        </w:tc>
      </w:tr>
    </w:tbl>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 of Gain or (Loss)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Recognized 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378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 the Three Months</w:t>
            </w:r>
          </w:p>
        </w:tc>
        <w:tc>
          <w:tcPr>
            <w:tcW w:w="2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Six Months</w:t>
            </w:r>
          </w:p>
        </w:tc>
      </w:tr>
      <w:tr>
        <w:trPr>
          <w:trHeight w:val="192"/>
        </w:trPr>
        <w:tc>
          <w:tcPr>
            <w:tcW w:w="820" w:type="dxa"/>
            <w:vAlign w:val="bottom"/>
          </w:tcPr>
          <w:p>
            <w:pPr>
              <w:spacing w:after="0"/>
              <w:rPr>
                <w:sz w:val="16"/>
                <w:szCs w:val="16"/>
                <w:color w:val="auto"/>
              </w:rPr>
            </w:pPr>
          </w:p>
        </w:tc>
        <w:tc>
          <w:tcPr>
            <w:tcW w:w="19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Ended June 30,</w:t>
            </w:r>
          </w:p>
        </w:tc>
        <w:tc>
          <w:tcPr>
            <w:tcW w:w="800" w:type="dxa"/>
            <w:vAlign w:val="bottom"/>
          </w:tcPr>
          <w:p>
            <w:pPr>
              <w:spacing w:after="0"/>
              <w:rPr>
                <w:sz w:val="16"/>
                <w:szCs w:val="16"/>
                <w:color w:val="auto"/>
              </w:rPr>
            </w:pPr>
          </w:p>
        </w:tc>
        <w:tc>
          <w:tcPr>
            <w:tcW w:w="178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Ended June 30,</w:t>
            </w:r>
          </w:p>
        </w:tc>
      </w:tr>
      <w:tr>
        <w:trPr>
          <w:trHeight w:val="258"/>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80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7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r>
    </w:tbl>
    <w:p>
      <w:pPr>
        <w:spacing w:after="0" w:line="38" w:lineRule="exact"/>
        <w:rPr>
          <w:sz w:val="20"/>
          <w:szCs w:val="20"/>
          <w:color w:val="auto"/>
        </w:rPr>
      </w:pPr>
    </w:p>
    <w:p>
      <w:pPr>
        <w:sectPr>
          <w:pgSz w:w="11900" w:h="16838" w:orient="portrait"/>
          <w:cols w:equalWidth="0" w:num="2">
            <w:col w:w="5680" w:space="400"/>
            <w:col w:w="5340"/>
          </w:cols>
          <w:pgMar w:left="240" w:top="121" w:right="239" w:bottom="1440" w:gutter="0" w:footer="0" w:header="0"/>
          <w:type w:val="continuous"/>
        </w:sectPr>
      </w:pPr>
    </w:p>
    <w:p>
      <w:pPr>
        <w:ind w:left="40"/>
        <w:spacing w:after="0"/>
        <w:tabs>
          <w:tab w:leader="none" w:pos="4140" w:val="left"/>
          <w:tab w:leader="none" w:pos="6100" w:val="left"/>
          <w:tab w:leader="none" w:pos="6900" w:val="left"/>
          <w:tab w:leader="none" w:pos="7480" w:val="left"/>
          <w:tab w:leader="none" w:pos="8080" w:val="left"/>
          <w:tab w:leader="none" w:pos="8820" w:val="left"/>
          <w:tab w:leader="none" w:pos="9520" w:val="left"/>
          <w:tab w:leader="none" w:pos="10180" w:val="left"/>
          <w:tab w:leader="none" w:pos="1088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Other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(414)</w:t>
        <w:tab/>
        <w:t>$</w:t>
      </w:r>
      <w:r>
        <w:rPr>
          <w:sz w:val="20"/>
          <w:szCs w:val="20"/>
          <w:color w:val="auto"/>
        </w:rPr>
        <w:tab/>
      </w:r>
      <w:r>
        <w:rPr>
          <w:rFonts w:ascii="Arial" w:cs="Arial" w:eastAsia="Arial" w:hAnsi="Arial"/>
          <w:sz w:val="18"/>
          <w:szCs w:val="18"/>
          <w:color w:val="auto"/>
        </w:rPr>
        <w:t>10,191</w:t>
        <w:tab/>
        <w:t>$</w:t>
      </w:r>
      <w:r>
        <w:rPr>
          <w:sz w:val="20"/>
          <w:szCs w:val="20"/>
          <w:color w:val="auto"/>
        </w:rPr>
        <w:tab/>
      </w:r>
      <w:r>
        <w:rPr>
          <w:rFonts w:ascii="Arial" w:cs="Arial" w:eastAsia="Arial" w:hAnsi="Arial"/>
          <w:sz w:val="18"/>
          <w:szCs w:val="18"/>
          <w:color w:val="auto"/>
        </w:rPr>
        <w:t>9,742</w:t>
        <w:tab/>
        <w:t>$</w:t>
      </w:r>
      <w:r>
        <w:rPr>
          <w:sz w:val="20"/>
          <w:szCs w:val="20"/>
          <w:color w:val="auto"/>
        </w:rPr>
        <w:tab/>
      </w:r>
      <w:r>
        <w:rPr>
          <w:rFonts w:ascii="Arial" w:cs="Arial" w:eastAsia="Arial" w:hAnsi="Arial"/>
          <w:sz w:val="15"/>
          <w:szCs w:val="15"/>
          <w:color w:val="auto"/>
        </w:rPr>
        <w:t>1,332</w:t>
      </w:r>
    </w:p>
    <w:p>
      <w:pPr>
        <w:spacing w:after="0" w:line="2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marks its foreign investments to market each quarter based on current exchange rates and records the gain or loss through “Other expense” on its Consolidated Statements of Operations for loan investments or “Accumulated comprehensive income,” on its Consolidated Balance Sheets for net investments in foreign subsidiaries. The Company recorded net losses related to foreign investments of $0.4 million and $0.1 million during the three months ended June 30, 2013 and 2012, respectively, and $0.5 million and $0.1 million during the six months ended June 30, 2013 and 2012, respectively, in its Consolidated Statements of Operations.</w:t>
      </w:r>
    </w:p>
    <w:p>
      <w:pPr>
        <w:spacing w:after="0" w:line="14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Qualifying Cash Flow Hedges</w:t>
      </w:r>
      <w:r>
        <w:rPr>
          <w:rFonts w:ascii="Arial" w:cs="Arial" w:eastAsia="Arial" w:hAnsi="Arial"/>
          <w:sz w:val="18"/>
          <w:szCs w:val="18"/>
          <w:color w:val="auto"/>
        </w:rPr>
        <w:t>—In October 2012, the Company entered into an interest rate swap to convert its variable rate debt to fixed rate on a</w:t>
      </w:r>
      <w:r>
        <w:rPr>
          <w:rFonts w:ascii="Arial" w:cs="Arial" w:eastAsia="Arial" w:hAnsi="Arial"/>
          <w:sz w:val="18"/>
          <w:szCs w:val="18"/>
          <w:b w:val="1"/>
          <w:bCs w:val="1"/>
          <w:color w:val="auto"/>
        </w:rPr>
        <w:t xml:space="preserve"> </w:t>
      </w:r>
      <w:r>
        <w:rPr>
          <w:rFonts w:ascii="Arial" w:cs="Arial" w:eastAsia="Arial" w:hAnsi="Arial"/>
          <w:sz w:val="18"/>
          <w:szCs w:val="18"/>
          <w:color w:val="auto"/>
        </w:rPr>
        <w:t>$28.0 million secured term loan maturing in 2019. The following table presents the Company's interest rate swap outstanding as of June 30, 2013 ($ in thousands).</w:t>
      </w:r>
    </w:p>
    <w:p>
      <w:pPr>
        <w:spacing w:after="0" w:line="28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Notional</w:t>
            </w: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2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2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LIBOR + 2.00%</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Over the next 12 months, the Company expects that $0.8 million will be reclassified to interest expense from the existing swap and $0.6 million will be reclassified to income related to terminated cash flow hedges from "Accumulated other comprehensive income (loss)" into earnings.</w:t>
      </w:r>
    </w:p>
    <w:p>
      <w:pPr>
        <w:spacing w:after="0" w:line="10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either defaults or is capable of being declared in default on any of its indebtedness, then the Company could also be declared in default on its derivative obligations.</w:t>
      </w:r>
    </w:p>
    <w:p>
      <w:pPr>
        <w:spacing w:after="0" w:line="14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its foreign currency derivatives, as of June 30, 2013 and December 31, 2012, the Company has posted collateral of $11.2 million and $9.6 million, respectively, which is included in "Restricted cash"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Preferred Stock</w:t>
      </w:r>
      <w:r>
        <w:rPr>
          <w:rFonts w:ascii="Arial" w:cs="Arial" w:eastAsia="Arial" w:hAnsi="Arial"/>
          <w:sz w:val="18"/>
          <w:szCs w:val="18"/>
          <w:color w:val="auto"/>
        </w:rPr>
        <w:t>—The Company had the following series of Cumulative Redeemable Preferred Stock outstanding as of June 30, 2013:</w:t>
      </w:r>
    </w:p>
    <w:p>
      <w:pPr>
        <w:spacing w:after="0" w:line="3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Cumulative Preferential Cash</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Dividends(1)(2)</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Liquidation</w:t>
            </w: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3"/>
              </w:rPr>
              <w:t>Equivalent to</w:t>
            </w:r>
          </w:p>
        </w:tc>
        <w:tc>
          <w:tcPr>
            <w:tcW w:w="0" w:type="dxa"/>
            <w:vAlign w:val="bottom"/>
          </w:tcPr>
          <w:p>
            <w:pPr>
              <w:spacing w:after="0"/>
              <w:rPr>
                <w:sz w:val="1"/>
                <w:szCs w:val="1"/>
                <w:color w:val="auto"/>
              </w:rPr>
            </w:pPr>
          </w:p>
        </w:tc>
      </w:tr>
      <w:tr>
        <w:trPr>
          <w:trHeight w:val="149"/>
        </w:trPr>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Series</w:t>
            </w:r>
          </w:p>
        </w:tc>
        <w:tc>
          <w:tcPr>
            <w:tcW w:w="120" w:type="dxa"/>
            <w:vAlign w:val="bottom"/>
            <w:vMerge w:val="restart"/>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Rate per Annum</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Fixed Annual</w:t>
            </w:r>
          </w:p>
        </w:tc>
        <w:tc>
          <w:tcPr>
            <w:tcW w:w="0" w:type="dxa"/>
            <w:vAlign w:val="bottom"/>
          </w:tcPr>
          <w:p>
            <w:pPr>
              <w:spacing w:after="0"/>
              <w:rPr>
                <w:sz w:val="1"/>
                <w:szCs w:val="1"/>
                <w:color w:val="auto"/>
              </w:rPr>
            </w:pPr>
          </w:p>
        </w:tc>
      </w:tr>
      <w:tr>
        <w:trPr>
          <w:trHeight w:val="192"/>
        </w:trPr>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Rate (per share)</w:t>
            </w:r>
          </w:p>
        </w:tc>
        <w:tc>
          <w:tcPr>
            <w:tcW w:w="0" w:type="dxa"/>
            <w:vAlign w:val="bottom"/>
          </w:tcPr>
          <w:p>
            <w:pPr>
              <w:spacing w:after="0"/>
              <w:rPr>
                <w:sz w:val="1"/>
                <w:szCs w:val="1"/>
                <w:color w:val="auto"/>
              </w:rPr>
            </w:pPr>
          </w:p>
        </w:tc>
      </w:tr>
      <w:tr>
        <w:trPr>
          <w:trHeight w:val="250"/>
        </w:trPr>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D</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E</w:t>
            </w: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5,600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w:t>
            </w: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3,200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1420" w:type="dxa"/>
            <w:vAlign w:val="bottom"/>
            <w:gridSpan w:val="2"/>
          </w:tcPr>
          <w:p>
            <w:pPr>
              <w:jc w:val="center"/>
              <w:ind w:right="120"/>
              <w:spacing w:after="0"/>
              <w:rPr>
                <w:sz w:val="20"/>
                <w:szCs w:val="20"/>
                <w:color w:val="auto"/>
              </w:rPr>
            </w:pPr>
            <w:r>
              <w:rPr>
                <w:rFonts w:ascii="Arial" w:cs="Arial" w:eastAsia="Arial" w:hAnsi="Arial"/>
                <w:sz w:val="17"/>
                <w:szCs w:val="17"/>
                <w:color w:val="auto"/>
                <w:w w:val="70"/>
              </w:rPr>
              <w:t>J</w:t>
            </w: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44"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660" w:right="20" w:hanging="652"/>
        <w:spacing w:after="0" w:line="276" w:lineRule="auto"/>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declared and paid dividends of $4.0 million, $5.5 million, $3.9 million, $3.1 million, and $4.7 million on its Series D, E, F, G, and I preferred stock, respectively, during each of the six months ended June 30, 2013 and 2012. The Company also declared and paid dividends of $2.2 million on its Series J preferred stock during the six months ended June 30, 2013. All of the dividends qualified as return of capital for tax reporting purposes. There are no dividend arrearages on any of the preferred shares currently outstanding.</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March 2013, the Company completed a public offering of $200.0 million of its 4.5% Series J Cumulative Convertible Perpetual Preferred Stock, having a liquidation preference of $50.00 per share. 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13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—In order to maintain its election to qualify as a REIT, the Company must currently distribute, at a minimum, an amount equal to 90% of its</w:t>
      </w:r>
      <w:r>
        <w:rPr>
          <w:rFonts w:ascii="Arial" w:cs="Arial" w:eastAsia="Arial" w:hAnsi="Arial"/>
          <w:sz w:val="16"/>
          <w:szCs w:val="16"/>
          <w:b w:val="1"/>
          <w:bCs w:val="1"/>
          <w:color w:val="auto"/>
        </w:rPr>
        <w:t xml:space="preserve"> </w:t>
      </w:r>
      <w:r>
        <w:rPr>
          <w:rFonts w:ascii="Arial" w:cs="Arial" w:eastAsia="Arial" w:hAnsi="Arial"/>
          <w:sz w:val="16"/>
          <w:szCs w:val="16"/>
          <w:color w:val="auto"/>
        </w:rPr>
        <w:t>taxable 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December 31, 2011, the Company had $423.9 million of net operating loss carryforwards at the corporate REIT level that can generally be used to offset both ordinary and capital taxable income in future years and will expire through 2031 if unused. The amount net of operating loss carryforwards as of June 30, 2013 will be subject to finalization of the 2012 and 2013 tax returns.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Company's 2013 and 2012 Secured Credit Facilities permit the Company to distribute 100% of its REIT taxable income on an annual basis, for so long as the Company maintains its qualification as a REIT. The 2013 and 2012 Secured Credit Facilities restrict the Company from paying any common dividends if it ceases to qualify as a REIT. The Company did not declare or pay any Common Stock dividends for the six months ended June 30, 2013 and 2012.</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Stock Repurchase Programs</w:t>
      </w:r>
      <w:r>
        <w:rPr>
          <w:rFonts w:ascii="Arial" w:cs="Arial" w:eastAsia="Arial" w:hAnsi="Arial"/>
          <w:sz w:val="16"/>
          <w:szCs w:val="16"/>
          <w:color w:val="auto"/>
        </w:rPr>
        <w:t>—On May 15, 2012, the Company's Board of Directors approved a stock repurchase program that authorized the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of up to $20.0 million of its Common Stock in open market and privately negotiated purchases, including pursuant to one or more trading plans. As of June 30, 2013, the Company had $16.0 million available to repurchase Common Stock under its Board authorized stock repurchase programs.</w:t>
      </w:r>
    </w:p>
    <w:p>
      <w:pPr>
        <w:spacing w:after="0" w:line="102" w:lineRule="exact"/>
        <w:rPr>
          <w:sz w:val="20"/>
          <w:szCs w:val="20"/>
          <w:color w:val="auto"/>
        </w:rPr>
      </w:pPr>
    </w:p>
    <w:p>
      <w:pPr>
        <w:jc w:val="both"/>
        <w:ind w:right="20" w:firstLine="405"/>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2013</w:t>
            </w:r>
          </w:p>
        </w:tc>
        <w:tc>
          <w:tcPr>
            <w:tcW w:w="200" w:type="dxa"/>
            <w:vAlign w:val="bottom"/>
          </w:tcPr>
          <w:p>
            <w:pPr>
              <w:spacing w:after="0"/>
              <w:rPr>
                <w:sz w:val="22"/>
                <w:szCs w:val="22"/>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securities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Unrealized gains on cash flow hedges</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607</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w:t>
      </w:r>
    </w:p>
    <w:p>
      <w:pPr>
        <w:spacing w:after="0" w:line="185"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recorded stock-based compensation expense of $4.7 million and $3.4 million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June 30, 2013 and 2012, respectively, and $9.9 million and $8.1 million for the six months ended June 30, 2013 and 2012, respectively, in "General and administrative" on the Company's Consolidated Statements of Operations. As of June 30, 2013, there was $9.1 million of total unrecognized compensation cost related to all unvested restricted stock units that is expected to be recognized over a weighted average remaining vesting/service period of 0.82 years.</w:t>
      </w:r>
    </w:p>
    <w:p>
      <w:pPr>
        <w:spacing w:after="0" w:line="11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2013, an aggregate of 4.0 million shares remain available for issuance pursuant to future awards under the Company's 2006 and 2009 Long-Term Incentive Plans.</w:t>
      </w:r>
    </w:p>
    <w:p>
      <w:pPr>
        <w:spacing w:after="0" w:line="13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2013 Activity</w:t>
      </w:r>
      <w:r>
        <w:rPr>
          <w:rFonts w:ascii="Arial" w:cs="Arial" w:eastAsia="Arial" w:hAnsi="Arial"/>
          <w:sz w:val="17"/>
          <w:szCs w:val="17"/>
          <w:color w:val="auto"/>
        </w:rPr>
        <w:t>—During the six months ended June 30, 2013, 3,004,474 restricted stock units vested and 1,536,781 were issued to employees, net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statutory minimum required tax withholdings. These vested restricted stock units were primarily comprised of 1,719,304 Amended Units which vested on January 1, 2013 (see below), 185,720 service-based restricted stock units granted to employees in February 2011 that cliff vested on February 11, 2013, 164,685 of annual incentive restricted stock units granted to employees and vested in February 2013 (see below), 313,334 service-based restricted stock units granted to employees in March 2011 that cliff vested on March 20, 2013, and 600,000 service-based restricted stock units granted to the Company's Chairman and Chief Executive Officer in October 2011 that vested on June 15, 2013.</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six months ended June 30, 2013, the Company made stock-based compensation awards to certain employees in the form of annual incentive awards and long-term incentive awards:</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February 1, 2013, the Company granted 164,685 shares of our Common Stock in connection with annual incentive awards. The shares are fully-vested and were issued to certain employees, net of statutory minimum required tax withholdings. The employees are restricted from selling these shares for up to two years from the date of grant.</w:t>
      </w:r>
    </w:p>
    <w:p>
      <w:pPr>
        <w:spacing w:after="0" w:line="14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Effective February 1, 2013, the Company also granted service-based restricted stock units, or Units, representing the right to receive an equivalent number of shares of our Common Stock (after deducting shares for minimum required statutory withholdings) if and when the Units vest. The Units will cliff vest in one installment three years from the grant date, if the employee remains employed by the Company on the vesting date, subject to certain accelerated vesting rights. Dividends will accrue but will not be paid unless and until the Units vest and are settled. As of June 30, 2013, 197,564 units were outstanding.</w:t>
      </w:r>
    </w:p>
    <w:p>
      <w:pPr>
        <w:spacing w:after="0" w:line="11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Effective February 1, 2013, the Company also granted performance-based Units based on the Company's total shareholder return, or TSR, measured over the one-year and two-year performance periods ending on the vesting dates, respectively. Vesting will range from 0% to 200% of the target amount of the awards, depending on the Company's TSR performance relative to the NAREIT All REITs Index (one-half of the target amount of the award) and the Russell 2000 Index (one-half of the target amount of the award). The Company and any companies not included in the index at the beginning and end of the performance period are excluded from calculation of the performance of such index. To the extent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Dividends will accrue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0.26% for risk-free interest rate and 50.44% for expected stock price volatility. As of June 30, 2013, 97,835 units with a vesting date on December 31, 2013, and 195,672 units with a vesting date on December 31, 2014 were outstanding.</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2013, the Company also had the following restricted stock awards outstanding:</w:t>
      </w:r>
    </w:p>
    <w:p>
      <w:pPr>
        <w:spacing w:after="0" w:line="185" w:lineRule="exact"/>
        <w:rPr>
          <w:sz w:val="20"/>
          <w:szCs w:val="20"/>
          <w:color w:val="auto"/>
        </w:rPr>
      </w:pPr>
    </w:p>
    <w:p>
      <w:pPr>
        <w:jc w:val="both"/>
        <w:ind w:left="660" w:hanging="247"/>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600,000 service-based restricted stock units granted to the Company's Chairman and Chief Executive Officer that will vest on June 15, 2014. Upon vesting of these units, the holder will receive shares of the Company's Common Stock in the amount of the vested units, net of statutory minimum required tax withholdings. These awards carry dividend equivalent rights that entitle the holder to receive dividend payments prior to vesting, if and when dividends are paid on shares of the Company's Common Stock.</w:t>
      </w:r>
    </w:p>
    <w:p>
      <w:pPr>
        <w:spacing w:after="0" w:line="146" w:lineRule="exact"/>
        <w:rPr>
          <w:rFonts w:ascii="Arial" w:cs="Arial" w:eastAsia="Arial" w:hAnsi="Arial"/>
          <w:sz w:val="18"/>
          <w:szCs w:val="18"/>
          <w:color w:val="auto"/>
        </w:rPr>
      </w:pPr>
    </w:p>
    <w:p>
      <w:pPr>
        <w:jc w:val="both"/>
        <w:ind w:left="660" w:hanging="247"/>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1,686,303 restricted stock units originally granted to executives and other officers of the Company on December 19, 2008 (the "Original Units") and subsequently modified in July 2011 (the "Amended Units"). The number of Amended Units is equal to 75% of the Original Units granted to an employee </w:t>
      </w:r>
      <w:r>
        <w:rPr>
          <w:rFonts w:ascii="Arial" w:cs="Arial" w:eastAsia="Arial" w:hAnsi="Arial"/>
          <w:sz w:val="18"/>
          <w:szCs w:val="18"/>
          <w:i w:val="1"/>
          <w:iCs w:val="1"/>
          <w:color w:val="auto"/>
        </w:rPr>
        <w:t>less</w:t>
      </w:r>
      <w:r>
        <w:rPr>
          <w:rFonts w:ascii="Arial" w:cs="Arial" w:eastAsia="Arial" w:hAnsi="Arial"/>
          <w:sz w:val="18"/>
          <w:szCs w:val="18"/>
          <w:color w:val="auto"/>
        </w:rPr>
        <w:t>, in the case of each executive level employee, the number of restricted stock units granted to the executive in March 2011. The remaining Amended Units will vest on January 1, 2014, so long as the employee remains employed by the Company on the vesting dates, subject to certain accelerated vesting rights in the event of termination of employment without cause.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51"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143,998 service-based restricted stock units granted to employees with original vesting terms ranging from one year to four years.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42"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Directors' Awards</w:t>
      </w:r>
      <w:r>
        <w:rPr>
          <w:rFonts w:ascii="Arial" w:cs="Arial" w:eastAsia="Arial" w:hAnsi="Arial"/>
          <w:sz w:val="17"/>
          <w:szCs w:val="17"/>
          <w:color w:val="auto"/>
        </w:rPr>
        <w:t>—During the six months ended June 30, 2013, the Company awarded to Directors 33,474 common share equivalents ("CSEs")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at a fair value per share of $12.30 at the time of grant. These CSEs and restricted shares have a one year vesting period and pay dividends in an amount equal to the dividends paid on the equivalent number of shares of the Company's Common stock from the date of grant, as and when dividends are paid on Common Stock. In addition, during the six months ended June 30, 2013, the Company issued 51,091 shares to a former director in settlement of previously vested CSE awards. As of June 30, 2013, there were 316,548 CSEs and restricted shares granted to members of the Company's Board of Directors that remained outstanding with an aggregate intrinsic value of $3.6 million.</w:t>
      </w:r>
    </w:p>
    <w:p>
      <w:pPr>
        <w:spacing w:after="0" w:line="133"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approximately $0.1 million and $0.1 million for the three months ended June 30, 2013 and</w:t>
      </w:r>
      <w:r>
        <w:rPr>
          <w:rFonts w:ascii="Arial" w:cs="Arial" w:eastAsia="Arial" w:hAnsi="Arial"/>
          <w:sz w:val="18"/>
          <w:szCs w:val="18"/>
          <w:b w:val="1"/>
          <w:bCs w:val="1"/>
          <w:color w:val="auto"/>
        </w:rPr>
        <w:t xml:space="preserve"> </w:t>
      </w:r>
      <w:r>
        <w:rPr>
          <w:rFonts w:ascii="Arial" w:cs="Arial" w:eastAsia="Arial" w:hAnsi="Arial"/>
          <w:sz w:val="18"/>
          <w:szCs w:val="18"/>
          <w:color w:val="auto"/>
        </w:rPr>
        <w:t>2012, respectively and $0.7 million and $0.7 million for the six months ended June 30, 2013 and 2012,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These HPU units are treated as a separate class of common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earnings per share calculations ($ in thousands, except for per share data):</w:t>
      </w:r>
    </w:p>
    <w:p>
      <w:pPr>
        <w:spacing w:after="0" w:line="27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For the Three Months</w:t>
            </w:r>
          </w:p>
        </w:tc>
        <w:tc>
          <w:tcPr>
            <w:tcW w:w="260" w:type="dxa"/>
            <w:vAlign w:val="bottom"/>
          </w:tcPr>
          <w:p>
            <w:pPr>
              <w:spacing w:after="0"/>
              <w:rPr>
                <w:sz w:val="14"/>
                <w:szCs w:val="14"/>
                <w:color w:val="auto"/>
              </w:rPr>
            </w:pPr>
          </w:p>
        </w:tc>
        <w:tc>
          <w:tcPr>
            <w:tcW w:w="214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Ended June 30,</w:t>
            </w:r>
          </w:p>
        </w:tc>
        <w:tc>
          <w:tcPr>
            <w:tcW w:w="260" w:type="dxa"/>
            <w:vAlign w:val="bottom"/>
          </w:tcPr>
          <w:p>
            <w:pPr>
              <w:spacing w:after="0"/>
              <w:rPr>
                <w:sz w:val="16"/>
                <w:szCs w:val="16"/>
                <w:color w:val="auto"/>
              </w:rPr>
            </w:pPr>
          </w:p>
        </w:tc>
        <w:tc>
          <w:tcPr>
            <w:tcW w:w="214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(130,293)</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sales of residential property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19,999</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Preferred dividends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attributable to iStar</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Financial Inc. and allocable to common shareholders, HPU holders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(34,822)</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(85,065)</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(83,450)</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(130,758)</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Participating Security Holders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For the Three Months</w:t>
            </w:r>
          </w:p>
        </w:tc>
        <w:tc>
          <w:tcPr>
            <w:tcW w:w="260" w:type="dxa"/>
            <w:vAlign w:val="bottom"/>
          </w:tcPr>
          <w:p>
            <w:pPr>
              <w:spacing w:after="0"/>
              <w:rPr>
                <w:sz w:val="23"/>
                <w:szCs w:val="23"/>
                <w:color w:val="auto"/>
              </w:rPr>
            </w:pPr>
          </w:p>
        </w:tc>
        <w:tc>
          <w:tcPr>
            <w:tcW w:w="214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Ended June 30,</w:t>
            </w:r>
          </w:p>
        </w:tc>
        <w:tc>
          <w:tcPr>
            <w:tcW w:w="260" w:type="dxa"/>
            <w:vAlign w:val="bottom"/>
          </w:tcPr>
          <w:p>
            <w:pPr>
              <w:spacing w:after="0"/>
              <w:rPr>
                <w:sz w:val="16"/>
                <w:szCs w:val="16"/>
                <w:color w:val="auto"/>
              </w:rPr>
            </w:pPr>
          </w:p>
        </w:tc>
        <w:tc>
          <w:tcPr>
            <w:tcW w:w="214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allocable to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i w:val="1"/>
                <w:iCs w:val="1"/>
                <w:color w:val="auto"/>
              </w:rPr>
              <w:t>Numerator for basic earnings per share: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attributable to iStar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Financial Inc. and allocable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(126,476)</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(13,677)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26,364</w:t>
            </w:r>
          </w:p>
        </w:tc>
        <w:tc>
          <w:tcPr>
            <w:tcW w:w="0" w:type="dxa"/>
            <w:vAlign w:val="bottom"/>
          </w:tcPr>
          <w:p>
            <w:pPr>
              <w:spacing w:after="0"/>
              <w:rPr>
                <w:sz w:val="1"/>
                <w:szCs w:val="1"/>
                <w:color w:val="auto"/>
              </w:rPr>
            </w:pPr>
          </w:p>
        </w:tc>
      </w:tr>
      <w:tr>
        <w:trPr>
          <w:trHeight w:val="209"/>
        </w:trPr>
        <w:tc>
          <w:tcPr>
            <w:tcW w:w="5480" w:type="dxa"/>
            <w:vAlign w:val="bottom"/>
          </w:tcPr>
          <w:p>
            <w:pPr>
              <w:ind w:left="180"/>
              <w:spacing w:after="0"/>
              <w:rPr>
                <w:sz w:val="20"/>
                <w:szCs w:val="20"/>
                <w:color w:val="auto"/>
              </w:rPr>
            </w:pPr>
            <w:r>
              <w:rPr>
                <w:rFonts w:ascii="Arial" w:cs="Arial" w:eastAsia="Arial" w:hAnsi="Arial"/>
                <w:sz w:val="18"/>
                <w:szCs w:val="18"/>
                <w:color w:val="auto"/>
                <w:w w:val="98"/>
              </w:rPr>
              <w:t>Net income (loss) attributable to iStar Financial Inc. and allocable to</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(26,001)</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(58,996)</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(67,264)</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(113,789)</w:t>
            </w:r>
          </w:p>
        </w:tc>
        <w:tc>
          <w:tcPr>
            <w:tcW w:w="0" w:type="dxa"/>
            <w:vAlign w:val="bottom"/>
          </w:tcPr>
          <w:p>
            <w:pPr>
              <w:spacing w:after="0"/>
              <w:rPr>
                <w:sz w:val="1"/>
                <w:szCs w:val="1"/>
                <w:color w:val="auto"/>
              </w:rPr>
            </w:pPr>
          </w:p>
        </w:tc>
      </w:tr>
      <w:tr>
        <w:trPr>
          <w:trHeight w:val="277"/>
        </w:trPr>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shareholders</w:t>
            </w:r>
          </w:p>
        </w:tc>
        <w:tc>
          <w:tcPr>
            <w:tcW w:w="2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 for diluted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attributable to iStar</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Financial Inc. and allocable to common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(33,699)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(82,288)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(80,752)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(126,476)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(13,677)</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24,040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12,892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26,364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Net income (loss) attributable to iStar Financial Inc. and allocable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(26,001)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(58,996)</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(67,264)</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(113,789)</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shareholders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Weighted average common shares outstanding for basic and diluted</w:t>
            </w:r>
          </w:p>
        </w:tc>
        <w:tc>
          <w:tcPr>
            <w:tcW w:w="28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85,125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84,113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84,975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83,834</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attributable to iStar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Financial Inc. and allocable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9"/>
        </w:trPr>
        <w:tc>
          <w:tcPr>
            <w:tcW w:w="5480" w:type="dxa"/>
            <w:vAlign w:val="bottom"/>
          </w:tcPr>
          <w:p>
            <w:pPr>
              <w:ind w:left="180"/>
              <w:spacing w:after="0"/>
              <w:rPr>
                <w:sz w:val="20"/>
                <w:szCs w:val="20"/>
                <w:color w:val="auto"/>
              </w:rPr>
            </w:pPr>
            <w:r>
              <w:rPr>
                <w:rFonts w:ascii="Arial" w:cs="Arial" w:eastAsia="Arial" w:hAnsi="Arial"/>
                <w:sz w:val="18"/>
                <w:szCs w:val="18"/>
                <w:color w:val="auto"/>
                <w:w w:val="98"/>
              </w:rPr>
              <w:t>Net income (loss) attributable to iStar Financial Inc. and allocable to</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7"/>
        </w:trPr>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shareholders</w:t>
            </w:r>
          </w:p>
        </w:tc>
        <w:tc>
          <w:tcPr>
            <w:tcW w:w="2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attributable to iStar</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Financial Inc. and allocable to common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Net income (loss) attributable to iStar Financial Inc. and allocable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shareholders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For the Three Months</w:t>
            </w:r>
          </w:p>
        </w:tc>
        <w:tc>
          <w:tcPr>
            <w:tcW w:w="260" w:type="dxa"/>
            <w:vAlign w:val="bottom"/>
          </w:tcPr>
          <w:p>
            <w:pPr>
              <w:spacing w:after="0"/>
              <w:rPr>
                <w:sz w:val="14"/>
                <w:szCs w:val="14"/>
                <w:color w:val="auto"/>
              </w:rPr>
            </w:pPr>
          </w:p>
        </w:tc>
        <w:tc>
          <w:tcPr>
            <w:tcW w:w="20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Ended June 30,</w:t>
            </w:r>
          </w:p>
        </w:tc>
        <w:tc>
          <w:tcPr>
            <w:tcW w:w="260" w:type="dxa"/>
            <w:vAlign w:val="bottom"/>
          </w:tcPr>
          <w:p>
            <w:pPr>
              <w:spacing w:after="0"/>
              <w:rPr>
                <w:sz w:val="16"/>
                <w:szCs w:val="16"/>
                <w:color w:val="auto"/>
              </w:rPr>
            </w:pPr>
          </w:p>
        </w:tc>
        <w:tc>
          <w:tcPr>
            <w:tcW w:w="204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allocable to High Performance Units: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i w:val="1"/>
                <w:iCs w:val="1"/>
                <w:color w:val="auto"/>
              </w:rPr>
              <w:t>Numerator for basic earnings per HPU share:</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Income (loss) from continuing operations attributable to iStar Financial Inc. 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allocable to HPU 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43"/>
        </w:trPr>
        <w:tc>
          <w:tcPr>
            <w:tcW w:w="610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09"/>
        </w:trPr>
        <w:tc>
          <w:tcPr>
            <w:tcW w:w="6100" w:type="dxa"/>
            <w:vAlign w:val="bottom"/>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77"/>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holders</w:t>
            </w: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 for diluted earnings per HPU share:</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w w:val="94"/>
              </w:rPr>
              <w:t>Income (loss) from continuing operations attributable to iStar Financial Inc. and</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allocable to HPU 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610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Weighted average High Performance Units outstanding for basic and diluted</w:t>
            </w: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earnings per HPU share: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Income (loss) from continuing operations attributable to iStar Financial Inc. 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allocable to HPU 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(285.46)</w:t>
            </w:r>
          </w:p>
        </w:tc>
        <w:tc>
          <w:tcPr>
            <w:tcW w:w="0" w:type="dxa"/>
            <w:vAlign w:val="bottom"/>
          </w:tcPr>
          <w:p>
            <w:pPr>
              <w:spacing w:after="0"/>
              <w:rPr>
                <w:sz w:val="1"/>
                <w:szCs w:val="1"/>
                <w:color w:val="auto"/>
              </w:rPr>
            </w:pPr>
          </w:p>
        </w:tc>
      </w:tr>
      <w:tr>
        <w:trPr>
          <w:trHeight w:val="243"/>
        </w:trPr>
        <w:tc>
          <w:tcPr>
            <w:tcW w:w="610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09"/>
        </w:trPr>
        <w:tc>
          <w:tcPr>
            <w:tcW w:w="6100" w:type="dxa"/>
            <w:vAlign w:val="bottom"/>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(57.74)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(149.81)</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(256.80)</w:t>
            </w:r>
          </w:p>
        </w:tc>
        <w:tc>
          <w:tcPr>
            <w:tcW w:w="0" w:type="dxa"/>
            <w:vAlign w:val="bottom"/>
          </w:tcPr>
          <w:p>
            <w:pPr>
              <w:spacing w:after="0"/>
              <w:rPr>
                <w:sz w:val="1"/>
                <w:szCs w:val="1"/>
                <w:color w:val="auto"/>
              </w:rPr>
            </w:pPr>
          </w:p>
        </w:tc>
      </w:tr>
      <w:tr>
        <w:trPr>
          <w:trHeight w:val="277"/>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holders</w:t>
            </w: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HPU share:</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w w:val="94"/>
              </w:rPr>
              <w:t>Income (loss) from continuing operations attributable to iStar Financial Inc. and</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allocable to HPU 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(185.13)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(285.46)</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43"/>
        </w:trPr>
        <w:tc>
          <w:tcPr>
            <w:tcW w:w="610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(149.81)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(256.80)</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six months ended June 30, 2013 and 2012, the following shares were anti-dilutive (in thousands):</w:t>
      </w:r>
    </w:p>
    <w:p>
      <w:pPr>
        <w:spacing w:after="0" w:line="32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88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4"/>
              </w:rPr>
              <w:t>For the Three Months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For the Six Months</w:t>
            </w:r>
          </w:p>
        </w:tc>
      </w:tr>
      <w:tr>
        <w:trPr>
          <w:trHeight w:val="192"/>
        </w:trPr>
        <w:tc>
          <w:tcPr>
            <w:tcW w:w="616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3"/>
              </w:rPr>
              <w:t>Ended 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Ended June 30,</w:t>
            </w:r>
          </w:p>
        </w:tc>
      </w:tr>
      <w:tr>
        <w:trPr>
          <w:trHeight w:val="264"/>
        </w:trPr>
        <w:tc>
          <w:tcPr>
            <w:tcW w:w="61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Joint venture shares</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3% Senior convertible unsecured notes</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J convertible perpetual preferred stock</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15,635</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15,635</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20"/>
          </w:cols>
          <w:pgMar w:left="240" w:top="121" w:right="539" w:bottom="1440" w:gutter="0" w:footer="0" w:header="0"/>
        </w:sect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240" w:top="121" w:right="5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Fair Value Using</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3"/>
                <w:szCs w:val="13"/>
                <w:color w:val="auto"/>
              </w:rPr>
            </w:pPr>
          </w:p>
        </w:tc>
        <w:tc>
          <w:tcPr>
            <w:tcW w:w="124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prices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2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4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2013</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Recurring basis: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Non-recurring basis: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Impaired loans(1)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Impaired real estate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4,950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4,950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Recurring basis: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Non-recurring basis: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Impaired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57,201</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Impaired real estate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31,597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7,649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23,948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27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recorded the fair value of impaired loans based on a weighted average discount rate of 14.6% and a weighted average annual percentage market rate growth of 3.0% using discounted cash flows.</w:t>
      </w:r>
    </w:p>
    <w:p>
      <w:pPr>
        <w:spacing w:after="0" w:line="13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Fair values of financial instruments—</w:t>
      </w:r>
      <w:r>
        <w:rPr>
          <w:rFonts w:ascii="Arial" w:cs="Arial" w:eastAsia="Arial" w:hAnsi="Arial"/>
          <w:sz w:val="18"/>
          <w:szCs w:val="18"/>
          <w:color w:val="auto"/>
        </w:rPr>
        <w:t>The Company's estimated fair values of its loans receivable and debt obligations were $1.6 billion and $4.5</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respectively, as of June 30, 2013 and $1.9 billion and $4.9 billion, respectively, as of December 31, 2012. The Company determined that the significant inputs used to value its loans receivable and debt obligations fall within Level 3 of the fair value hierarchy. The carrying value of other financial instruments including cash and cash equivalents, restricted cash,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Reporting</w:t>
      </w:r>
    </w:p>
    <w:p>
      <w:pPr>
        <w:spacing w:after="0" w:line="18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has determined that it has four reportable segments based on how management reviews and manages its business. These reportable segments include: Real Estate Finance, Net Lease, Operating Properties and Land. The Real Estate Finance segment includes all of the Company's activities related to senior and mezzanine real estate loans. The Net Lease segment includes all of the Company's activities related to the ownership and leasing of corporate facilities. The Operating Properties segment includes all of the Company's activities and operations related to its commercial and residential properties. The Land segment includes the Company's activities related to its developable land portfolio.</w:t>
      </w:r>
    </w:p>
    <w:p>
      <w:pPr>
        <w:spacing w:after="0" w:line="13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and has conformed the prior periods presentation for the change in composition of its business segments,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Real Estate</w:t>
            </w:r>
          </w:p>
        </w:tc>
        <w:tc>
          <w:tcPr>
            <w:tcW w:w="26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Operating</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4"/>
                <w:szCs w:val="14"/>
                <w:color w:val="auto"/>
              </w:rPr>
            </w:pPr>
          </w:p>
        </w:tc>
        <w:tc>
          <w:tcPr>
            <w:tcW w:w="1040" w:type="dxa"/>
            <w:vAlign w:val="bottom"/>
          </w:tcPr>
          <w:p>
            <w:pPr>
              <w:jc w:val="right"/>
              <w:ind w:right="24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Property</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Other(1)</w:t>
            </w:r>
          </w:p>
        </w:tc>
        <w:tc>
          <w:tcPr>
            <w:tcW w:w="200" w:type="dxa"/>
            <w:vAlign w:val="bottom"/>
          </w:tcPr>
          <w:p>
            <w:pPr>
              <w:spacing w:after="0"/>
              <w:rPr>
                <w:sz w:val="16"/>
                <w:szCs w:val="16"/>
                <w:color w:val="auto"/>
              </w:rPr>
            </w:pPr>
          </w:p>
        </w:tc>
        <w:tc>
          <w:tcPr>
            <w:tcW w:w="1040" w:type="dxa"/>
            <w:vAlign w:val="bottom"/>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 Ended June 30, 2013</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36,193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21,329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57,522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29,682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11,440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1,395</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13,125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100,329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7,366</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8,323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residential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34,319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7"/>
              </w:rPr>
              <w:t>Net operating income from discontinued operations(2)</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8,279</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Revenue and other earnings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29,972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40,276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70,451</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8,761</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151,426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(37,065)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268</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Direct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(37,211)</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Direct segment profit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29,558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34,519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45,670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9,029</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114,215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interest expense(2)</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(69,157)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general and administrative(3)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(6,169)</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(16,157)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Segment profit (loss)(4)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8,193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28,901</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Impairment of assets(2)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17,400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Capitalized expenditures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13,889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9,485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31,346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Six Months Ended June 30, 2013</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73,303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42,692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115,995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54,349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19,552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1,967</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24,517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56,847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62,244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194,861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1,338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27,280</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30,001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sales of residential property</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54,539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58,016</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26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4"/>
                <w:szCs w:val="14"/>
                <w:color w:val="auto"/>
              </w:rPr>
            </w:pPr>
          </w:p>
        </w:tc>
        <w:tc>
          <w:tcPr>
            <w:tcW w:w="1040" w:type="dxa"/>
            <w:vAlign w:val="bottom"/>
          </w:tcPr>
          <w:p>
            <w:pPr>
              <w:jc w:val="right"/>
              <w:ind w:right="239"/>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Finance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Property</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Other(1)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Net operating income from discontinued operations(2)</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Gain from discontinued operations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9,928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13,323</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 and other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29,247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297,356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(50,515)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(74,966)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Direct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(11,420)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(50,515)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(13,031)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(3,913)</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(80,736)</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Direct segment profit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66,928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25,334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216,620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(39,532)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(25,935)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(15,625)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(19,562)</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(140,723)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administrative(3)</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(32,802)</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Segment profit (loss)(4)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9,323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20,642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51,167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(31,404)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(6,633)</w:t>
            </w:r>
          </w:p>
        </w:tc>
        <w:tc>
          <w:tcPr>
            <w:tcW w:w="120" w:type="dxa"/>
            <w:vAlign w:val="bottom"/>
            <w:tcBorders>
              <w:bottom w:val="single" w:sz="8" w:color="CCEEFF"/>
              <w:right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43,095</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15,226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15,226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assets(2)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Depreciation and amortization(2)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19,229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14,437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Borders>
              <w:right w:val="single" w:sz="8" w:color="auto"/>
            </w:tcBorders>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34,854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47,660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For the Three Months Ended June 30, 2012</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54,111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36,448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36,448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16,659</w:t>
            </w:r>
          </w:p>
        </w:tc>
        <w:tc>
          <w:tcPr>
            <w:tcW w:w="0" w:type="dxa"/>
            <w:vAlign w:val="bottom"/>
          </w:tcPr>
          <w:p>
            <w:pPr>
              <w:spacing w:after="0"/>
              <w:rPr>
                <w:sz w:val="1"/>
                <w:szCs w:val="1"/>
                <w:color w:val="auto"/>
              </w:rPr>
            </w:pP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43,244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37,392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25,789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793</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107,218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9,701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from sales of residential property</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13,266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13,266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Net operating income from discontinued operations(2)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Gain from discontinued operations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24,851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24,851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 and other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10,494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165,033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(25,929)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(38,172)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Direct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(25,929)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(2,395)</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(42,079)</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Direct segment profit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41,732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8,099</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122,954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(11,532)</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(94,738)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administrative(3)</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(16,345)</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Segment profit (loss)(4)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6,022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31,439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3,622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(19,433)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(9,779)</w:t>
            </w:r>
          </w:p>
        </w:tc>
        <w:tc>
          <w:tcPr>
            <w:tcW w:w="120" w:type="dxa"/>
            <w:vAlign w:val="bottom"/>
            <w:tcBorders>
              <w:bottom w:val="single" w:sz="8" w:color="CCEEFF"/>
              <w:right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11,871</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26,531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26,531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assets(2)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7,496</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Depreciation and amortization(2)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9,758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6,613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461</w:t>
            </w:r>
          </w:p>
        </w:tc>
        <w:tc>
          <w:tcPr>
            <w:tcW w:w="120" w:type="dxa"/>
            <w:vAlign w:val="bottom"/>
            <w:tcBorders>
              <w:right w:val="single" w:sz="8" w:color="auto"/>
            </w:tcBorders>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17,181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21,634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For the Six Months Ended June 30, 2012</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107,305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73,651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73,651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27,354</w:t>
            </w:r>
          </w:p>
        </w:tc>
        <w:tc>
          <w:tcPr>
            <w:tcW w:w="0" w:type="dxa"/>
            <w:vAlign w:val="bottom"/>
          </w:tcPr>
          <w:p>
            <w:pPr>
              <w:spacing w:after="0"/>
              <w:rPr>
                <w:sz w:val="1"/>
                <w:szCs w:val="1"/>
                <w:color w:val="auto"/>
              </w:rPr>
            </w:pP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80,513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74,627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50,558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2,612</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208,310</w:t>
            </w: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4"/>
                <w:szCs w:val="14"/>
                <w:color w:val="auto"/>
              </w:rPr>
            </w:pPr>
          </w:p>
        </w:tc>
        <w:tc>
          <w:tcPr>
            <w:tcW w:w="1040" w:type="dxa"/>
            <w:vAlign w:val="bottom"/>
          </w:tcPr>
          <w:p>
            <w:pPr>
              <w:jc w:val="right"/>
              <w:ind w:right="239"/>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Finance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Property</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Other(1)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37,716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from sales of residential property</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19,999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19,999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Net operating income from discontinued operations(2)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Gain from discontinued operations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27,257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27,257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 and other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80,513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107,797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88,289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40,328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313,825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(51,667)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(73,242)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Direct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(11,998)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(51,667)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(9,577)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(1,933)</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(77,602)</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Direct segment profit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78,086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95,799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36,622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38,395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236,223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(63,798)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(45,669)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(31,228)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(19,416)</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(180,882)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administrative(3)</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(34,524)</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Segment profit (loss)(4)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6,319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44,625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(35,987)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4,470</w:t>
            </w:r>
          </w:p>
        </w:tc>
        <w:tc>
          <w:tcPr>
            <w:tcW w:w="120" w:type="dxa"/>
            <w:vAlign w:val="bottom"/>
            <w:tcBorders>
              <w:bottom w:val="single" w:sz="8" w:color="CCEEFF"/>
              <w:right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20,817</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44,031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44,031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assets(2)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23,520</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Depreciation and amortization(2)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19,964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12,636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1,124</w:t>
            </w:r>
          </w:p>
        </w:tc>
        <w:tc>
          <w:tcPr>
            <w:tcW w:w="120" w:type="dxa"/>
            <w:vAlign w:val="bottom"/>
            <w:tcBorders>
              <w:right w:val="single" w:sz="8" w:color="auto"/>
            </w:tcBorders>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34,418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32,714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As of June 30, 2013</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Real estate, at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1,629,237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773,817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769,298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3,172,352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(326,375)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(421,675)</w:t>
            </w: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Arial" w:cs="Arial" w:eastAsia="Arial" w:hAnsi="Arial"/>
                <w:sz w:val="16"/>
                <w:szCs w:val="16"/>
                <w:color w:val="auto"/>
              </w:rPr>
              <w:t>Real estate,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1,302,862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681,337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766,478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2,750,677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335,571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524,092</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Total real estate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1,311,556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1,016,908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946,305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3,274,769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6"/>
              </w:rPr>
              <w:t>Loans receivable and other lending investments,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1,513,636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1,513,636</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16,446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18,169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13,068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141,935</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189,618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portfolio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1,513,636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1,328,002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1,035,077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959,373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141,935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4,978,023</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80"/>
              <w:spacing w:after="0"/>
              <w:rPr>
                <w:sz w:val="20"/>
                <w:szCs w:val="20"/>
                <w:color w:val="auto"/>
              </w:rPr>
            </w:pPr>
            <w:r>
              <w:rPr>
                <w:rFonts w:ascii="Arial" w:cs="Arial" w:eastAsia="Arial" w:hAnsi="Arial"/>
                <w:sz w:val="16"/>
                <w:szCs w:val="16"/>
                <w:color w:val="auto"/>
              </w:rPr>
              <w:t>Cash and other assets</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968,757</w:t>
            </w: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5,946,780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 of December 31, 2012</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Real estate, at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1,639,320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801,214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786,114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3,226,648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(315,699)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(427,625)</w:t>
            </w: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Arial" w:cs="Arial" w:eastAsia="Arial" w:hAnsi="Arial"/>
                <w:sz w:val="16"/>
                <w:szCs w:val="16"/>
                <w:color w:val="auto"/>
              </w:rPr>
              <w:t>Real estate,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1,323,621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691,580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783,822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2,799,023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454,587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181,278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635,865</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Total real estate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1,323,621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1,146,167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965,100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3,434,888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6"/>
              </w:rPr>
              <w:t>Loans receivable and other lending investments,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1,829,985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1,829,985</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16,380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25,745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351,225</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398,843</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portfolio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1,829,985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1,340,001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1,171,912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970,593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351,225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5,663,716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80"/>
              <w:spacing w:after="0"/>
              <w:rPr>
                <w:sz w:val="20"/>
                <w:szCs w:val="20"/>
                <w:color w:val="auto"/>
              </w:rPr>
            </w:pPr>
            <w:r>
              <w:rPr>
                <w:rFonts w:ascii="Arial" w:cs="Arial" w:eastAsia="Arial" w:hAnsi="Arial"/>
                <w:sz w:val="16"/>
                <w:szCs w:val="16"/>
                <w:color w:val="auto"/>
              </w:rPr>
              <w:t>Cash and other assets</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487,073</w:t>
            </w: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6,150,789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4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related to the other reportable segments above, including the Company's equity investment in LNR of $205.8 million, as of December 31, 2012, respectively, and the Company's share of equity in earnings from LNR of $1.7 million and $8.7 million for the three months ended June 30, 2013 and 2012, respectively, and $16.5 million and $20.8 million for the six months ended June 30, 2013 and 2012, respectively. See Note 6 for further details on the Company's accounting policy and summarized financial information for its investment in LNR.</w:t>
      </w:r>
    </w:p>
    <w:p>
      <w:pPr>
        <w:ind w:left="660" w:hanging="652"/>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related amounts reclassified to discontinued operations on the Company's Consolidated Statements of Operations.</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$4.7 million and $3.4 million for the three months ended June 30, 2013 and 2012, respectively, and $9.9 million and $8.1 million for the six months ended June 30, 2013 and 2012, respectively.</w:t>
      </w:r>
    </w:p>
    <w:p>
      <w:pPr>
        <w:ind w:left="660" w:hanging="652"/>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(loss) to net income (loss) ($ in thousands):</w:t>
      </w:r>
    </w:p>
    <w:p>
      <w:pPr>
        <w:spacing w:after="0" w:line="2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19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For the Six Months</w:t>
            </w:r>
          </w:p>
        </w:tc>
      </w:tr>
      <w:tr>
        <w:trPr>
          <w:trHeight w:val="192"/>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ind w:left="400"/>
              <w:spacing w:after="0"/>
              <w:rPr>
                <w:sz w:val="20"/>
                <w:szCs w:val="20"/>
                <w:color w:val="auto"/>
              </w:rPr>
            </w:pPr>
            <w:r>
              <w:rPr>
                <w:rFonts w:ascii="Arial" w:cs="Arial" w:eastAsia="Arial" w:hAnsi="Arial"/>
                <w:sz w:val="14"/>
                <w:szCs w:val="14"/>
                <w:b w:val="1"/>
                <w:bCs w:val="1"/>
                <w:color w:val="auto"/>
              </w:rPr>
              <w:t>Ended June 30,</w:t>
            </w:r>
          </w:p>
        </w:tc>
        <w:tc>
          <w:tcPr>
            <w:tcW w:w="240" w:type="dxa"/>
            <w:vAlign w:val="bottom"/>
          </w:tcPr>
          <w:p>
            <w:pPr>
              <w:spacing w:after="0"/>
              <w:rPr>
                <w:sz w:val="16"/>
                <w:szCs w:val="16"/>
                <w:color w:val="auto"/>
              </w:rPr>
            </w:pPr>
          </w:p>
        </w:tc>
        <w:tc>
          <w:tcPr>
            <w:tcW w:w="198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Ended June 30,</w:t>
            </w:r>
          </w:p>
        </w:tc>
      </w:tr>
      <w:tr>
        <w:trPr>
          <w:trHeight w:val="264"/>
        </w:trPr>
        <w:tc>
          <w:tcPr>
            <w:tcW w:w="5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2012</w:t>
            </w:r>
          </w:p>
        </w:tc>
      </w:tr>
      <w:tr>
        <w:trPr>
          <w:trHeight w:val="25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 (loss)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20,817</w:t>
            </w:r>
          </w:p>
        </w:tc>
      </w:tr>
      <w:tr>
        <w:trPr>
          <w:trHeight w:val="264"/>
        </w:trPr>
        <w:tc>
          <w:tcPr>
            <w:tcW w:w="5120" w:type="dxa"/>
            <w:vAlign w:val="bottom"/>
          </w:tcPr>
          <w:p>
            <w:pPr>
              <w:ind w:left="20"/>
              <w:spacing w:after="0"/>
              <w:rPr>
                <w:sz w:val="20"/>
                <w:szCs w:val="20"/>
                <w:color w:val="auto"/>
              </w:rPr>
            </w:pPr>
            <w:r>
              <w:rPr>
                <w:rFonts w:ascii="Arial" w:cs="Arial" w:eastAsia="Arial" w:hAnsi="Arial"/>
                <w:sz w:val="14"/>
                <w:szCs w:val="14"/>
                <w:color w:val="auto"/>
              </w:rPr>
              <w:t>Less: Provision for loan losses</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(26,531)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(44,031)</w:t>
            </w:r>
          </w:p>
        </w:tc>
      </w:tr>
      <w:tr>
        <w:trPr>
          <w:trHeight w:val="27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assets(2)</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(23,520)</w:t>
            </w:r>
          </w:p>
        </w:tc>
      </w:tr>
      <w:tr>
        <w:trPr>
          <w:trHeight w:val="264"/>
        </w:trPr>
        <w:tc>
          <w:tcPr>
            <w:tcW w:w="512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(8,113)</w:t>
            </w:r>
          </w:p>
        </w:tc>
      </w:tr>
      <w:tr>
        <w:trPr>
          <w:trHeight w:val="27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amortization(2)</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(34,418)</w:t>
            </w:r>
          </w:p>
        </w:tc>
      </w:tr>
      <w:tr>
        <w:trPr>
          <w:trHeight w:val="264"/>
        </w:trPr>
        <w:tc>
          <w:tcPr>
            <w:tcW w:w="5120" w:type="dxa"/>
            <w:vAlign w:val="bottom"/>
          </w:tcPr>
          <w:p>
            <w:pPr>
              <w:ind w:left="20"/>
              <w:spacing w:after="0"/>
              <w:rPr>
                <w:sz w:val="20"/>
                <w:szCs w:val="20"/>
                <w:color w:val="auto"/>
              </w:rPr>
            </w:pPr>
            <w:r>
              <w:rPr>
                <w:rFonts w:ascii="Arial" w:cs="Arial" w:eastAsia="Arial" w:hAnsi="Arial"/>
                <w:sz w:val="14"/>
                <w:szCs w:val="14"/>
                <w:color w:val="auto"/>
              </w:rPr>
              <w:t>Less: Income tax (expense) benefit(2)</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(4,748)</w:t>
            </w:r>
          </w:p>
        </w:tc>
      </w:tr>
      <w:tr>
        <w:trPr>
          <w:trHeight w:val="270"/>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Gain (loss) on early extinguishment of debt, net</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(24,784)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(3,164)</w:t>
            </w:r>
          </w:p>
        </w:tc>
      </w:tr>
      <w:tr>
        <w:trPr>
          <w:trHeight w:val="243"/>
        </w:trPr>
        <w:tc>
          <w:tcPr>
            <w:tcW w:w="51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(51,129)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(46,651)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(97,177)</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Financial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2012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annual report on Form 10-K for the year ended December 31, 2012 (the "2012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real estate finance, net lease, operating properties and land.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made significant progress in strengthening our balance sheet and positioning the Company for the future. We executed several capital markets transactions across a broad spectrum of debt products that have satisfied all of our 2013 maturities and meaningfully extended our debt maturity profile. This has included five unsecured note issuances at rates associated with the most recent financings materially lower than our earlier financings. In addition, during 2013 we refinanced our largest secured credit facility at a reduced interest rate and issued Series J Preferred Stock. These transactions have allowed us to reduce our cost of capital while maintaining lower leverage. During the quarter ended June 30, 2013, we increased investment originations and continued to see our pipeline of potential investments grow. We ended the quarter with a significant amount of liquidity, which we intend to deploy primarily to the origination of new investments.</w:t>
      </w:r>
    </w:p>
    <w:p>
      <w:pPr>
        <w:spacing w:after="0" w:line="14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Within our real estate and loan portfolios, we continued to work towards resolving non-performing loans and enhancing the value of our commercial operating properties and land assets through the investment of capital and intensive asset management. We intend to continue these efforts, with the objective of having these assets contribute positively to earnings in the future.</w:t>
      </w:r>
    </w:p>
    <w:p>
      <w:pPr>
        <w:spacing w:after="0" w:line="14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the quarter ended June 30, 2013, we saw a meaningful contribution to earnings from our performing loans, net lease assets and sales of our residential operating properties. However, the performance of nonperforming loans, transitional commercial operating properties and the sizable carrying costs associated with our land assets continued to negatively impact our earnings. For the quarter ended June 30, 2013, we recorded a net loss allocable to common shareholders of $(26.0) million, compared to a loss of $(59.0) million during the same period in the prior year. Adjusted income (loss) allocable to common shareholders for the second quarter of 2013 was $4.4 million, compared to $(1.4) million for the second quarter of 2012.</w:t>
      </w:r>
    </w:p>
    <w:p>
      <w:pPr>
        <w:spacing w:after="0" w:line="1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With respect to liquidity, we received $537.8 million of proceeds from our portfolio during the quarter ended June 30, 2013, including net proceeds of $220.3 million from the sale of our interest in LNR. We originated and funded investments totaling $109.1 million during the quarter ended June 30, 2013. As of June 30, 2013, we had no debt outstanding with 2013 scheduled maturities. We ended the quarter with $715.9 million of cash, which we intend to use primarily to fund additional investment activity.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2013 compared to the Three Months Ended June 30, 2012</w:t>
      </w: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Three Months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Ended June 30,</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36,448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36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100,329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107,218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94,474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(25,317)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Real estate expenses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19,792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1,084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6,150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(6,150)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536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149,653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205,766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1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&gt;100%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18,420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(10,097)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Income from sales of residential property</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13,266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21,053</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&gt;100%</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36,731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color w:val="auto"/>
        </w:rPr>
        <w:t>—Operating lease income increased to $57.5 million during the three months ended June 30, 2013 and included income from net lease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commercial operating properties. Operating lease income from commercial operating properties increased to $21.3 million during the three months ended June 30, 2013 from $16.7 million for the same period in 2012. We acquired title to additional commercial operating properties at the end of 2012, which contributed $4.0 million in operating lease income for the three months ended June 30, 2013. As of June 30, 2013, commercial operating properties, excluding hotels and multifamily properties, were 60.5% leased compared to 46.8% leased as of June 30, 2012.</w:t>
      </w:r>
    </w:p>
    <w:p>
      <w:pPr>
        <w:spacing w:after="0" w:line="13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Operating lease income from net lease assets decreased to $36.2 million during the three months ended June 30, 2013 from $37.4 million for the same period in 2012 primarily due to properties sold since 2012. As of June 30, 2013, net lease assets were 93.8% leased compared to 94.5% leased as of June 30, 2012. For the three months ended June 30, 2013, the net lease portfolio generated a weighted average effective yield of 7.2% compared to 7.3% during the same period in 2012 based on gross carrying value.</w:t>
      </w:r>
    </w:p>
    <w:p>
      <w:pPr>
        <w:spacing w:after="0" w:line="1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Interest income for the three months ended June 30, 2013 declined to $29.7 million as compared to $36.4 million for the three months ended June 30, 2012 primarily due to a decrease in the average balance of performing loans to $1.18 billion from $1.81 billion for the same period in 2012. The decrease in performing loans was primarily due to loan repayments received during the period. For the three months ended June 30, 2013, performing loans generated a weighted average effective yield of 7.0% as compared to 7.6% in 2012. The decrease in interest income was partially offset by $8.0 million of interest income recorded during the three months ended June 30, 2013, which related to a non-performing loan that was resolved and includes interest not previously recognized due to the loan being on non-accrual status.</w:t>
      </w:r>
    </w:p>
    <w:p>
      <w:pPr>
        <w:spacing w:after="0" w:line="1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income decreased to $13.1 million for the three months ended June 30, 2013 as compared to $16.7 million for the three months ended June 30, 2012. The decrease was due to a $6.5 million gain on the sale of a loan recognized during the quarter ended June 30, 2012 and a reduction in ancillary revenue related to a hotel property of $1.2 million period over period, offset by $4.0 million received during the quarter ended June 30, 2013 for the settlement of a property-related lawsuit.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b w:val="1"/>
          <w:bCs w:val="1"/>
          <w:i w:val="1"/>
          <w:iCs w:val="1"/>
          <w:color w:val="auto"/>
        </w:rPr>
        <w:t>Costs and expenses</w:t>
      </w:r>
      <w:r>
        <w:rPr>
          <w:rFonts w:ascii="Arial" w:cs="Arial" w:eastAsia="Arial" w:hAnsi="Arial"/>
          <w:sz w:val="16"/>
          <w:szCs w:val="16"/>
          <w:color w:val="auto"/>
        </w:rPr>
        <w:t>—Interest expense decreased 27% to $69.2 million for the three months ended June 30, 2013 as compared to $94.5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2012 due to a lower average outstanding debt balance and a lower weighted average cost of debt. The average outstanding balance of our debt declined to $4.6 billion for the three months ended June 30, 2013 from $5.8 billion for the three months ended June 30, 2012. Our weighted average effective cost of debt decreased to 5.98% for the three months ended June 30, 2013 from 6.51% during the quarter ended June 30, 2012. The decline is a result of the refinancing of our largest senior secured credit facility at a lower interest rate during the first quarter of 2013 as well as the repayment of higher interest rate senior unsecured notes with the issuance of lower interest rate senior unsecured notes during the second quarter of 2013.</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Real estate expense decreased to $37.1 million for the three months ended June 30, 2013 as compared to $38.2 million for the same period in 2012. Expenses associated with unsold residential units declined to $4.6 million for the three months ended June 30, 2013 from $7.3 million for the same period in 2012 due to continued unit sales, which reduced our available inventory. Operating expenses for net lease assets decreased to $5.8 million for the three months ended June 30, 2013 from $6.9 million for the same period in 2012 due to certain legal and repair and maintenance costs that were incurred in 2012. The decreases were offset by an increase in expenses for commercial operating properties, which were $20.2 million for the three months ended June 30, 2013 as compared to $18.6 million for the same period in 2012, primarily driven by additional properties to which we took title. Additionally, carrying costs and other expenses on our land assets increased to $6.5 million for the three months ended June 30, 2013 from $5.4 million for the same period in 2012, primarily related to increased pre-development activities. Depreciation and amortization increased to $17.4 million for the three months ended June 30, 2013 primarily due to the acquisition of additional operating properties.</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increased to $20.9 million for the three months ended June 30, 2013 as compared to $19.8 million for the same period in 2012 due to an increase in compensation related costs.</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Provisions for loan losses declined 81% to $5.0 million during the three months ended June 30, 2013 as compared to $26.5 million during the same period in 2012 as less specific reserves were required on a lower balance of non-performing loans. Included in the provision for the quarter ended June 30, 2013 was a $6.0 million recovery related to the resolution of a non-performing loan that was previously fully reserved.</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June 30, 2013, we recorded $0.4 million of impairments on real estate assets, which is recorded in discontinued operations. For the three months ended June 30, 2012, we recorded impairments of $6.2 million on a net lease asset resulting from changing market conditions and a change in the business strategy for the asset, and $1.3 million on real estate assets sold, which was included in discontinued operations for the three months ended June 30, 2012.</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expense for the three months ended June 30, 2013 declined to $0.1 million. During the three months ended June 30, 2012, we recognized costs related to a shareholder litigation settlement of $2.0 million and legal costs on loans of $1.5 million.</w:t>
      </w:r>
    </w:p>
    <w:p>
      <w:pPr>
        <w:spacing w:after="0" w:line="13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b w:val="1"/>
          <w:bCs w:val="1"/>
          <w:i w:val="1"/>
          <w:iCs w:val="1"/>
          <w:color w:val="auto"/>
        </w:rPr>
        <w:t>Gain (loss) on early extinguishment of debt, net</w:t>
      </w:r>
      <w:r>
        <w:rPr>
          <w:rFonts w:ascii="Arial" w:cs="Arial" w:eastAsia="Arial" w:hAnsi="Arial"/>
          <w:sz w:val="16"/>
          <w:szCs w:val="16"/>
          <w:color w:val="auto"/>
        </w:rPr>
        <w:t>—During the three months ended June 30, 2013, we made repayments on our February 2013 Secured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Facility and our October 2012 Secured Credit Facility, which resulted in $3.0 million of net losses on the early extinguishment of debt due to accelerated amortization of discounts and fees. We also redeemed our $448.5 million 5.95% senior unsecured notes due October 2013 prior to maturity and incurred $9.5 million of losses related to a prepayment penalty and the acceleration of amortization of discounts (see Liquidity and Capital Resources below).</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same period in 2012, we repurchased $191.5 million aggregate principal amount of our convertible notes due October 2012, repaid the $225.7 million of the 2011 Tranche A-1 Facility and repaid $81.4 million of the 2012 Tranche A-1 Facility. In connection with these repayments and repurchases prior to maturity, we recorded a net loss on early extinguishment of debt of $4.9 million, primarily related to the write-off of unamortized deferred financing fees.</w:t>
      </w:r>
    </w:p>
    <w:p>
      <w:pPr>
        <w:spacing w:after="0" w:line="1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decreased to $8.3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2013 as compared to $18.4 million for the same period in 2012 primarily due to lower income from sales of residential property units recorded by one of our real estate equity investments and the sale of LNR in April 2013.</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—Income tax expense decreased for the three months ended June 30, 2013 compared to the same period in 2012 due to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resulting from the sale of our interest in LNR.</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Discontinued operations</w:t>
      </w:r>
      <w:r>
        <w:rPr>
          <w:rFonts w:ascii="Arial" w:cs="Arial" w:eastAsia="Arial" w:hAnsi="Arial"/>
          <w:sz w:val="18"/>
          <w:szCs w:val="18"/>
          <w:color w:val="auto"/>
        </w:rPr>
        <w:t>—During the three months ended June 30, 2013, we sold two commercial operating properties with a carrying value of $19.1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which resulted in a gain of $4.9 million and two net lease assets with a carrying value of $12.6 million which resulted in a gain of $3.4 million. During the three months ended June 30, 2012, we sold a portfolio of 12 net lease assets, with a carrying value of $111.4 million for a net gain of $24.9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Income from sales of residential property</w:t>
      </w:r>
      <w:r>
        <w:rPr>
          <w:rFonts w:ascii="Arial" w:cs="Arial" w:eastAsia="Arial" w:hAnsi="Arial"/>
          <w:sz w:val="17"/>
          <w:szCs w:val="17"/>
          <w:color w:val="auto"/>
        </w:rPr>
        <w:t>—During the three months ended June 30, 2013 and 2012, we sold 103 and 168 condominium units,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that resulted in income from sales of residential properties totaling $30.9 million and $13.3 million, respectively. During the three months ended June 30, 2013, we also sold land for proceeds of $25.0 million that resulted in income of $3.4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2013 compared to the Six Months Ended June 30, 2012</w:t>
      </w: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For the Six Months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Ended June 30,</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115,995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73,651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(19,302)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36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194,861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208,310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Real estate expenses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74,966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73,242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1,724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42,637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6,900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7"/>
        </w:trPr>
        <w:tc>
          <w:tcPr>
            <w:tcW w:w="536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314,180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383,897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(69,717)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(21,620)</w:t>
            </w:r>
          </w:p>
        </w:tc>
        <w:tc>
          <w:tcPr>
            <w:tcW w:w="15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&gt;100%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53,206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14,756</w:t>
            </w:r>
          </w:p>
        </w:tc>
        <w:tc>
          <w:tcPr>
            <w:tcW w:w="1560" w:type="dxa"/>
            <w:vAlign w:val="bottom"/>
            <w:gridSpan w:val="2"/>
          </w:tcPr>
          <w:p>
            <w:pPr>
              <w:jc w:val="right"/>
              <w:ind w:right="179"/>
              <w:spacing w:after="0"/>
              <w:rPr>
                <w:sz w:val="20"/>
                <w:szCs w:val="20"/>
                <w:color w:val="auto"/>
              </w:rPr>
            </w:pPr>
            <w:r>
              <w:rPr>
                <w:rFonts w:ascii="Arial" w:cs="Arial" w:eastAsia="Arial" w:hAnsi="Arial"/>
                <w:sz w:val="18"/>
                <w:szCs w:val="18"/>
                <w:color w:val="auto"/>
              </w:rPr>
              <w:t>&gt;100%</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Income from sales of residential property</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58,016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19,999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38,017</w:t>
            </w:r>
          </w:p>
        </w:tc>
        <w:tc>
          <w:tcPr>
            <w:tcW w:w="1560" w:type="dxa"/>
            <w:vAlign w:val="bottom"/>
            <w:gridSpan w:val="2"/>
          </w:tcPr>
          <w:p>
            <w:pPr>
              <w:jc w:val="right"/>
              <w:ind w:right="179"/>
              <w:spacing w:after="0"/>
              <w:rPr>
                <w:sz w:val="20"/>
                <w:szCs w:val="20"/>
                <w:color w:val="auto"/>
              </w:rPr>
            </w:pPr>
            <w:r>
              <w:rPr>
                <w:rFonts w:ascii="Arial" w:cs="Arial" w:eastAsia="Arial" w:hAnsi="Arial"/>
                <w:sz w:val="18"/>
                <w:szCs w:val="18"/>
                <w:color w:val="auto"/>
              </w:rPr>
              <w:t>&gt;100%</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50,526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color w:val="auto"/>
        </w:rPr>
        <w:t>—Operating lease income increased to $116.0 million during the six months ended June 30, 2013 and included income from net lease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commercial operating properties. Operating lease income from commercial operating properties increased to $42.7 million during the six months ended June 30, 2013 from $32.7 million for the same period in 2012. We acquired title to additional commercial operating properties at the end of 2012, which contributed $8.0 million in operating lease income for the six months ended June 30, 2013. As of June 30, 2013, commercial operating properties, excluding hotels and multifamily properties, were 60.5% leased compared to 46.8% leased as of June 30, 2012.</w:t>
      </w:r>
    </w:p>
    <w:p>
      <w:pPr>
        <w:spacing w:after="0" w:line="13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Operating lease income from net lease assets decreased to $73.3 million during the six months ended June 30, 2013 from $74.6 million for the same period in 2012 primarily due to properties sold since 2012. As of June 30, 2013, net lease assets were 93.8% leased compared to 94.5% leased as of June 30, 2012. For the six months ended June 30, 2013, the net lease portfolio generated a weighted average effective yield of 7.3% compared to 7.6% during the same period in 2012 based on gross carrying value.</w:t>
      </w:r>
    </w:p>
    <w:p>
      <w:pPr>
        <w:spacing w:after="0" w:line="1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Interest income for the six months ended June 30, 2013 declined to $54.3 million as compared to $73.7 million for the six months ended June 30, 2012 primarily due to a decrease in the average balance of performing loans to $1.26 billion from $1.81 billion for the same period in 2012. The decrease in performing loans was primarily due to loan repayments received during the period. For the six months ended June 30, 2013, performing loans generated a weighted average effective yield of 7.1% as compared to 7.6% in 2012. The decrease in interest income was partially offset by $8.0 million of interest income recorded during the six months ended June 30, 2013, which related to a non-performing loan that was resolved and includes interest not previously recognized due to the loan being on non-accrual status.</w:t>
      </w:r>
    </w:p>
    <w:p>
      <w:pPr>
        <w:spacing w:after="0" w:line="1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income decreased to $24.5 million for the six months ended June 30, 2013 as compared to $27.4 million for the six months ended June 30, 2012. Other income includes revenue related to hotel properties included in the operating property portfolio,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decreased to $15.6 million for the six months ended June 30, 2013 from $17.9 million for the same period in 2012 due primarily to a reduction in ancillary revenue related to a hotel property of $2.3 million.</w:t>
      </w:r>
    </w:p>
    <w:p>
      <w:pPr>
        <w:spacing w:after="0" w:line="13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b w:val="1"/>
          <w:bCs w:val="1"/>
          <w:i w:val="1"/>
          <w:iCs w:val="1"/>
          <w:color w:val="auto"/>
        </w:rPr>
        <w:t>Costs and expenses</w:t>
      </w:r>
      <w:r>
        <w:rPr>
          <w:rFonts w:ascii="Arial" w:cs="Arial" w:eastAsia="Arial" w:hAnsi="Arial"/>
          <w:sz w:val="16"/>
          <w:szCs w:val="16"/>
          <w:color w:val="auto"/>
        </w:rPr>
        <w:t>—Interest expense decreased 22.0% to $140.7 million for the six months ended June 30, 2013 as compared to $179.8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2012 due to a lower average outstanding debt balance and a lower weighted average cost of debt. The average outstanding balance of our debt declined to $4.6 billion for the six months ended June 30, 2013 from $5.8 billion for the six months ended June 30, 2012. Our weighted average effective cost of debt was lower at 6.08% for the six months ended June 30, 2013 as compared to 6.22% during the six months ended June 30, 2012. The decline is a result of the refinancing of our largest senior secured credit facility at a lower interest rate during the first quarter of 2013 as well as the repayment of higher interest rate senior unsecured notes with the issuance of lower interest rate senior unsecured notes during the second quarter of 2013.</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Real estate expenses increased to $75.0 million for the six months ended June 30, 2013 as compared to $73.2 million for the same period in 2012. Expenses for commercial operating properties increased to $40.5 million for the six months ended June 30, 2013 from $36.6 million for the same period in 2012, primarily driven by a property to which we took title. Carrying costs and other expenses on our land assets increased to $13.0 million for the six months ended June 30, 2013 from $9.6 million for the same period in 2012, primarily related to increased pre-development activities. The increases were offset by a decrease in costs associated with residential units to $10.0 million for the six months ended June 30, 2013 from $15.0 million for the same period in 2012 due to continued unit sales, which reduced our available inventory. Depreciation and amortization increased to $34.8 million for the six months ended June 30, 2013 from $32.9 million primarily due to the acquisition of additional operating properties.</w:t>
      </w:r>
    </w:p>
    <w:p>
      <w:pPr>
        <w:spacing w:after="0" w:line="1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Provisions for loan losses declined 65.0% to $15.2 million during the six months ended June 30, 2013 as compared to $44.0 million during the same period in 2012 as less specific reserves were required on a lower balance of non-performing loans. Included in the provision for the six months ended June 30, 2013 was a $6.0 million recovery related to the resolution of a non-performing loan that was previously fully reserved.</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six months ended June 30, 2013, we recorded $0.4 million of impairments on real estate assets, which is recorded in discontinued operations. For the six months ended June 30, 2012, we recorded impairments of $6.9 million on a net lease asset and operating properties resulting from changing market conditions and changes in business strategy for certain assets, and $16.6 million on real estate assets held for sale or sold, which was included in discontinued operations for the six months ended June 30, 2012.</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expense for the six months ended June 30, 2013 increased primarily due to $4.4 million of third party expenses incurred in connection with the refinancing of our October 2012 Secured Credit Facility with our February 2013 Secured Credit Facility(see Liquidity and Capital Resources below) during the first quarter of 2013. During the six months ended June 30, 2012, we recognized costs related to a shareholder litigation settlement of $2.0 million and legal costs on loans of $1.5 million.</w:t>
      </w:r>
    </w:p>
    <w:p>
      <w:pPr>
        <w:spacing w:after="0" w:line="14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b w:val="1"/>
          <w:bCs w:val="1"/>
          <w:i w:val="1"/>
          <w:iCs w:val="1"/>
          <w:color w:val="auto"/>
        </w:rPr>
        <w:t>Gain (loss) on early extinguishment of debt, net</w:t>
      </w:r>
      <w:r>
        <w:rPr>
          <w:rFonts w:ascii="Arial" w:cs="Arial" w:eastAsia="Arial" w:hAnsi="Arial"/>
          <w:sz w:val="17"/>
          <w:szCs w:val="17"/>
          <w:color w:val="auto"/>
        </w:rPr>
        <w:t>—During the six months ended June 30, 2013, we incurred losses on the early extinguishment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accelerated amortization of discounts and fees of $7.7 million relating to the refinancing of our October 2012 Secured Credit Facility and $7.6 million relating to accelerated amortization of discount and fees associated with the repayments on our 2012 and 2013 Secured Credit Facilities. We also redeemed our $448.5 million 5.95% senior unsecured notes due October 2013 prior to maturity and incurred $9.5 million of losses related to a prepayment penalty and the acceleration of amortization of discounts (see Liquidity and Capital Resources below).</w:t>
      </w:r>
    </w:p>
    <w:p>
      <w:pPr>
        <w:spacing w:after="0" w:line="13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same period in 2012, we repurchased $315.6 million aggregate principal amount of our convertible notes due October 2012, fully repaid the $243.7 million remaining balance on our unsecured credit facility due in June 2012, repaid $315.5 million on our 2011 Tranche A-1 Facility, repaid $81.4 million of the 2012 Tranche A-1 Facility, and repurchased $96.3 million par value of senior unsecured notes. In connection with these repayments and repurchases prior to maturity, we recorded a net loss on early extinguishment of debt of $3.2 million.</w:t>
      </w:r>
    </w:p>
    <w:p>
      <w:pPr>
        <w:spacing w:after="0" w:line="1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decreased to $30.0 million during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as compared to $53.2 million for the same period in 2012 primarily due to lower income from sales of residential property units recorded by one of our real estate equity investments and the sale of LNR in April 2013.</w:t>
      </w:r>
    </w:p>
    <w:p>
      <w:pPr>
        <w:spacing w:after="0" w:line="14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Discontinued operations</w:t>
      </w:r>
      <w:r>
        <w:rPr>
          <w:rFonts w:ascii="Arial" w:cs="Arial" w:eastAsia="Arial" w:hAnsi="Arial"/>
          <w:sz w:val="17"/>
          <w:szCs w:val="17"/>
          <w:color w:val="auto"/>
        </w:rPr>
        <w:t>—During the six months ended June 30, 2013, we sold three commercial operating properties with a carrying value of $43.2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which resulted in a gain of $9.9 million and three net lease assets with a carrying value of $13.5 million which resulted in a net gain of $3.4 million. During the six months ended June 30, 2012, we sold 14 net lease assets with a carrying value of $115.5 million for a net gain of $27.3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Income (loss) from discontinued operations includes operating results from net lease assets and commercial operating properties held for sale or sold as of June 30, 2013. For the six months ended June 30, 2012, income (loss) from discontinued operations includes impairment of assets of $16.6 million.</w:t>
      </w:r>
    </w:p>
    <w:p>
      <w:pPr>
        <w:spacing w:after="0" w:line="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Income from sales of residential property</w:t>
      </w:r>
      <w:r>
        <w:rPr>
          <w:rFonts w:ascii="Arial" w:cs="Arial" w:eastAsia="Arial" w:hAnsi="Arial"/>
          <w:sz w:val="18"/>
          <w:szCs w:val="18"/>
          <w:color w:val="auto"/>
        </w:rPr>
        <w:t>—During the six months ended June 30, 2013 and 2012, we sold 199 and 262 condominium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that resulted in income from sales of residential properties totaling $54.6 million and $20.0 million, respectively. During the six months ended June 30, 2013, we also sold land for proceeds of $26.9 million that resulted in income of $3.4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 and Adjusted EBITDA</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net income (loss), we use Adjusted income and Adjusted EBITDA to measure our operating performance. Adjusted income represents net income (loss) allocable to common shareholders, prior to the effect of depreciation and amortization, provision for loan losses, impairment of assets, stock-based compensation expense, and gain (loss) on early extinguishment of debt. Adjusted EBITDA represents net income (loss) plus the sum of interest expense, income taxes, depreciation and amortization, provision for loan losses, impairment of assets and stock-based compensation expense, less gain (loss) on early extinguishment of debt.</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believe Adjusted income and Adjusted EBITDA are useful measures to consider in addition to net income (loss), as they may help investors evaluate our core operating performance. 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w:t>
      </w:r>
    </w:p>
    <w:p>
      <w:pPr>
        <w:spacing w:after="0" w:line="293"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4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176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For the Six Months</w:t>
            </w:r>
          </w:p>
        </w:tc>
      </w:tr>
      <w:tr>
        <w:trPr>
          <w:trHeight w:val="192"/>
        </w:trPr>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Ended June 30,</w:t>
            </w:r>
          </w:p>
        </w:tc>
      </w:tr>
      <w:tr>
        <w:trPr>
          <w:trHeight w:val="264"/>
        </w:trPr>
        <w:tc>
          <w:tcPr>
            <w:tcW w:w="4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r>
      <w:tr>
        <w:trPr>
          <w:trHeight w:val="250"/>
        </w:trPr>
        <w:tc>
          <w:tcPr>
            <w:tcW w:w="4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w w:val="96"/>
              </w:rPr>
              <w:t>Net income (loss) allocable to common shareholders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(26,001)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(58,996)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(67,264)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(113,789)</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Depreciation and amortization(1)</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34,418</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Add: Provision for loan losses</w:t>
            </w: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26,531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15,226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44,031</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Impairment of assets(2)</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23,520</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Add: Stock-based compensation expense</w:t>
            </w: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9,921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8,113</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Less: (Gain) loss on early extinguishment of debt, net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3,164</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Less: HPU/Participating Security allocation</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(3,708)</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47"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the three and six months ended June 30, 2013, depreciation and amortization includes $11 and $82, respectively, of depreciation and amortization reclassified to discontinued operations. For the three and six months ended June 30, 2012, depreciation and amortization includes $441 and $1,509, respectively, of depreciation and amortization reclassified to discontinued operations.</w:t>
      </w:r>
    </w:p>
    <w:p>
      <w:pPr>
        <w:spacing w:after="0" w:line="1" w:lineRule="exact"/>
        <w:rPr>
          <w:rFonts w:ascii="Arial" w:cs="Arial" w:eastAsia="Arial" w:hAnsi="Arial"/>
          <w:sz w:val="14"/>
          <w:szCs w:val="14"/>
          <w:color w:val="auto"/>
        </w:rPr>
      </w:pPr>
    </w:p>
    <w:p>
      <w:pPr>
        <w:ind w:left="660" w:right="20" w:hanging="652"/>
        <w:spacing w:after="0" w:line="255"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the three and six months ended June 30, 2013, impairment of assets includes $427 and $395 of impairment of assets reclassified to discontinued operations. For the three and six months ended June 30, 2012, impairment of assets includes $1,346 and $16,620 of impairment of assets reclassified to discontinued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sz w:val="20"/>
                <w:szCs w:val="20"/>
                <w:color w:val="auto"/>
              </w:rPr>
            </w:pPr>
            <w:r>
              <w:rPr>
                <w:rFonts w:ascii="Arial" w:cs="Arial" w:eastAsia="Arial" w:hAnsi="Arial"/>
                <w:sz w:val="14"/>
                <w:szCs w:val="14"/>
                <w:b w:val="1"/>
                <w:bCs w:val="1"/>
                <w:color w:val="0000FF"/>
              </w:rPr>
              <w:t>Table of Contents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5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880" w:type="dxa"/>
            <w:vAlign w:val="bottom"/>
          </w:tcPr>
          <w:p>
            <w:pPr>
              <w:spacing w:after="0"/>
              <w:rPr>
                <w:sz w:val="24"/>
                <w:szCs w:val="24"/>
                <w:color w:val="auto"/>
              </w:rPr>
            </w:pPr>
          </w:p>
        </w:tc>
        <w:tc>
          <w:tcPr>
            <w:tcW w:w="25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7"/>
              </w:rPr>
              <w:t>For the Three Months Ended June 30,</w:t>
            </w:r>
          </w:p>
        </w:tc>
        <w:tc>
          <w:tcPr>
            <w:tcW w:w="420" w:type="dxa"/>
            <w:vAlign w:val="bottom"/>
          </w:tcPr>
          <w:p>
            <w:pPr>
              <w:spacing w:after="0"/>
              <w:rPr>
                <w:sz w:val="24"/>
                <w:szCs w:val="24"/>
                <w:color w:val="auto"/>
              </w:rPr>
            </w:pPr>
          </w:p>
        </w:tc>
        <w:tc>
          <w:tcPr>
            <w:tcW w:w="20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264"/>
        </w:trPr>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440" w:type="dxa"/>
            <w:vAlign w:val="bottom"/>
            <w:gridSpan w:val="2"/>
          </w:tcPr>
          <w:p>
            <w:pPr>
              <w:ind w:left="260"/>
              <w:spacing w:after="0"/>
              <w:rPr>
                <w:sz w:val="20"/>
                <w:szCs w:val="20"/>
                <w:color w:val="auto"/>
              </w:rPr>
            </w:pPr>
            <w:r>
              <w:rPr>
                <w:rFonts w:ascii="Arial" w:cs="Arial" w:eastAsia="Arial" w:hAnsi="Arial"/>
                <w:sz w:val="18"/>
                <w:szCs w:val="18"/>
                <w:color w:val="auto"/>
              </w:rPr>
              <w:t>Net income (loss)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(14,398)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(51,129)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(46,651)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(97,177)</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Add: Interest expense(1)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94,738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140,723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180,882</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440" w:type="dxa"/>
            <w:vAlign w:val="bottom"/>
            <w:gridSpan w:val="2"/>
          </w:tcPr>
          <w:p>
            <w:pPr>
              <w:ind w:left="260"/>
              <w:spacing w:after="0"/>
              <w:rPr>
                <w:sz w:val="20"/>
                <w:szCs w:val="20"/>
                <w:color w:val="auto"/>
              </w:rPr>
            </w:pPr>
            <w:r>
              <w:rPr>
                <w:rFonts w:ascii="Arial" w:cs="Arial" w:eastAsia="Arial" w:hAnsi="Arial"/>
                <w:sz w:val="18"/>
                <w:szCs w:val="18"/>
                <w:color w:val="auto"/>
              </w:rPr>
              <w:t>Add: Income tax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Pr>
          <w:p>
            <w:pPr>
              <w:spacing w:after="0"/>
              <w:rPr>
                <w:sz w:val="23"/>
                <w:szCs w:val="23"/>
                <w:color w:val="auto"/>
              </w:rPr>
            </w:pPr>
          </w:p>
        </w:tc>
        <w:tc>
          <w:tcPr>
            <w:tcW w:w="5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Add: Depreciation and amortization(2)</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17,181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34,418</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5440" w:type="dxa"/>
            <w:vAlign w:val="bottom"/>
            <w:gridSpan w:val="2"/>
          </w:tcPr>
          <w:p>
            <w:pPr>
              <w:ind w:left="26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72,588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64,267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133,430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122,871</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Add: Provision for loan losses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44,031</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440" w:type="dxa"/>
            <w:vAlign w:val="bottom"/>
            <w:gridSpan w:val="2"/>
          </w:tcPr>
          <w:p>
            <w:pPr>
              <w:ind w:left="260"/>
              <w:spacing w:after="0"/>
              <w:rPr>
                <w:sz w:val="20"/>
                <w:szCs w:val="20"/>
                <w:color w:val="auto"/>
              </w:rPr>
            </w:pPr>
            <w:r>
              <w:rPr>
                <w:rFonts w:ascii="Arial" w:cs="Arial" w:eastAsia="Arial" w:hAnsi="Arial"/>
                <w:sz w:val="18"/>
                <w:szCs w:val="18"/>
                <w:color w:val="auto"/>
              </w:rPr>
              <w:t>Add: Impairment of assets(3)</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7,496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Add: 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8,113</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440" w:type="dxa"/>
            <w:vAlign w:val="bottom"/>
            <w:gridSpan w:val="2"/>
          </w:tcPr>
          <w:p>
            <w:pPr>
              <w:ind w:left="260"/>
              <w:spacing w:after="0"/>
              <w:rPr>
                <w:sz w:val="20"/>
                <w:szCs w:val="20"/>
                <w:color w:val="auto"/>
              </w:rPr>
            </w:pPr>
            <w:r>
              <w:rPr>
                <w:rFonts w:ascii="Arial" w:cs="Arial" w:eastAsia="Arial" w:hAnsi="Arial"/>
                <w:sz w:val="18"/>
                <w:szCs w:val="18"/>
                <w:color w:val="auto"/>
              </w:rPr>
              <w:t>Less: (Gain) loss on early extinguishment of debt,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24,784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106,609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183,756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201,699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250"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three and six months ended June 30, 2012, interest expense includes $264 and $1,064 of interest expense reclassified to discontinued operations. There were no reclassifications of interest expense to discontinued operations for the three and six months ended June 30, 2013.</w:t>
      </w:r>
    </w:p>
    <w:p>
      <w:pPr>
        <w:ind w:left="660" w:right="380" w:hanging="652"/>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three and six months ended June 30, 2013, depreciation and amortization includes $11 and $82, respectively, of depreciation and amortization reclassified to discontinued operations. For the three and six months ended June 30, 2012, depreciation and amortization includes $441 and $1,509, respectively, of depreciation and amortization reclassified to discontinued operations.</w:t>
      </w:r>
    </w:p>
    <w:p>
      <w:pPr>
        <w:spacing w:after="0" w:line="1" w:lineRule="exact"/>
        <w:rPr>
          <w:rFonts w:ascii="Arial" w:cs="Arial" w:eastAsia="Arial" w:hAnsi="Arial"/>
          <w:sz w:val="14"/>
          <w:szCs w:val="14"/>
          <w:color w:val="auto"/>
        </w:rPr>
      </w:pPr>
    </w:p>
    <w:p>
      <w:pPr>
        <w:ind w:left="660" w:right="20" w:hanging="652"/>
        <w:spacing w:after="0" w:line="255"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three and six months ended June 30, 2013, impairment of assets includes $427 and $395 of impairment of assets reclassified to discontinued operations. For the three and six months ended June 30, 2012, impairment of assets includes $1,346 and $16,620 of impairment of assets reclassified to discontinued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watch list loans, non-performing loans, and the reserves for loan losses associated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loans ($ in thousands):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2013</w:t>
            </w:r>
          </w:p>
        </w:tc>
        <w:tc>
          <w:tcPr>
            <w:tcW w:w="200" w:type="dxa"/>
            <w:vAlign w:val="bottom"/>
          </w:tcPr>
          <w:p>
            <w:pPr>
              <w:spacing w:after="0"/>
              <w:rPr>
                <w:sz w:val="22"/>
                <w:szCs w:val="22"/>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2012</w:t>
            </w:r>
          </w:p>
        </w:tc>
      </w:tr>
      <w:tr>
        <w:trPr>
          <w:trHeight w:val="250"/>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Watch list loans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41,605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44,350</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 percentage of total carrying value of loans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Non-performing loans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369,950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503,112</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As a percentage of total carrying value of loans</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Reserve for loan losses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Total reserve for loan losses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479,826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524,499</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 a percentage of total loans before loan loss reserves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Non-performing loan asset-specific reserves for loan losses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426,468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476,140</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a percentage of gross carrying value of non-performing loans</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7"/>
        </w:trPr>
        <w:tc>
          <w:tcPr>
            <w:tcW w:w="7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Watch List Loans</w:t>
      </w:r>
      <w:r>
        <w:rPr>
          <w:rFonts w:ascii="Arial" w:cs="Arial" w:eastAsia="Arial" w:hAnsi="Arial"/>
          <w:sz w:val="18"/>
          <w:szCs w:val="18"/>
          <w:color w:val="auto"/>
        </w:rPr>
        <w:t>—During our quarterly loan portfolio assessments, loans are put on the watch list if deteriorating performance indicates they warrant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degree of monitoring and senior management attention. As of June 30, 2013, we had loans on the watch list with a combined carrying value of $41.6 million.</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Non-Performing Loans</w:t>
      </w:r>
      <w:r>
        <w:rPr>
          <w:rFonts w:ascii="Arial" w:cs="Arial" w:eastAsia="Arial" w:hAnsi="Arial"/>
          <w:sz w:val="18"/>
          <w:szCs w:val="18"/>
          <w:color w:val="auto"/>
        </w:rPr>
        <w:t>—We designate loans as non-performing at such time as: (1) the loan becomes 90 days delinquent; (2) the loan has a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June 30, 2013, we had non-performing loans with an aggregate carrying</w:t>
      </w:r>
    </w:p>
    <w:p>
      <w:pPr>
        <w:sectPr>
          <w:pgSz w:w="11900" w:h="16838" w:orient="portrait"/>
          <w:cols w:equalWidth="0" w:num="1">
            <w:col w:w="11420"/>
          </w:cols>
          <w:pgMar w:left="240" w:top="114"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4"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value of $370.0 million. Our non-performing loans decreased during the six months ended June 30, 2013, primarily due to the reclassification of certain non-performing loans to performing status, paydowns received on non-performing loans, and receiving title to properties serving as collateral in full or partial satisfaction of such loans.</w:t>
      </w:r>
    </w:p>
    <w:p>
      <w:pPr>
        <w:spacing w:after="0" w:line="14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Reserve for Loan Losses</w:t>
      </w:r>
      <w:r>
        <w:rPr>
          <w:rFonts w:ascii="Arial" w:cs="Arial" w:eastAsia="Arial" w:hAnsi="Arial"/>
          <w:sz w:val="17"/>
          <w:szCs w:val="17"/>
          <w:color w:val="auto"/>
        </w:rPr>
        <w:t>—The reserve for loan losses was $479.8 million as of June 30, 2013, or 24.9% of the gross carrying value of total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$524.5 million or 22.3% at December 31, 2012. The change in the balance of the reserve was the result of $15.2 million of provisioning for loan losses, reduced by $59.9 million of charge-offs during the six months ended June 30, 2013. Due to volatility within the commercial real estate market, the process of estimating collateral values and reserves require us to use significant judgment. In addition, the process of estimating values and reserves for our European loan assets, is subject to additional risks related to the continued economic uncertainty in the Eurozone. We currently believe there are adequate collateral and reserves to support the carrying values of the loans.</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June 30, 2013, asset-specific reserves decreased slightly to $447.5 million compared to $491.4 million at December 31, 2012, primarily due to charge-offs on loans offset by additional reserves established on non-performing loans.</w:t>
      </w:r>
    </w:p>
    <w:p>
      <w:pPr>
        <w:spacing w:after="0" w:line="14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2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general reserve decreased to $32.3 million or 2.9% of the gross carrying value of performing loans as of June 30, 2013, compared to $33.1 million or 2.4% of the gross carrying value of performing loans at December 31, 2012. This reduction is primarily attributable to the reduction in the balance of performing loans.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Risk concentrations</w:t>
      </w:r>
      <w:r>
        <w:rPr>
          <w:rFonts w:ascii="Arial" w:cs="Arial" w:eastAsia="Arial" w:hAnsi="Arial"/>
          <w:sz w:val="16"/>
          <w:szCs w:val="16"/>
          <w:color w:val="auto"/>
        </w:rPr>
        <w:t>—As of June 30, 2013, our total investment portfolio was comprised of the following property/collateral types ($ in thousands)(1):</w:t>
      </w: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Property/Collateral Types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 Lease</w:t>
            </w: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1,185,063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Office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409,742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737,943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 / R&amp;D</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703,502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Entertainment / Leisure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484,132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559,211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Hotel</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535,195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Retail</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272,479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58,134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157,628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488,241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Condominium</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429,504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Mixed Use / Mixed Collateral</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427,253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Property Types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224,151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Strategic Investments</w:t>
            </w:r>
          </w:p>
        </w:tc>
        <w:tc>
          <w:tcPr>
            <w:tcW w:w="2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141,935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1,545,936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1,654,377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962,193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5,431,998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2013, our total investment portfolio had the following characteristics by geographical region ($ in thousands)(1):</w:t>
      </w:r>
    </w:p>
    <w:p>
      <w:pPr>
        <w:spacing w:after="0" w:line="3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Net Lease Assets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178,578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368,744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1,215,488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Northeast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360,904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385,431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173,668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189,281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1,109,284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234,707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900,338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Southwest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194,842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218,174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219,030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117,440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749,486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Mid-Atlantic</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514,064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148,642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67,537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319,326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International(2)</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232,252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Northwest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58,772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80,944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172,640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77,185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Strategic Investments(2)</w:t>
            </w: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141,935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1,545,936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1,654,377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1,127,557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962,193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5,431,998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3"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Strategic investments includes $39.2 million of international assets. Additionally, international and strategic investments include $158.3 million of European assets, including $90.8 million in Germany and $67.5 million in the United Kingdom.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three months ended June 30, 2013, we originated and funded investments totaling $109.1 million. Also during the second quarter of 2013, we received $537.8 million of proceeds from our portfolio, comprised of $224.7 million from other investments, $155.4 million from repayments and sales of loans, $116.8 million from sales of operating properties, and $40.9 million from land and net lease. Included in the proceeds from other investments are net proceeds of $220.3 million from the sale of our interest in LNR. The transaction provided us with additional liquidity for new investment activities which should contribute positively to our earnings; however, those investments may not fully replace the earnings contributed by LNR (see Note 6 to the Consolidated Financial Statements).</w:t>
      </w:r>
    </w:p>
    <w:p>
      <w:pPr>
        <w:spacing w:after="0" w:line="1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2013, we had no debt outstanding with maturities in 2013. In addition, over the next 12 months, we currently expect to make an additional $200.0 million of capital expenditures within our portfolio. Our capital sources to meet expected cash uses throughout 2013 will primarily include cash on hand, loan repayments from borrowers, and proceeds from unencumbered asset sales. As of June 30, 2013, we had unencumbered assets with a carrying value of approximately $3.02 billion.</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cannot predict with certainty the specific transactions we will undertake to generate sufficient liquidity to meet our obligations as they come due. We may raise capital through debt refinancings or equity capital transactions and will adjust our plans as appropriate in response to changes in our expectations and changes in market conditions. While economic trends have been improving, it is not possible for us to predict whether the improving trends will continue or to quantify the impact of these or other trends on our financial results.</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agreements and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as of June 30, 2013 (see Note 8 of the Notes to the Consolidated Financial Statements) ($ in thousands):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3160" w:type="dxa"/>
            <w:vAlign w:val="bottom"/>
            <w:gridSpan w:val="3"/>
          </w:tcPr>
          <w:p>
            <w:pPr>
              <w:spacing w:after="0"/>
              <w:rPr>
                <w:sz w:val="20"/>
                <w:szCs w:val="20"/>
                <w:color w:val="auto"/>
              </w:rPr>
            </w:pPr>
            <w:r>
              <w:rPr>
                <w:rFonts w:ascii="Arial" w:cs="Arial" w:eastAsia="Arial" w:hAnsi="Arial"/>
                <w:sz w:val="14"/>
                <w:szCs w:val="14"/>
                <w:b w:val="1"/>
                <w:bCs w:val="1"/>
                <w:color w:val="0000FF"/>
              </w:rPr>
              <w:t>Table of Contents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30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Amounts Due By Period</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60" w:type="dxa"/>
            <w:vAlign w:val="bottom"/>
          </w:tcPr>
          <w:p>
            <w:pPr>
              <w:spacing w:after="0"/>
              <w:rPr>
                <w:sz w:val="13"/>
                <w:szCs w:val="13"/>
                <w:color w:val="auto"/>
              </w:rPr>
            </w:pPr>
          </w:p>
        </w:tc>
        <w:tc>
          <w:tcPr>
            <w:tcW w:w="94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2 - 3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6 - 10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Secured credit facilities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2,075,150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w w:val="92"/>
              </w:rPr>
              <w:t>2,067,054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2,007,491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200,601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367,168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1,139,722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Secured term loans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270,250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9,412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242,927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 w:type="dxa"/>
            <w:vAlign w:val="bottom"/>
          </w:tcPr>
          <w:p>
            <w:pPr>
              <w:spacing w:after="0"/>
              <w:rPr>
                <w:sz w:val="23"/>
                <w:szCs w:val="23"/>
                <w:color w:val="auto"/>
              </w:rPr>
            </w:pP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debt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Total principal maturities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4,452,891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200,601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384,676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2"/>
              </w:rPr>
              <w:t>3,224,687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542,927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Interest Payable(1)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229,982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446,378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23,141</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Lease Obligations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5,979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9,909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11,823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5,499,045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436,562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841,887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3,490,867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603,755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125,974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variable-rate debt assumes a 30-day LIBOR rate of 0.20% (the 30-day LIBOR rate at June 28, 2013).</w:t>
      </w:r>
    </w:p>
    <w:p>
      <w:pPr>
        <w:spacing w:after="0" w:line="13"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also have issued letters of credit totaling $3.7 million in connection with four of our investments. See Unfunded Commitments below, for a discussion of certain unfunded commitments related to our lending and net lease businesses.</w:t>
      </w:r>
    </w:p>
    <w:p>
      <w:pPr>
        <w:spacing w:after="0" w:line="146"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February 2013 Secured Credit Facility</w:t>
      </w:r>
      <w:r>
        <w:rPr>
          <w:rFonts w:ascii="Arial" w:cs="Arial" w:eastAsia="Arial" w:hAnsi="Arial"/>
          <w:sz w:val="18"/>
          <w:szCs w:val="18"/>
          <w:color w:val="auto"/>
        </w:rPr>
        <w:t>—On February 11, 2013, we entered into a $1.71 billion senior secured credit facility due October 15, 2017</w:t>
      </w:r>
      <w:r>
        <w:rPr>
          <w:rFonts w:ascii="Arial" w:cs="Arial" w:eastAsia="Arial" w:hAnsi="Arial"/>
          <w:sz w:val="18"/>
          <w:szCs w:val="18"/>
          <w:b w:val="1"/>
          <w:bCs w:val="1"/>
          <w:color w:val="auto"/>
        </w:rPr>
        <w:t xml:space="preserve"> </w:t>
      </w:r>
      <w:r>
        <w:rPr>
          <w:rFonts w:ascii="Arial" w:cs="Arial" w:eastAsia="Arial" w:hAnsi="Arial"/>
          <w:sz w:val="18"/>
          <w:szCs w:val="18"/>
          <w:color w:val="auto"/>
        </w:rPr>
        <w:t>(the “February 2013 Secured Credit Facility”) that amended and restated our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Borrowings under the February 2013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February 2013 Secured Credit Facility. For so long as collateral coverage is between 137.5% and 150% of outstanding borrowings, 50% of proceeds from principal repayments and sales of collateral will be applied to repay outstanding borrowings under the February 2013 Secured Credit Facility and for so long as collateral coverage is greater than 150% of outstanding borrowings, we may retain all proceeds from principal repayments and sales of collateral. We retain proceeds from interest, rent, lease payments and fee income in all cases.</w:t>
      </w:r>
    </w:p>
    <w:p>
      <w:pPr>
        <w:spacing w:after="0" w:line="14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February 2013 Secured Credit Facility transaction, the Company incurred $17.1 million of lender fees, of which $14.4 million was capitalized in "Debt Obligations, net" on the Company's Consolidated Balance Sheets and $2.7 million was recorded in "Gain (loss) on early extinguishment of debt, net" on the Company's Consolidated Statement of Operations as it related to the lenders who did not participate in the new facility. The Company also incurred $3.8 million in third party fees, of which $3.6 million was recognized in “Other expense” on the Company's Consolidated Statements of Operations, as it related primarily to those lenders from the original facility that modified their debt under the new facility, and $0.2 million was recorded in “Deferred expenses and other assets, net” on the Company's Consolidated Balance Sheets, as it related to the new lenders.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June 30, 2013, the Company has made cumulative amortization repayments of $109.9 million on the February 2013 Secured Credit Facility. Repayments of the February 2013 Secured Credit Facility prior to the scheduled maturity date have resulted in losses on early extinguishment of debt of $1.7 million and $2.5 million for the three and six months ended June 30, 2013, respectively, related to the acceleration of discounts and unamortized deferred financing fees on the portion of the facility that was repaid.</w:t>
      </w:r>
    </w:p>
    <w:p>
      <w:pPr>
        <w:spacing w:after="0" w:line="142"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October 2012 Secured Credit Facility</w:t>
      </w:r>
      <w:r>
        <w:rPr>
          <w:rFonts w:ascii="Arial" w:cs="Arial" w:eastAsia="Arial" w:hAnsi="Arial"/>
          <w:sz w:val="18"/>
          <w:szCs w:val="18"/>
          <w:color w:val="auto"/>
        </w:rPr>
        <w:t>—On October 15, 2012, we entered into a $1.82 billion senior secured credit agreement due October 15, 2017</w:t>
      </w:r>
      <w:r>
        <w:rPr>
          <w:rFonts w:ascii="Arial" w:cs="Arial" w:eastAsia="Arial" w:hAnsi="Arial"/>
          <w:sz w:val="18"/>
          <w:szCs w:val="18"/>
          <w:b w:val="1"/>
          <w:bCs w:val="1"/>
          <w:color w:val="auto"/>
        </w:rPr>
        <w:t xml:space="preserve"> </w:t>
      </w:r>
      <w:r>
        <w:rPr>
          <w:rFonts w:ascii="Arial" w:cs="Arial" w:eastAsia="Arial" w:hAnsi="Arial"/>
          <w:sz w:val="18"/>
          <w:szCs w:val="18"/>
          <w:color w:val="auto"/>
        </w:rPr>
        <w:t>(the “October 2012 Secured Credit Facility”). Proceeds from the October 2012 Secured Credit Facility were used to refinance the remaining outstanding balances of the Company's then existing 2011 Secured Credit Facilities.</w:t>
      </w:r>
    </w:p>
    <w:p>
      <w:pPr>
        <w:spacing w:after="0" w:line="1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October 2012 Secured Credit Facility was refinanced by the February 2013 Secured Credit Facility. Prior to refinancing, we made cumulative amortization repayments of $113.0 million on the October 2012 Secured Credit Facility, which resulted in losses on early extinguishment of debt of $0.8 million for the three months ended March 31, 2013 related to the acceleration of discounts and unamortized deferred financing fees on the portion of the facility that was repaid.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4" w:right="2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the time of the refinancing, we had $30.5 million of unamortized discounts and financing fees related to the October 2012 Secured Credit Facility. In connection with the refinancing, we recorded a loss on early extinguishment of debt of $4.9 million, related primarily to the portion of lenders in the original facility that did not participate in the new facility. The remaining $25.6 million of unamortized fees and discounts will continue to be amortized to interest expense over the remaining term of the February 2013 Secured Credit Facility.</w:t>
      </w:r>
    </w:p>
    <w:p>
      <w:pPr>
        <w:spacing w:after="0" w:line="14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color w:val="auto"/>
        </w:rPr>
        <w:t>March 2012 Secured Credit Facilities</w:t>
      </w:r>
      <w:r>
        <w:rPr>
          <w:rFonts w:ascii="Arial" w:cs="Arial" w:eastAsia="Arial" w:hAnsi="Arial"/>
          <w:sz w:val="17"/>
          <w:szCs w:val="17"/>
          <w:color w:val="auto"/>
        </w:rPr>
        <w:t>—In March 2012, we entered into an $880.0 million senior secured credit agreement providing for two tranches</w:t>
      </w:r>
      <w:r>
        <w:rPr>
          <w:rFonts w:ascii="Arial" w:cs="Arial" w:eastAsia="Arial" w:hAnsi="Arial"/>
          <w:sz w:val="17"/>
          <w:szCs w:val="17"/>
          <w:b w:val="1"/>
          <w:bCs w:val="1"/>
          <w:color w:val="auto"/>
        </w:rPr>
        <w:t xml:space="preserve"> </w:t>
      </w:r>
      <w:r>
        <w:rPr>
          <w:rFonts w:ascii="Arial" w:cs="Arial" w:eastAsia="Arial" w:hAnsi="Arial"/>
          <w:sz w:val="17"/>
          <w:szCs w:val="17"/>
          <w:color w:val="auto"/>
        </w:rPr>
        <w:t>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were used to repurchase and repay at maturity $606.7 million aggregate principal amount of our convertible notes due October 2012, to fully repay the $244.0 million balance on our unsecured credit facility due June 2012, and to repay, upon maturity, $90.3 million outstanding principal balance of our 5.50% senior unsecured notes.</w:t>
      </w:r>
    </w:p>
    <w:p>
      <w:pPr>
        <w:spacing w:after="0" w:line="13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us.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We may make optional prepayments on each tranche of term loans, subject to prepayment fees.</w:t>
      </w:r>
    </w:p>
    <w:p>
      <w:pPr>
        <w:spacing w:after="0" w:line="13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Through June 30, 2013, the Company made cumulative amortization repayments of $401.9 million on the 2012 Tranche A-1 Facility, which exceeds all required amortization payments through maturity. Repayments of the 2012 Tranche A-1 Facility prior to scheduled amortization dates have resulted in losses on early extinguishment of debt of $1.3 million and $4.2 million for the three and six months ended June 30, 2013, respectively, related to the acceleration of discounts and unamortized deferred financing fees on the portion of the facility that was repaid.</w:t>
      </w:r>
    </w:p>
    <w:p>
      <w:pPr>
        <w:spacing w:after="0" w:line="127"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Unsecured Notes</w:t>
      </w:r>
      <w:r>
        <w:rPr>
          <w:rFonts w:ascii="Arial" w:cs="Arial" w:eastAsia="Arial" w:hAnsi="Arial"/>
          <w:sz w:val="16"/>
          <w:szCs w:val="16"/>
          <w:color w:val="auto"/>
        </w:rPr>
        <w:t>—In May 2013, the Company issued $265.0 million aggregate principal of 3.875% senior unsecured notes due July 2016 and issued</w:t>
      </w:r>
      <w:r>
        <w:rPr>
          <w:rFonts w:ascii="Arial" w:cs="Arial" w:eastAsia="Arial" w:hAnsi="Arial"/>
          <w:sz w:val="16"/>
          <w:szCs w:val="16"/>
          <w:b w:val="1"/>
          <w:bCs w:val="1"/>
          <w:color w:val="auto"/>
        </w:rPr>
        <w:t xml:space="preserve"> </w:t>
      </w:r>
      <w:r>
        <w:rPr>
          <w:rFonts w:ascii="Arial" w:cs="Arial" w:eastAsia="Arial" w:hAnsi="Arial"/>
          <w:sz w:val="16"/>
          <w:szCs w:val="16"/>
          <w:color w:val="auto"/>
        </w:rPr>
        <w:t>$300.0 million aggregate principal of 4.875% senior unsecured notes due July 2018. Net proceeds from these transactions, together with cash on hand, were used to fully repay the remaining $96.8 million of outstanding 8.625% senior unsecured notes due June 2013 and the remaining $448.5 million of the 5.95% senior unsecured notes due October 2013. In connection with the repayment of outstanding 5.95% senior unsecured notes, the Company incurred $9.5 million of losses related to a prepayment penalty and the acceleration of amortization of discounts, which was recorded in "Gain (loss) on early extinguishment of debt, net" on the Company's Consolidated Statements of Operations for the three months and six months ended June 30, 2013.</w:t>
      </w:r>
    </w:p>
    <w:p>
      <w:pPr>
        <w:spacing w:after="0" w:line="11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Unencumbered/Encumbered Assets</w:t>
      </w:r>
      <w:r>
        <w:rPr>
          <w:rFonts w:ascii="Arial" w:cs="Arial" w:eastAsia="Arial" w:hAnsi="Arial"/>
          <w:sz w:val="18"/>
          <w:szCs w:val="18"/>
          <w:color w:val="auto"/>
        </w:rPr>
        <w:t>—As of June 30, 2013, the carrying value of our encumbered and unencumbered assets by asset type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 in thousands):</w:t>
      </w: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6"/>
              </w:rPr>
              <w:t>June 30, 2013</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Encumbered</w:t>
            </w: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Unencumbered Assets</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Encumbered</w:t>
            </w:r>
          </w:p>
        </w:tc>
        <w:tc>
          <w:tcPr>
            <w:tcW w:w="160" w:type="dxa"/>
            <w:vAlign w:val="bottom"/>
          </w:tcPr>
          <w:p>
            <w:pPr>
              <w:spacing w:after="0"/>
              <w:rPr>
                <w:sz w:val="13"/>
                <w:szCs w:val="13"/>
                <w:color w:val="auto"/>
              </w:rPr>
            </w:pPr>
          </w:p>
        </w:tc>
        <w:tc>
          <w:tcPr>
            <w:tcW w:w="118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Assets</w:t>
            </w:r>
          </w:p>
        </w:tc>
        <w:tc>
          <w:tcPr>
            <w:tcW w:w="15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1,659,468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1,091,209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1,794,198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1,004,825</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223,340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300,752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141,673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494,192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 net(1)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1,044,024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1,197,373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665,712</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29,482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160,136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43,545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355,298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968,757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487,073</w:t>
            </w:r>
          </w:p>
        </w:tc>
        <w:tc>
          <w:tcPr>
            <w:tcW w:w="0" w:type="dxa"/>
            <w:vAlign w:val="bottom"/>
          </w:tcPr>
          <w:p>
            <w:pPr>
              <w:spacing w:after="0"/>
              <w:rPr>
                <w:sz w:val="1"/>
                <w:szCs w:val="1"/>
                <w:color w:val="auto"/>
              </w:rPr>
            </w:pPr>
          </w:p>
        </w:tc>
      </w:tr>
      <w:tr>
        <w:trPr>
          <w:trHeight w:val="257"/>
        </w:trPr>
        <w:tc>
          <w:tcPr>
            <w:tcW w:w="544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2,956,314</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4"/>
              </w:rPr>
              <w:t>3,022,766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3,176,789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3,007,100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of June 30, 2013 and December 31, 2012, the amounts presented are gross of general reserves for loan losses of $32.3 million and $33.1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we expect that our ability to incur new indebtedness under the fixed charge coverage ratio will be limited for the foreseeable future, we will continue to be permitted to incur indebtedness for the purpose of refinancing existing indebtedness and for other permitted purposes under the indentures.</w:t>
      </w:r>
    </w:p>
    <w:p>
      <w:pPr>
        <w:spacing w:after="0" w:line="13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March 2012 Secured Credit Facilities and February 2013 Secured Credit Facility are collectively defined as the "Secured Credit Facilities." Our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Secured Credit Facilities permit us to distribute 100% of our REIT taxable income on an annual basis and the February 2013 Secured Credit Facility permits us to distribute to our shareholders real estate assets, or interests therein, having an aggregate equity value not to exceed $200 million, so long as such assets are not collateral for the February 2013 Secured Credit Facility. We may not pay common dividends if we cease to qualify as a REIT (except that the February 2013 Secured Credit Facility permits us to distribute certain real estate assets as described in the preceding sentence).</w:t>
      </w:r>
    </w:p>
    <w:p>
      <w:pPr>
        <w:spacing w:after="0" w:line="1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Derivatives</w:t>
      </w:r>
      <w:r>
        <w:rPr>
          <w:rFonts w:ascii="Arial" w:cs="Arial" w:eastAsia="Arial" w:hAnsi="Arial"/>
          <w:sz w:val="18"/>
          <w:szCs w:val="18"/>
          <w:color w:val="auto"/>
        </w:rPr>
        <w:t>—Our use of derivative financial instruments is primarily limited to the utilization of interest rate hedges or other instruments to manage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 exposure and foreign currency hedges to manage our risk to changes in foreign currencies. The principal objectives of such hedges are to minimize the risks and/or costs associated with our operating and financial structure and to manage our exposure to interest rate and foreign currency movements (see Note 10 of the Notes to the Consolidated Financial Statements).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Off-Balance Sheet Arrangements</w:t>
      </w:r>
      <w:r>
        <w:rPr>
          <w:rFonts w:ascii="Arial" w:cs="Arial" w:eastAsia="Arial" w:hAnsi="Arial"/>
          <w:sz w:val="18"/>
          <w:szCs w:val="18"/>
          <w:color w:val="auto"/>
        </w:rPr>
        <w:t>—We are not dependent on the use of any off-balance sheet financing arrangements for liquidity.</w:t>
      </w:r>
    </w:p>
    <w:p>
      <w:pPr>
        <w:spacing w:after="0" w:line="18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i w:val="1"/>
          <w:i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June 30, 2013,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Loans and Other Lending</w:t>
            </w:r>
          </w:p>
        </w:tc>
        <w:tc>
          <w:tcPr>
            <w:tcW w:w="360" w:type="dxa"/>
            <w:vAlign w:val="bottom"/>
          </w:tcPr>
          <w:p>
            <w:pPr>
              <w:spacing w:after="0"/>
              <w:rPr>
                <w:sz w:val="14"/>
                <w:szCs w:val="14"/>
                <w:color w:val="auto"/>
              </w:rPr>
            </w:pPr>
          </w:p>
        </w:tc>
        <w:tc>
          <w:tcPr>
            <w:tcW w:w="15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Real Estate</w:t>
            </w:r>
          </w:p>
        </w:tc>
        <w:tc>
          <w:tcPr>
            <w:tcW w:w="10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Arial" w:cs="Arial" w:eastAsia="Arial" w:hAnsi="Arial"/>
                <w:sz w:val="14"/>
                <w:szCs w:val="14"/>
                <w:b w:val="1"/>
                <w:bCs w:val="1"/>
                <w:color w:val="auto"/>
              </w:rPr>
              <w:t>Strategic</w:t>
            </w:r>
          </w:p>
        </w:tc>
        <w:tc>
          <w:tcPr>
            <w:tcW w:w="460" w:type="dxa"/>
            <w:vAlign w:val="bottom"/>
          </w:tcPr>
          <w:p>
            <w:pPr>
              <w:spacing w:after="0"/>
              <w:rPr>
                <w:sz w:val="14"/>
                <w:szCs w:val="14"/>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164,542</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Discretionary Fundings</w:t>
            </w:r>
          </w:p>
        </w:tc>
        <w:tc>
          <w:tcPr>
            <w:tcW w:w="14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47,040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47,040</w:t>
            </w:r>
          </w:p>
        </w:tc>
        <w:tc>
          <w:tcPr>
            <w:tcW w:w="0" w:type="dxa"/>
            <w:vAlign w:val="bottom"/>
          </w:tcPr>
          <w:p>
            <w:pPr>
              <w:spacing w:after="0"/>
              <w:rPr>
                <w:sz w:val="1"/>
                <w:szCs w:val="1"/>
                <w:color w:val="auto"/>
              </w:rPr>
            </w:pPr>
          </w:p>
        </w:tc>
      </w:tr>
      <w:tr>
        <w:trPr>
          <w:trHeight w:val="257"/>
        </w:trPr>
        <w:tc>
          <w:tcPr>
            <w:tcW w:w="328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118,145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46,397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47,040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211,582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b w:val="1"/>
          <w:bCs w:val="1"/>
          <w:i w:val="1"/>
          <w:iCs w:val="1"/>
          <w:color w:val="auto"/>
        </w:rPr>
        <w:t>Transactions with Related Parties</w:t>
      </w:r>
      <w:r>
        <w:rPr>
          <w:rFonts w:ascii="Arial" w:cs="Arial" w:eastAsia="Arial" w:hAnsi="Arial"/>
          <w:sz w:val="18"/>
          <w:szCs w:val="18"/>
          <w:color w:val="auto"/>
        </w:rPr>
        <w:t>—We had an equity interest of approximately 24% in LNR Property Corporation ("LNR") and two of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served on LNR's board of managers. We sold this interest in April 2013 for $220.3 million in net proceeds.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Stock Repurchase Program</w:t>
      </w:r>
      <w:r>
        <w:rPr>
          <w:rFonts w:ascii="Arial" w:cs="Arial" w:eastAsia="Arial" w:hAnsi="Arial"/>
          <w:sz w:val="17"/>
          <w:szCs w:val="17"/>
          <w:color w:val="auto"/>
        </w:rPr>
        <w:t>—On May 15, 2012, our Board of Directors approved a stock repurchase program that authorized the repurchase of up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 million of our Common Stock in open market and privately negotiated purchases, including pursuant to one or more trading plans. As of June 30, 2013, we had $16.0 million available to repurchase Common Stock under our Board authorized stock repurchase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corporate and industry experience and various other assumptions that we believe to be appropriate under the circumstances.</w:t>
      </w:r>
    </w:p>
    <w:p>
      <w:pPr>
        <w:spacing w:after="0" w:line="11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 summary of our critical accounting estimates is included in our Annual Report on Form 10-K for the year ended December 31, 2012 in Management's Discussion and Analysis of Financial Condition. There have been no significant changes to our critical accounting estimates as of June 30, 2013.</w:t>
      </w:r>
    </w:p>
    <w:p>
      <w:pPr>
        <w:spacing w:after="0" w:line="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the Consolidated Financial Statements.</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first six months of 2013 as compared to the disclosures included in our Annual Report on Form 10-K for the year ended December 31, 2012. See discussion of quantitative and qualitative disclosures about market risk under Item 7a—"Quantitative and Qualitative Disclosures about Market Risk," included in our Annual Report on Form 10-K for the year ended December 31, 2012.</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1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 related proceedings.</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Company's Annual Report on Form 10-K for the fiscal year ended December 31, 2012.</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20"/>
          </w:cols>
          <w:pgMar w:left="240" w:top="118" w:right="239" w:bottom="1440" w:gutter="0" w:footer="0" w:header="0"/>
        </w:sect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right="4180"/>
        <w:spacing w:after="0"/>
        <w:rPr>
          <w:sz w:val="20"/>
          <w:szCs w:val="20"/>
          <w:color w:val="auto"/>
        </w:rPr>
      </w:pPr>
      <w:r>
        <w:rPr>
          <w:rFonts w:ascii="Arial" w:cs="Arial" w:eastAsia="Arial" w:hAnsi="Arial"/>
          <w:sz w:val="16"/>
          <w:szCs w:val="16"/>
          <w:b w:val="1"/>
          <w:bCs w:val="1"/>
          <w:color w:val="auto"/>
        </w:rPr>
        <w:t>Document Description</w:t>
      </w:r>
    </w:p>
    <w:p>
      <w:pPr>
        <w:spacing w:after="0" w:line="90" w:lineRule="exact"/>
        <w:rPr>
          <w:sz w:val="20"/>
          <w:szCs w:val="20"/>
          <w:color w:val="auto"/>
        </w:rPr>
      </w:pPr>
    </w:p>
    <w:p>
      <w:pPr>
        <w:sectPr>
          <w:pgSz w:w="11900" w:h="16838" w:orient="portrait"/>
          <w:cols w:equalWidth="0" w:num="2">
            <w:col w:w="4780" w:space="720"/>
            <w:col w:w="5920"/>
          </w:cols>
          <w:pgMar w:left="240" w:top="118" w:right="239" w:bottom="1440" w:gutter="0" w:footer="0" w:header="0"/>
          <w:type w:val="continuous"/>
        </w:sectPr>
      </w:pPr>
    </w:p>
    <w:p>
      <w:pPr>
        <w:ind w:left="1260"/>
        <w:spacing w:after="0"/>
        <w:rPr>
          <w:sz w:val="20"/>
          <w:szCs w:val="20"/>
          <w:color w:val="auto"/>
        </w:rPr>
      </w:pPr>
      <w:r>
        <w:rPr>
          <w:rFonts w:ascii="Arial" w:cs="Arial" w:eastAsia="Arial" w:hAnsi="Arial"/>
          <w:sz w:val="17"/>
          <w:szCs w:val="17"/>
          <w:color w:val="auto"/>
        </w:rPr>
        <w:t>3.1  Amended By-Laws of the Company (incorporated by reference from the Company's Current Report on Form 8-K filed on May 24,</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2013).</w:t>
      </w:r>
    </w:p>
    <w:p>
      <w:pPr>
        <w:spacing w:after="0" w:line="49" w:lineRule="exact"/>
        <w:rPr>
          <w:sz w:val="20"/>
          <w:szCs w:val="20"/>
          <w:color w:val="auto"/>
        </w:rPr>
      </w:pPr>
    </w:p>
    <w:p>
      <w:pPr>
        <w:ind w:left="1620" w:right="380" w:hanging="359"/>
        <w:spacing w:after="0" w:line="298" w:lineRule="auto"/>
        <w:rPr>
          <w:sz w:val="20"/>
          <w:szCs w:val="20"/>
          <w:color w:val="auto"/>
        </w:rPr>
      </w:pPr>
      <w:r>
        <w:rPr>
          <w:rFonts w:ascii="Arial" w:cs="Arial" w:eastAsia="Arial" w:hAnsi="Arial"/>
          <w:sz w:val="17"/>
          <w:szCs w:val="17"/>
          <w:color w:val="auto"/>
        </w:rPr>
        <w:t>4.1 Twenty-Third Supplemental Indenture, dated May 10, 2013, between the Company and U.S. Bank National Association, as trustee (incorporated by reference from the Company's Current Report on Form 8-K filed on May 16, 2013).</w:t>
      </w:r>
    </w:p>
    <w:p>
      <w:pPr>
        <w:spacing w:after="0" w:line="1" w:lineRule="exact"/>
        <w:rPr>
          <w:sz w:val="20"/>
          <w:szCs w:val="20"/>
          <w:color w:val="auto"/>
        </w:rPr>
      </w:pPr>
    </w:p>
    <w:p>
      <w:pPr>
        <w:ind w:left="1620" w:right="760" w:hanging="359"/>
        <w:spacing w:after="0" w:line="277" w:lineRule="auto"/>
        <w:rPr>
          <w:sz w:val="20"/>
          <w:szCs w:val="20"/>
          <w:color w:val="auto"/>
        </w:rPr>
      </w:pPr>
      <w:r>
        <w:rPr>
          <w:rFonts w:ascii="Arial" w:cs="Arial" w:eastAsia="Arial" w:hAnsi="Arial"/>
          <w:sz w:val="18"/>
          <w:szCs w:val="18"/>
          <w:color w:val="auto"/>
        </w:rPr>
        <w:t>4.2 Form of Global Note evidencing 3.875% Senior Notes due 2016 issued on May 10, 2013 (incorporated by reference from the Company's Current Report on Form 8-K filed on May 16, 2013).</w:t>
      </w:r>
    </w:p>
    <w:p>
      <w:pPr>
        <w:spacing w:after="0" w:line="8" w:lineRule="exact"/>
        <w:rPr>
          <w:sz w:val="20"/>
          <w:szCs w:val="20"/>
          <w:color w:val="auto"/>
        </w:rPr>
      </w:pPr>
    </w:p>
    <w:p>
      <w:pPr>
        <w:ind w:left="1620" w:right="820" w:hanging="359"/>
        <w:spacing w:after="0" w:line="317" w:lineRule="auto"/>
        <w:rPr>
          <w:sz w:val="20"/>
          <w:szCs w:val="20"/>
          <w:color w:val="auto"/>
        </w:rPr>
      </w:pPr>
      <w:r>
        <w:rPr>
          <w:rFonts w:ascii="Arial" w:cs="Arial" w:eastAsia="Arial" w:hAnsi="Arial"/>
          <w:sz w:val="16"/>
          <w:szCs w:val="16"/>
          <w:color w:val="auto"/>
        </w:rPr>
        <w:t>4.3 Twenty-Fourth Supplemental Indenture, dated May 10, 2013, between the Company and U.S. Bank National Association, as trustee (incorporated by reference from the Company's Current Report on Form 8-K filed on May 16, 2013).</w:t>
      </w:r>
    </w:p>
    <w:p>
      <w:pPr>
        <w:ind w:left="1620" w:right="760" w:hanging="359"/>
        <w:spacing w:after="0" w:line="277" w:lineRule="auto"/>
        <w:rPr>
          <w:sz w:val="20"/>
          <w:szCs w:val="20"/>
          <w:color w:val="auto"/>
        </w:rPr>
      </w:pPr>
      <w:r>
        <w:rPr>
          <w:rFonts w:ascii="Arial" w:cs="Arial" w:eastAsia="Arial" w:hAnsi="Arial"/>
          <w:sz w:val="18"/>
          <w:szCs w:val="18"/>
          <w:color w:val="auto"/>
        </w:rPr>
        <w:t>4.4 Form of Global Note evidencing 4.875% Senior Notes due 2018 issued on May 10, 2013 (incorporated by reference from the Company's Current Report on Form 8-K filed on May 16, 2013).</w:t>
      </w:r>
    </w:p>
    <w:p>
      <w:pPr>
        <w:spacing w:after="0" w:line="8" w:lineRule="exact"/>
        <w:rPr>
          <w:sz w:val="20"/>
          <w:szCs w:val="20"/>
          <w:color w:val="auto"/>
        </w:rPr>
      </w:pPr>
    </w:p>
    <w:p>
      <w:pPr>
        <w:ind w:left="1620" w:right="520" w:hanging="449"/>
        <w:spacing w:after="0" w:line="259" w:lineRule="auto"/>
        <w:rPr>
          <w:sz w:val="20"/>
          <w:szCs w:val="20"/>
          <w:color w:val="auto"/>
        </w:rPr>
      </w:pPr>
      <w:r>
        <w:rPr>
          <w:rFonts w:ascii="Arial" w:cs="Arial" w:eastAsia="Arial" w:hAnsi="Arial"/>
          <w:sz w:val="18"/>
          <w:szCs w:val="18"/>
          <w:color w:val="auto"/>
        </w:rPr>
        <w:t>10.1 Underwriting Agreement, dated March 12, 2013, by and among the Company and Merrill Lynch, Pierce, Fenner &amp; Smith Incorporated and the other several underwriters named therein, relating to the Company's 3.875% Senior Notes due 2016 and the 4.875% Senior Notes due 2018 (incorporated by reference from the Company's Current Report on Form 8-K filed on May 16, 2013).</w:t>
      </w:r>
    </w:p>
    <w:p>
      <w:pPr>
        <w:spacing w:after="0" w:line="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31.1  Certifications pursuant to Section 302 of the Sarbanes-Oxley Act</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32.1  Certifications pursuant to Section 906 of the Sarbanes-Oxley Act.</w:t>
      </w:r>
    </w:p>
    <w:p>
      <w:pPr>
        <w:spacing w:after="0" w:line="63" w:lineRule="exact"/>
        <w:rPr>
          <w:sz w:val="20"/>
          <w:szCs w:val="20"/>
          <w:color w:val="auto"/>
        </w:rPr>
      </w:pPr>
    </w:p>
    <w:p>
      <w:pPr>
        <w:ind w:left="1620" w:right="320" w:hanging="396"/>
        <w:spacing w:after="0" w:line="272" w:lineRule="auto"/>
        <w:tabs>
          <w:tab w:leader="none" w:pos="1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Quarterly Report on Form 10-Q for the period ended June 30, 2013 is formatted in XBRL ("eXtensible Business Reporting Language"): (i) the Consolidated Balance Sheets (unaudited) as of June 30, 2013 and December 31, 2012, (ii) the Consolidated Statements of Operations (unaudited) for the three and six months ended June 30, 2013 and 2012, (iii) the Consolidated Statements of Comprehensive Income (Loss) (unaudited) for the three and six months ended June 30, 2013 and 2012, (iv) the Consolidated Statement of Changes in Equity (unaudited) for the six months ended June 30, 2013, (v) the Consolidated Statements of Cash Flows (unaudited) for the six months ended June 30, 2013 and 2012 and (vi) the Notes to the Consolidated Financial Statements (unaudited).*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312" w:lineRule="auto"/>
        <w:tabs>
          <w:tab w:leader="none" w:pos="6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9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August 6, 2013</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760" w:val="left"/>
        </w:tabs>
        <w:rPr>
          <w:sz w:val="20"/>
          <w:szCs w:val="20"/>
          <w:color w:val="auto"/>
        </w:rPr>
      </w:pPr>
      <w:r>
        <w:rPr>
          <w:rFonts w:ascii="Arial" w:cs="Arial" w:eastAsia="Arial" w:hAnsi="Arial"/>
          <w:sz w:val="18"/>
          <w:szCs w:val="18"/>
          <w:color w:val="auto"/>
        </w:rPr>
        <w:t>Date: August 6, 2013</w:t>
      </w:r>
      <w:r>
        <w:rPr>
          <w:sz w:val="20"/>
          <w:szCs w:val="20"/>
          <w:color w:val="auto"/>
        </w:rPr>
        <w:tab/>
      </w:r>
      <w:r>
        <w:rPr>
          <w:rFonts w:ascii="Arial" w:cs="Arial" w:eastAsia="Arial" w:hAnsi="Arial"/>
          <w:sz w:val="17"/>
          <w:szCs w:val="17"/>
          <w:color w:val="auto"/>
        </w:rPr>
        <w:t>/s/ DAVID M.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David M. DiStaso</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18"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300" w:firstLine="316"/>
        <w:spacing w:after="0" w:line="264" w:lineRule="auto"/>
        <w:tabs>
          <w:tab w:leader="none" w:pos="9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91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40" w:firstLine="316"/>
        <w:spacing w:after="0" w:line="342" w:lineRule="auto"/>
        <w:tabs>
          <w:tab w:leader="none" w:pos="909"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100" w:firstLine="316"/>
        <w:spacing w:after="0" w:line="264" w:lineRule="auto"/>
        <w:tabs>
          <w:tab w:leader="none" w:pos="91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200" w:firstLine="316"/>
        <w:spacing w:after="0" w:line="277" w:lineRule="auto"/>
        <w:tabs>
          <w:tab w:leader="none" w:pos="9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180" w:firstLine="316"/>
        <w:spacing w:after="0" w:line="277" w:lineRule="auto"/>
        <w:tabs>
          <w:tab w:leader="none" w:pos="91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6, 2013</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300" w:firstLine="316"/>
        <w:spacing w:after="0" w:line="264" w:lineRule="auto"/>
        <w:tabs>
          <w:tab w:leader="none" w:pos="9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91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40" w:firstLine="316"/>
        <w:spacing w:after="0" w:line="342" w:lineRule="auto"/>
        <w:tabs>
          <w:tab w:leader="none" w:pos="909"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100" w:firstLine="316"/>
        <w:spacing w:after="0" w:line="264" w:lineRule="auto"/>
        <w:tabs>
          <w:tab w:leader="none" w:pos="91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200" w:firstLine="316"/>
        <w:spacing w:after="0" w:line="277" w:lineRule="auto"/>
        <w:tabs>
          <w:tab w:leader="none" w:pos="9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180" w:firstLine="316"/>
        <w:spacing w:after="0" w:line="277" w:lineRule="auto"/>
        <w:tabs>
          <w:tab w:leader="none" w:pos="91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6, 2013</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DAVID M. DISTASO</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M. DiStaso</w:t>
            </w:r>
          </w:p>
        </w:tc>
      </w:tr>
      <w:tr>
        <w:trPr>
          <w:trHeight w:val="164"/>
        </w:trPr>
        <w:tc>
          <w:tcPr>
            <w:tcW w:w="3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3" w:lineRule="exact"/>
              <w:rPr>
                <w:sz w:val="20"/>
                <w:szCs w:val="20"/>
                <w:color w:val="auto"/>
              </w:rPr>
            </w:pPr>
            <w:r>
              <w:rPr>
                <w:rFonts w:ascii="Arial" w:cs="Arial" w:eastAsia="Arial" w:hAnsi="Arial"/>
                <w:sz w:val="18"/>
                <w:szCs w:val="18"/>
                <w:i w:val="1"/>
                <w:iCs w:val="1"/>
                <w:color w:val="auto"/>
              </w:rPr>
              <w:t>Chief Financial Officer (principal</w:t>
            </w: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620" w:type="dxa"/>
            <w:vAlign w:val="bottom"/>
            <w:vMerge w:val="restart"/>
          </w:tcPr>
          <w:p>
            <w:pPr>
              <w:ind w:left="260"/>
              <w:spacing w:after="0"/>
              <w:rPr>
                <w:sz w:val="20"/>
                <w:szCs w:val="20"/>
                <w:color w:val="auto"/>
              </w:rPr>
            </w:pPr>
            <w:r>
              <w:rPr>
                <w:rFonts w:ascii="Arial" w:cs="Arial" w:eastAsia="Arial" w:hAnsi="Arial"/>
                <w:sz w:val="18"/>
                <w:szCs w:val="18"/>
                <w:i w:val="1"/>
                <w:iCs w:val="1"/>
                <w:color w:val="auto"/>
                <w:w w:val="92"/>
              </w:rPr>
              <w:t>financial and accounting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 as adopted pursuant to Section 906 of The Sarbanes-Oxley Act of 2002, that the Quarterly Report on Form 10-Q for the quarter ended June 30, 2013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6, 2013</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undersigned, the principal financial officer of iStar Financial Inc. (the "Company"), hereby certifies on the date hereof, pursuant to 18 U.S.C. 1350, as adopted pursuant to Section 906 of The Sarbanes-Oxley Act of 2002, that the Quarterly Report on Form 10-Q for the quarter ended June 30, 2013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6, 2013</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DAVID M. DISTASO</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M. DiStaso</w:t>
            </w:r>
          </w:p>
        </w:tc>
      </w:tr>
      <w:tr>
        <w:trPr>
          <w:trHeight w:val="164"/>
        </w:trPr>
        <w:tc>
          <w:tcPr>
            <w:tcW w:w="3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4" w:lineRule="exact"/>
              <w:rPr>
                <w:sz w:val="20"/>
                <w:szCs w:val="20"/>
                <w:color w:val="auto"/>
              </w:rPr>
            </w:pPr>
            <w:r>
              <w:rPr>
                <w:rFonts w:ascii="Arial" w:cs="Arial" w:eastAsia="Arial" w:hAnsi="Arial"/>
                <w:sz w:val="18"/>
                <w:szCs w:val="18"/>
                <w:i w:val="1"/>
                <w:iCs w:val="1"/>
                <w:color w:val="auto"/>
              </w:rPr>
              <w:t>Chief Financial Officer (principal</w:t>
            </w: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620" w:type="dxa"/>
            <w:vAlign w:val="bottom"/>
            <w:vMerge w:val="restart"/>
          </w:tcPr>
          <w:p>
            <w:pPr>
              <w:ind w:left="260"/>
              <w:spacing w:after="0"/>
              <w:rPr>
                <w:sz w:val="20"/>
                <w:szCs w:val="20"/>
                <w:color w:val="auto"/>
              </w:rPr>
            </w:pPr>
            <w:r>
              <w:rPr>
                <w:rFonts w:ascii="Arial" w:cs="Arial" w:eastAsia="Arial" w:hAnsi="Arial"/>
                <w:sz w:val="18"/>
                <w:szCs w:val="18"/>
                <w:i w:val="1"/>
                <w:iCs w:val="1"/>
                <w:color w:val="auto"/>
                <w:w w:val="92"/>
              </w:rPr>
              <w:t>financial and accounting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0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2019-12-06T23:10:15Z</dcterms:created>
  <dcterms:modified xsi:type="dcterms:W3CDTF">2019-12-06T23:10:15Z</dcterms:modified>
</cp:coreProperties>
</file>