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22023_080645.xml.htm"/>
      <w:bookmarkStart w:id="1" w:name="ksform406222023_080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RIDINGS BARRY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1114 AVE OF THE AMERICAS 39TH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Safehold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SAFE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2"/>
        <w:gridCol w:w="904"/>
        <w:gridCol w:w="774"/>
        <w:gridCol w:w="600"/>
        <w:gridCol w:w="349"/>
        <w:gridCol w:w="846"/>
        <w:gridCol w:w="497"/>
        <w:gridCol w:w="617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5,342</w:t>
            </w:r>
          </w:p>
        </w:tc>
        <w:tc>
          <w:tcPr>
            <w:tcW w:w="4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34,276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Equivalents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4,665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5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Effective June 20, 2023, the Reporting Person was granted 5,342 shares of Common Stock of Safehold Inc. (NYSE: SAFE) for his services as a Director of Safehold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Barry W. Ridings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44258" TargetMode="External"/><Relationship Id="rId4" Type="http://schemas.openxmlformats.org/officeDocument/2006/relationships/hyperlink" Target="http://www.sec.gov/cgi-bin/browse-edgar?action=getcompany&amp;CIK=000109565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3218</Characters>
  <CharactersWithSpaces>3749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