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6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JOSEPHS ROBIN</w:t>
              </w:r>
            </w:hyperlink>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Safehold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SAFE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600" w:type="dxa"/>
            <w:vAlign w:val="bottom"/>
            <w:tcBorders>
              <w:bottom w:val="single" w:sz="8" w:color="0000EE"/>
            </w:tcBorders>
            <w:gridSpan w:val="2"/>
            <w:vMerge w:val="continue"/>
          </w:tcPr>
          <w:p>
            <w:pPr>
              <w:spacing w:after="0"/>
              <w:rPr>
                <w:sz w:val="5"/>
                <w:szCs w:val="5"/>
                <w:color w:val="auto"/>
              </w:rPr>
            </w:pPr>
          </w:p>
        </w:tc>
        <w:tc>
          <w:tcPr>
            <w:tcW w:w="20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0" w:type="dxa"/>
            <w:vAlign w:val="bottom"/>
            <w:tcBorders>
              <w:top w:val="single" w:sz="8" w:color="0000EE"/>
            </w:tcBorders>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20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262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2040" w:type="dxa"/>
            <w:vAlign w:val="bottom"/>
            <w:tcBorders>
              <w:top w:val="single" w:sz="8" w:color="EEEEEE"/>
            </w:tcBorders>
            <w:vMerge w:val="restart"/>
          </w:tcPr>
          <w:p>
            <w:pPr>
              <w:ind w:left="8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040" w:type="dxa"/>
            <w:vAlign w:val="bottom"/>
            <w:vMerge w:val="continue"/>
          </w:tcPr>
          <w:p>
            <w:pPr>
              <w:spacing w:after="0"/>
              <w:rPr>
                <w:sz w:val="19"/>
                <w:szCs w:val="19"/>
                <w:color w:val="auto"/>
              </w:rPr>
            </w:pPr>
          </w:p>
        </w:tc>
        <w:tc>
          <w:tcPr>
            <w:tcW w:w="12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10/15/2024</w:t>
            </w: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1114 AVENUE OF THE AMERICAS, 39TH FLR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10/15/2024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210</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A</w:t>
            </w:r>
            <w:r>
              <w:rPr>
                <w:rFonts w:ascii="Times New Roman" w:cs="Times New Roman" w:eastAsia="Times New Roman" w:hAnsi="Times New Roman"/>
                <w:sz w:val="11"/>
                <w:szCs w:val="11"/>
                <w:color w:val="008000"/>
              </w:rPr>
              <w:t>(1)</w:t>
            </w: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left="69"/>
              <w:spacing w:after="0"/>
              <w:rPr>
                <w:sz w:val="20"/>
                <w:szCs w:val="20"/>
                <w:color w:val="auto"/>
              </w:rPr>
            </w:pPr>
            <w:r>
              <w:rPr>
                <w:rFonts w:ascii="Times New Roman" w:cs="Times New Roman" w:eastAsia="Times New Roman" w:hAnsi="Times New Roman"/>
                <w:sz w:val="17"/>
                <w:szCs w:val="17"/>
                <w:color w:val="0000FF"/>
              </w:rPr>
              <w:t>39,047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jc w:val="center"/>
              <w:ind w:left="49"/>
              <w:spacing w:after="0"/>
              <w:rPr>
                <w:sz w:val="20"/>
                <w:szCs w:val="20"/>
                <w:color w:val="auto"/>
              </w:rPr>
            </w:pPr>
            <w:r>
              <w:rPr>
                <w:rFonts w:ascii="Times New Roman" w:cs="Times New Roman" w:eastAsia="Times New Roman" w:hAnsi="Times New Roman"/>
                <w:sz w:val="17"/>
                <w:szCs w:val="17"/>
                <w:color w:val="0000FF"/>
                <w:w w:val="99"/>
              </w:rPr>
              <w:t>3,107</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IRA</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center"/>
              <w:ind w:left="69"/>
              <w:spacing w:after="0"/>
              <w:rPr>
                <w:sz w:val="20"/>
                <w:szCs w:val="20"/>
                <w:color w:val="auto"/>
              </w:rPr>
            </w:pPr>
            <w:r>
              <w:rPr>
                <w:rFonts w:ascii="Times New Roman" w:cs="Times New Roman" w:eastAsia="Times New Roman" w:hAnsi="Times New Roman"/>
                <w:sz w:val="17"/>
                <w:szCs w:val="17"/>
                <w:color w:val="0000FF"/>
              </w:rPr>
              <w:t>104,263</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Trusts</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0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15, 2024, the Reporting Person acquired 210 Common Stock Equivalents (CSEs) in accordance with the provisions of the Non-Employee Directors' Deferral Plan (Plan). Under the Plan, as dividends are declared and paid on Safehold Inc. common stock, the Reporting Person's holdings of outstanding CSEs are credited with additional CSEs based on the amount of the dividend and the value of a share of Safehold Inc. Common Stock on the dividend date. Each CSE is convertible on a one-for-one basis into shares of Safehold Inc. common stock.</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Austin Lee, as Attorney-in- </w:t>
      </w:r>
      <w:r>
        <w:rPr>
          <w:rFonts w:ascii="Times New Roman" w:cs="Times New Roman" w:eastAsia="Times New Roman" w:hAnsi="Times New Roman"/>
          <w:sz w:val="33"/>
          <w:szCs w:val="33"/>
          <w:color w:val="0000FF"/>
          <w:vertAlign w:val="subscript"/>
        </w:rPr>
        <w:t>10/17/2024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1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Robin Josephs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11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115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22801" TargetMode="External"/><Relationship Id="rId14" Type="http://schemas.openxmlformats.org/officeDocument/2006/relationships/hyperlink" Target="http://www.sec.gov/cgi-bin/browse-edgar?action=getcompany&amp;CIK=00010956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2024-10-17T05:12:28Z</dcterms:created>
  <dcterms:modified xsi:type="dcterms:W3CDTF">2024-10-17T05:12:28Z</dcterms:modified>
</cp:coreProperties>
</file>