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10"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620"/>
            <w:col w:w="458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259"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700" w:space="720"/>
            <w:col w:w="1800" w:space="720"/>
            <w:col w:w="2120" w:space="720"/>
            <w:col w:w="2640"/>
          </w:cols>
          <w:pgMar w:left="240" w:top="229" w:right="239" w:bottom="1440" w:gutter="0" w:footer="0" w:header="0"/>
          <w:type w:val="continuous"/>
        </w:sectPr>
      </w:pPr>
    </w:p>
    <w:p>
      <w:pPr>
        <w:ind w:left="628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9"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9" w:right="2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April 30, 2015, there were 85,519,852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640" w:type="dxa"/>
            <w:vAlign w:val="bottom"/>
            <w:tcBorders>
              <w:bottom w:val="single" w:sz="8" w:color="0000EE"/>
            </w:tcBorders>
            <w:gridSpan w:val="4"/>
          </w:tcPr>
          <w:p>
            <w:pPr>
              <w:spacing w:after="0" w:line="170"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52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70" w:lineRule="exact"/>
              <w:rPr>
                <w:rFonts w:ascii="Arial" w:cs="Arial" w:eastAsia="Arial" w:hAnsi="Arial"/>
                <w:sz w:val="18"/>
                <w:szCs w:val="18"/>
                <w:color w:val="0000EE"/>
              </w:rPr>
            </w:pPr>
            <w:hyperlink w:anchor="page2">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7"/>
        </w:trPr>
        <w:tc>
          <w:tcPr>
            <w:tcW w:w="11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(unaudited) as of March 31, 2015 and December 31, 2014</w:t>
              </w:r>
            </w:hyperlink>
          </w:p>
        </w:tc>
        <w:tc>
          <w:tcPr>
            <w:tcW w:w="32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(unaudited)—For the three months ended March 31,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(Loss) (unaudited)—For the three months ended March 31, 2015 and 2014</w:t>
              </w:r>
            </w:hyperlink>
          </w:p>
        </w:tc>
        <w:tc>
          <w:tcPr>
            <w:tcW w:w="3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Equity (unaudited)—For the three months ended March 31,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(unaudited)—For the three months ended March 31, 2015 and 2014</w:t>
              </w:r>
            </w:hyperlink>
          </w:p>
        </w:tc>
        <w:tc>
          <w:tcPr>
            <w:tcW w:w="480" w:type="dxa"/>
            <w:vAlign w:val="bottom"/>
            <w:tcBorders>
              <w:top w:val="single" w:sz="8" w:color="0000EE"/>
            </w:tcBorders>
          </w:tcPr>
          <w:p>
            <w:pPr>
              <w:spacing w:after="0"/>
              <w:rPr>
                <w:sz w:val="21"/>
                <w:szCs w:val="21"/>
                <w:color w:val="auto"/>
              </w:rPr>
            </w:pPr>
          </w:p>
        </w:tc>
        <w:tc>
          <w:tcPr>
            <w:tcW w:w="128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2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42">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Other Information</w:t>
              </w:r>
            </w:hyperlink>
          </w:p>
        </w:tc>
        <w:tc>
          <w:tcPr>
            <w:tcW w:w="82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Legal Proceedings</w:t>
              </w:r>
            </w:hyperlink>
          </w:p>
        </w:tc>
        <w:tc>
          <w:tcPr>
            <w:tcW w:w="82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Unregistered Sales of Equity Securities and Use of Proceeds</w:t>
              </w:r>
            </w:hyperlink>
          </w:p>
        </w:tc>
        <w:tc>
          <w:tcPr>
            <w:tcW w:w="52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6"/>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82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3,145,563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(468,849)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2,676,714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285,982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2,828,881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2,962,696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1,537,846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1,377,843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625,352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472,061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96,279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98,262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181,785</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5,652,580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5,463,133</w:t>
            </w:r>
          </w:p>
        </w:tc>
      </w:tr>
      <w:tr>
        <w:trPr>
          <w:trHeight w:val="237"/>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4,261,528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4,022,684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4,419,779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4,203,586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11)</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High Performance Units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$0.001 par value, 200,000 shares authorized, 146,181 issued and 85,520 outstanding at March 31,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and 145,807 issued and 85,191 outstanding at December 31, 2014</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4,007,540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4,007,514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(2,556,469)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(see Note 11)</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Treasury stock, at cost, $0.001 par value, 60,661 shares at March 31, 2015 and 60,617 shares at December 31,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(262,954)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1,169,113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1,197,092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51,256</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1,219,598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1,248,348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5,652,580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5,463,133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Operating lease income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59,139</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62,108</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27,914</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Other income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10,564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14,584</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Land development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4,143</w:t>
            </w:r>
          </w:p>
        </w:tc>
        <w:tc>
          <w:tcPr>
            <w:tcW w:w="0" w:type="dxa"/>
            <w:vAlign w:val="bottom"/>
          </w:tcPr>
          <w:p>
            <w:pPr>
              <w:spacing w:after="0"/>
              <w:rPr>
                <w:sz w:val="1"/>
                <w:szCs w:val="1"/>
                <w:color w:val="auto"/>
              </w:rPr>
            </w:pPr>
          </w:p>
        </w:tc>
      </w:tr>
      <w:tr>
        <w:trPr>
          <w:trHeight w:val="219"/>
        </w:trPr>
        <w:tc>
          <w:tcPr>
            <w:tcW w:w="8120" w:type="dxa"/>
            <w:vAlign w:val="bottom"/>
          </w:tcPr>
          <w:p>
            <w:pPr>
              <w:ind w:left="28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112,857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108,749</w:t>
            </w:r>
          </w:p>
        </w:tc>
        <w:tc>
          <w:tcPr>
            <w:tcW w:w="0" w:type="dxa"/>
            <w:vAlign w:val="bottom"/>
          </w:tcPr>
          <w:p>
            <w:pPr>
              <w:spacing w:after="0"/>
              <w:rPr>
                <w:sz w:val="1"/>
                <w:szCs w:val="1"/>
                <w:color w:val="auto"/>
              </w:rPr>
            </w:pPr>
          </w:p>
        </w:tc>
      </w:tr>
      <w:tr>
        <w:trPr>
          <w:trHeight w:val="31"/>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54,632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57,456</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Real estate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42,613</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Land development cost of sales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6,891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3,654</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18,613</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20,753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19,788</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Provision for (recovery of) loan losses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Impairment of assets</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2,979</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9"/>
        </w:trPr>
        <w:tc>
          <w:tcPr>
            <w:tcW w:w="8120" w:type="dxa"/>
            <w:vAlign w:val="bottom"/>
          </w:tcPr>
          <w:p>
            <w:pPr>
              <w:ind w:left="2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146,827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141,924</w:t>
            </w:r>
          </w:p>
        </w:tc>
        <w:tc>
          <w:tcPr>
            <w:tcW w:w="0" w:type="dxa"/>
            <w:vAlign w:val="bottom"/>
          </w:tcPr>
          <w:p>
            <w:pPr>
              <w:spacing w:after="0"/>
              <w:rPr>
                <w:sz w:val="1"/>
                <w:szCs w:val="1"/>
                <w:color w:val="auto"/>
              </w:rPr>
            </w:pPr>
          </w:p>
        </w:tc>
      </w:tr>
      <w:tr>
        <w:trPr>
          <w:trHeight w:val="31"/>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before earnings from equity method investments and other items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(33,175)</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Loss on early extinguishment of debt, net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(1,180)</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Earnings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3,177</w:t>
            </w:r>
          </w:p>
        </w:tc>
        <w:tc>
          <w:tcPr>
            <w:tcW w:w="0" w:type="dxa"/>
            <w:vAlign w:val="bottom"/>
          </w:tcPr>
          <w:p>
            <w:pPr>
              <w:spacing w:after="0"/>
              <w:rPr>
                <w:sz w:val="1"/>
                <w:szCs w:val="1"/>
                <w:color w:val="auto"/>
              </w:rPr>
            </w:pP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income taxes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(27,591)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(31,178)</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Income (loss) from continuing operations(1)</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(33,469)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(30,671)</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from sales of real estate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21,156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16,494</w:t>
            </w:r>
          </w:p>
        </w:tc>
        <w:tc>
          <w:tcPr>
            <w:tcW w:w="0" w:type="dxa"/>
            <w:vAlign w:val="bottom"/>
          </w:tcPr>
          <w:p>
            <w:pPr>
              <w:spacing w:after="0"/>
              <w:rPr>
                <w:sz w:val="1"/>
                <w:szCs w:val="1"/>
                <w:color w:val="auto"/>
              </w:rPr>
            </w:pP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(12,313)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(14,177)</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income (loss) attributable to iStar Financial Inc.</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(10,472)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(14,631)</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Net (income) loss allocable to HPU holders and Participating Security holders(2)(3)</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31"/>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 allocable to common shareholders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(26,572)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Per common share data(1):</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(loss) attributable to iStar Financial Inc. from continuing operations—Basic and diluted</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Net income (loss) attributable to iStar Financial Inc.—Basic and diluted</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Weighted average number of common shares—Basic and diluted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84,819</w:t>
            </w:r>
          </w:p>
        </w:tc>
        <w:tc>
          <w:tcPr>
            <w:tcW w:w="0" w:type="dxa"/>
            <w:vAlign w:val="bottom"/>
          </w:tcPr>
          <w:p>
            <w:pPr>
              <w:spacing w:after="0"/>
              <w:rPr>
                <w:sz w:val="1"/>
                <w:szCs w:val="1"/>
                <w:color w:val="auto"/>
              </w:rPr>
            </w:pP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b w:val="1"/>
                <w:bCs w:val="1"/>
                <w:color w:val="auto"/>
              </w:rPr>
              <w:t>Per HPU share data(1)(2):</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(loss) attributable to iStar Financial Inc. from continuing operations—Basic and diluted</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(59.27)</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Net income (loss) attributable to iStar Financial Inc.—Basic and diluted</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(49.93)</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(59.27)</w:t>
            </w:r>
          </w:p>
        </w:tc>
        <w:tc>
          <w:tcPr>
            <w:tcW w:w="0" w:type="dxa"/>
            <w:vAlign w:val="bottom"/>
          </w:tcPr>
          <w:p>
            <w:pPr>
              <w:spacing w:after="0"/>
              <w:rPr>
                <w:sz w:val="1"/>
                <w:szCs w:val="1"/>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Weighted average number of HPU share—Basic and diluted</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
        </w:trPr>
        <w:tc>
          <w:tcPr>
            <w:tcW w:w="8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500" w:hanging="492"/>
        <w:spacing w:after="0" w:line="250"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Financial Inc. was $(31.6) million and $(31.3) million for the three months ended March 31, 2015 and 2014, respectively. See Note 13 for details on the calculation of earnings per share.</w:t>
      </w: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non-employee directors who hold common stock equivalents and restricted stock awards granted under the Company's Long Term Incentive Plans that are eligible to participate in dividends (see Note 12 and Note 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(gains)/losses on available-for-sale securities into earnings upon realization(1)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Reclassification of (gains)/losses on cash flow hedges into earnings upon realization(2)</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income" on the Company's Consolidated Statements of Operations.</w:t>
      </w:r>
    </w:p>
    <w:p>
      <w:pPr>
        <w:spacing w:after="0" w:line="13" w:lineRule="exact"/>
        <w:rPr>
          <w:rFonts w:ascii="Arial" w:cs="Arial" w:eastAsia="Arial" w:hAnsi="Arial"/>
          <w:sz w:val="14"/>
          <w:szCs w:val="14"/>
          <w:color w:val="auto"/>
        </w:rPr>
      </w:pPr>
    </w:p>
    <w:p>
      <w:pPr>
        <w:ind w:left="500" w:hanging="492"/>
        <w:spacing w:after="0" w:line="293"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the three months ended March 31, 2015 and 2014, $35 and $135, respectively, are included in "Interest expense" on the Company's Consolidated Statements of Operations. For the three months ended March 31, 2015, $115 is included in "Earnings from equity method investments" on the Company Consolidated Statements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HPU's</w:t>
            </w: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$4,007,514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$(2,556,469)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$(262,954)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51,256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$1,248,348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stock/restricted stock unit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Net income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Repurchase of stock</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additional</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in capital</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Contributions from</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93"/>
              </w:rPr>
              <w:t>$4,007,540</w:t>
            </w:r>
          </w:p>
        </w:tc>
        <w:tc>
          <w:tcPr>
            <w:tcW w:w="12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$(2,579,771)</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8"/>
                <w:szCs w:val="1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$(263,512)</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50,485</w:t>
            </w:r>
          </w:p>
        </w:tc>
        <w:tc>
          <w:tcPr>
            <w:tcW w:w="140" w:type="dxa"/>
            <w:vAlign w:val="bottom"/>
          </w:tcPr>
          <w:p>
            <w:pPr>
              <w:spacing w:after="0"/>
              <w:rPr>
                <w:sz w:val="18"/>
                <w:szCs w:val="18"/>
                <w:color w:val="auto"/>
              </w:rPr>
            </w:pPr>
          </w:p>
        </w:tc>
        <w:tc>
          <w:tcPr>
            <w:tcW w:w="9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86"/>
              </w:rPr>
              <w:t>$ 1,219,598</w:t>
            </w:r>
          </w:p>
        </w:tc>
        <w:tc>
          <w:tcPr>
            <w:tcW w:w="0" w:type="dxa"/>
            <w:vAlign w:val="bottom"/>
          </w:tcPr>
          <w:p>
            <w:pPr>
              <w:spacing w:after="0"/>
              <w:rPr>
                <w:sz w:val="1"/>
                <w:szCs w:val="1"/>
                <w:color w:val="auto"/>
              </w:rPr>
            </w:pPr>
          </w:p>
        </w:tc>
      </w:tr>
      <w:tr>
        <w:trPr>
          <w:trHeight w:val="242"/>
        </w:trPr>
        <w:tc>
          <w:tcPr>
            <w:tcW w:w="2020" w:type="dxa"/>
            <w:vAlign w:val="bottom"/>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445"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HPU's</w:t>
            </w: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3"/>
              </w:rPr>
              <w:t>$4,022,138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$(262,954)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58,205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$1,301,465</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stock/restricted stock unit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Net income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938</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Change in additional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paid in capital</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w w:val="93"/>
              </w:rPr>
              <w:t>$4,013,303</w:t>
            </w:r>
          </w:p>
        </w:tc>
        <w:tc>
          <w:tcPr>
            <w:tcW w:w="12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$(2,549,079)</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18"/>
                <w:szCs w:val="1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$(262,954)</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56,548</w:t>
            </w:r>
          </w:p>
        </w:tc>
        <w:tc>
          <w:tcPr>
            <w:tcW w:w="140" w:type="dxa"/>
            <w:vAlign w:val="bottom"/>
          </w:tcPr>
          <w:p>
            <w:pPr>
              <w:spacing w:after="0"/>
              <w:rPr>
                <w:sz w:val="18"/>
                <w:szCs w:val="18"/>
                <w:color w:val="auto"/>
              </w:rPr>
            </w:pPr>
          </w:p>
        </w:tc>
        <w:tc>
          <w:tcPr>
            <w:tcW w:w="9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86"/>
              </w:rPr>
              <w:t>$ 1,262,117</w:t>
            </w:r>
          </w:p>
        </w:tc>
        <w:tc>
          <w:tcPr>
            <w:tcW w:w="0" w:type="dxa"/>
            <w:vAlign w:val="bottom"/>
          </w:tcPr>
          <w:p>
            <w:pPr>
              <w:spacing w:after="0"/>
              <w:rPr>
                <w:sz w:val="1"/>
                <w:szCs w:val="1"/>
                <w:color w:val="auto"/>
              </w:rPr>
            </w:pPr>
          </w:p>
        </w:tc>
      </w:tr>
      <w:tr>
        <w:trPr>
          <w:trHeight w:val="242"/>
        </w:trPr>
        <w:tc>
          <w:tcPr>
            <w:tcW w:w="2020" w:type="dxa"/>
            <w:vAlign w:val="bottom"/>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three months ended March 31, 2015 and 2014, net income (loss) shown above excludes $(1,022) and $(484) of net loss attributable to redeemable noncontrolling interests.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45"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(14,177)</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Provision for (recovery of) loan losses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18,613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withholding taxes upon vesting of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Non-cash expense for stock-based compensation</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2,075</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discounts/premiums and deferred financing costs on debt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discounts/premiums and deferred interest on loans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(12,527)</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from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Distributions from operations of equity method investments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8,630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operating lease income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from sales of real estate and land development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activities,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accrued interest and operating lease income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Changes in deferred expenses and other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6,418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accounts payable, accrued expenses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(42,714)</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(64,821)</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Investment originations and fundings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(188,044)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(193,943)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on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Acquisitions of real estate assets</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and principal collections on loans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102,928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proceeds from sales of loans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sales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161,233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Distributions from other investments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19,558</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7,671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Repayments of debt obligations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(60,863)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(2,984)</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(74,610)</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Changes in cash and cash equivalents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(103,970)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513,568</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625,352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409,598</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 (see Note 15).</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2014, as amended on Form 10-K/A on March 27, 2015 (the "2014 Annual Report").</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Consolidated Financial Statements and the related Notes to conform to the 2015 presentation.</w:t>
      </w:r>
    </w:p>
    <w:p>
      <w:pPr>
        <w:spacing w:after="0" w:line="14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year ended December 31, 2014, the Company determined that its classification of proceeds received from land sales for the quarterly periods ended March 31, June 30 and September 30, 2014 was incorrectly classified as a component of cash flows from operating activities rather than cash flows from investing activities. The Company evaluated the impact on the previously issued statements of cash flows for the aforementioned periods and concluded that it was not material. However, in order to correctly present such cash flows, the Company will revise the amounts as those financial statements are presented in the respective 2015 quarterly filings. The impact of the correction for the three months ended March 31, 2014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Previously Reported</w:t>
            </w:r>
          </w:p>
        </w:tc>
        <w:tc>
          <w:tcPr>
            <w:tcW w:w="340" w:type="dxa"/>
            <w:vAlign w:val="bottom"/>
          </w:tcPr>
          <w:p>
            <w:pPr>
              <w:spacing w:after="0"/>
              <w:rPr>
                <w:sz w:val="16"/>
                <w:szCs w:val="16"/>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1300" w:type="dxa"/>
            <w:vAlign w:val="bottom"/>
          </w:tcPr>
          <w:p>
            <w:pPr>
              <w:jc w:val="right"/>
              <w:ind w:right="376"/>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Three months ended March 31, 2014</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(64,821)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Three months ended March 31, 2014</w:t>
            </w: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35,461</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March 31, 2015, the Company consolidated 4 VIEs for which it is considered the primary beneficiary. At March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assets of these consolidated VIEs were $162.7 million and total liabilities were $13.3 million. The classifications of these assets are primarily within "Real estate, net" and "Other investments" on the Company's Consolidated Balance Sheets. The classifications of liabilities are primarily within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$38.8 million as of March 31, 2015.</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March 31, 2015, 25 of the Company's investments were in VIEs where it is not the primary beneficiary and accordingly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VIEs have not been consolidated in the Company's Consolidated Financial Statements. As of March 31, 2015, the Company's maximum exposure to loss from these investments does not exceed the sum of the $166.3 million carrying value of the investments, which are classified in "Other investments" on the Company's Consolidated Balance Sheets, and $22.7 million of related unfunded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2015, the Company's significant accounting policies, which are detailed in the Company's 2014 Annual Report, have not changed materially.</w:t>
      </w:r>
    </w:p>
    <w:p>
      <w:pPr>
        <w:spacing w:after="0" w:line="12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In May 2014, the FASB issued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("ASU 2014-09")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supersedes existing industry-specific guidance, including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The new standard is principles-based and requires more estimates and judgment than current guidance. Certain contracts with customers, including lease contracts and financial instruments and other contractual rights, are not within the scope of the new guidance. ASU 2014-09 is effective for interim and annual reporting periods beginning after December 15, 2016. Early adoption is not permitted. Management is evaluating the impact of the guidance on the Company's Consolidated Financial Statements.</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June 2014, the FASB issued ASU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("ASU 2014-12") which requires a performance target that affects vesting and that could be achieved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the requisite service period be treated as a performance condition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ASU 2014-12 is effective for interim and annual reporting periods beginning after December 15, 2015. Early adoption is permitted. Management does not believe the guidance will have a material impact on the Company's Consolidated Financial Statements.</w:t>
      </w:r>
    </w:p>
    <w:p>
      <w:pPr>
        <w:spacing w:after="0" w:line="1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is effective for interim and annual reporting periods beginning after December 15, 2016.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November 2014, the FASB issued ASU 2014-16, </w:t>
      </w:r>
      <w:r>
        <w:rPr>
          <w:rFonts w:ascii="Arial" w:cs="Arial" w:eastAsia="Arial" w:hAnsi="Arial"/>
          <w:sz w:val="18"/>
          <w:szCs w:val="18"/>
          <w:i w:val="1"/>
          <w:iCs w:val="1"/>
          <w:color w:val="auto"/>
        </w:rPr>
        <w:t>Determining Whether the Host Contract in a Hybrid Financial Instrument Issued in the Form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is More Akin to Debt or to Equity </w:t>
      </w:r>
      <w:r>
        <w:rPr>
          <w:rFonts w:ascii="Arial" w:cs="Arial" w:eastAsia="Arial" w:hAnsi="Arial"/>
          <w:sz w:val="18"/>
          <w:szCs w:val="18"/>
          <w:color w:val="auto"/>
        </w:rPr>
        <w:t>("ASU 2014-16") which eliminates the diversity in practice for the accounting for hybrid financial instruments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ASU 2014-16 is effective for interim and annual reporting periods beginning after December 15, 2015.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which updates the consolidation model for limited partnerships and similar legal entities. ASU 2015-02 includes the evaluation of fees paid to a decision maker as a variable interest and amends the effect of fee arrangements and related parties on the primary beneficiary determination. The guidance is effective for interim and annual reporting periods beginning after December 15,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Early adoption is permitted. Management is evaluating the impact of the guidance on the Company's Consolidated Financial Statements.</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("ASU 2015-03") which requires debt issuance costs to be presented as a deduction from the carrying value of the related debt obligation in the balance sheet, which is consistent with the presentation of debt discounts. The guidance is effective for interim and annual reporting periods beginning after December 15, 2015. Early adoption is permitted. Management does not believe the guidance will have a material impact on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Land</w:t>
            </w: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314,151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141,043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860,903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1,316,097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1,234,104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1,672,573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(370,818)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(452,397)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2,536,273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11,307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139,853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292,608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1,188,744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646,543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993,594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2,828,881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1,326,957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1,240,593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578,013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1,818,606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1,188,160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2,676,714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285,982</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1,192,681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791,053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978,962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2,962,696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March 31, 2015 and December 31, 2014, the Company had $132.9 million and $155.8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residential properties available for sale in its operating properties portfolio.</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months ended March 31, 2015, the Company reclassified residential units with a carrying value of $22.9 million to held for sale due to substantial completion of construction and active marketing of the units for sale. In addition, the Company reclassified net lease assets with a carrying value of $7.5 million, residential lots with a carrying value of $3.9 million and land with a carrying value of $2.8 million to held for sale due to executed contracts with third parties.</w:t>
      </w:r>
    </w:p>
    <w:p>
      <w:pPr>
        <w:spacing w:after="0" w:line="183"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The following acquisitions of real estate were reflected in the Company's Consolidated Statements of Cash Flows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2015 and 2014 ($ in thousands):</w:t>
      </w:r>
    </w:p>
    <w:p>
      <w:pPr>
        <w:spacing w:after="0" w:line="17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23495</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6"/>
                <w:szCs w:val="16"/>
                <w:color w:val="auto"/>
              </w:rPr>
            </w:pPr>
          </w:p>
        </w:tc>
      </w:tr>
      <w:tr>
        <w:trPr>
          <w:trHeight w:val="250"/>
        </w:trPr>
        <w:tc>
          <w:tcPr>
            <w:tcW w:w="8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 of real estate assets</w:t>
            </w:r>
          </w:p>
        </w:tc>
        <w:tc>
          <w:tcPr>
            <w:tcW w:w="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   (1)</w:t>
            </w:r>
          </w:p>
        </w:tc>
      </w:tr>
      <w:tr>
        <w:trPr>
          <w:trHeight w:val="305"/>
        </w:trPr>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Explanatory Note: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2"/>
        </w:trPr>
        <w:tc>
          <w:tcPr>
            <w:tcW w:w="7540" w:type="dxa"/>
            <w:vAlign w:val="bottom"/>
            <w:gridSpan w:val="2"/>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4"/>
                <w:szCs w:val="14"/>
                <w:color w:val="auto"/>
              </w:rPr>
              <w:t>(1)</w:t>
            </w:r>
          </w:p>
        </w:tc>
        <w:tc>
          <w:tcPr>
            <w:tcW w:w="8340" w:type="dxa"/>
            <w:vAlign w:val="bottom"/>
            <w:gridSpan w:val="2"/>
          </w:tcPr>
          <w:p>
            <w:pPr>
              <w:jc w:val="right"/>
              <w:ind w:right="1608"/>
              <w:spacing w:after="0"/>
              <w:rPr>
                <w:sz w:val="20"/>
                <w:szCs w:val="20"/>
                <w:color w:val="auto"/>
              </w:rPr>
            </w:pPr>
            <w:r>
              <w:rPr>
                <w:rFonts w:ascii="Arial" w:cs="Arial" w:eastAsia="Arial" w:hAnsi="Arial"/>
                <w:sz w:val="14"/>
                <w:szCs w:val="14"/>
                <w:color w:val="auto"/>
                <w:w w:val="95"/>
              </w:rPr>
              <w:t>During the three months ended March 31, 2014, the Company purchased one condominium unit for $2.4 million.</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20"/>
        </w:trPr>
        <w:tc>
          <w:tcPr>
            <w:tcW w:w="340" w:type="dxa"/>
            <w:vAlign w:val="bottom"/>
          </w:tcPr>
          <w:p>
            <w:pPr>
              <w:spacing w:after="0"/>
              <w:rPr>
                <w:sz w:val="24"/>
                <w:szCs w:val="24"/>
                <w:color w:val="auto"/>
              </w:rPr>
            </w:pPr>
          </w:p>
        </w:tc>
        <w:tc>
          <w:tcPr>
            <w:tcW w:w="7200" w:type="dxa"/>
            <w:vAlign w:val="bottom"/>
          </w:tcPr>
          <w:p>
            <w:pPr>
              <w:jc w:val="right"/>
              <w:ind w:right="1699"/>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three months ended March 31, 2015 and 2014, the Company sold residential condominiums for total net proceeds of $49.0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$47.7 million, respectively, and recorded income from sales of real estate totaling $17.6 million and $16.5 million, respectively. During the three months ended March 31, 2015, the Company sold residential lots from three of its master planned community properties, condominium units from an infill property and residential lots from another infill property for proceeds of $8.3 million which had associated cost of sales of $6.9 million. During the three months ended March 31, 2014, the Company sold residential lots from two of our master planned community properties for proceeds of $4.1 million and which had cost of sales of $3.7 million.</w:t>
      </w:r>
    </w:p>
    <w:p>
      <w:pPr>
        <w:spacing w:after="0" w:line="15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three months ended March 31, 2015, the Company, through a consolidated entity for which it has a 90% ownership interest, sold a leasehold interest in a commercial operating property for net proceeds of $93.5 million and simultaneously entered into a ground lease with an initial term of 99 years. In connection with this transaction, the Company recorded a lease incentive asset of $38.1 million, which is included in "Deferred expenses and other assets, net" on the Company's Consolidated Balance Sheets, and deferred a gain of $5.3 million, which is included in "Accounts payable, accrued expenses and other liabilities" on the Company's Consolidated Balance Sheets.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2015, the Company sold a net lease asset for net proceeds of $4.9 million resulting in a gain of $3.5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gain was recorded in "Income from sale of real estate" on the Company's Consolidated Statements of Operations.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2014, the Company sold a net lease asset for net proceeds of $93.7 million which approximated carrying value to a newly formed unconsolidated entity in which the Company has a noncontrolling equity interest of 51.9% (see Note 6).</w:t>
      </w:r>
    </w:p>
    <w:p>
      <w:pPr>
        <w:spacing w:after="0" w:line="1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2014, the Company sold properties with a carrying value of $6.7 million for proceeds that approximated carrying value. During the same period, the Company also sold a net lease asset for net proceeds of $7.8 million. The Company recorded an impairment loss of $3.0 million in connection with the sale.</w:t>
      </w:r>
    </w:p>
    <w:p>
      <w:pPr>
        <w:spacing w:after="0" w:line="137" w:lineRule="exact"/>
        <w:rPr>
          <w:sz w:val="20"/>
          <w:szCs w:val="20"/>
          <w:color w:val="auto"/>
        </w:rPr>
      </w:pPr>
    </w:p>
    <w:p>
      <w:pPr>
        <w:jc w:val="both"/>
        <w:ind w:right="20" w:firstLine="405"/>
        <w:spacing w:after="0" w:line="289" w:lineRule="auto"/>
        <w:rPr>
          <w:sz w:val="20"/>
          <w:szCs w:val="20"/>
          <w:color w:val="auto"/>
        </w:rPr>
      </w:pPr>
      <w:r>
        <w:rPr>
          <w:rFonts w:ascii="Arial" w:cs="Arial" w:eastAsia="Arial" w:hAnsi="Arial"/>
          <w:sz w:val="17"/>
          <w:szCs w:val="17"/>
          <w:b w:val="1"/>
          <w:bCs w:val="1"/>
          <w:color w:val="auto"/>
        </w:rPr>
        <w:t>Tenant Reimbursements—</w:t>
      </w:r>
      <w:r>
        <w:rPr>
          <w:rFonts w:ascii="Arial" w:cs="Arial" w:eastAsia="Arial" w:hAnsi="Arial"/>
          <w:sz w:val="17"/>
          <w:szCs w:val="17"/>
          <w:color w:val="auto"/>
        </w:rPr>
        <w:t>The Company receives reimbursements from tenants for certain facility operating expenses including common area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utilities and real estate taxes. Tenant expense reimbursements were $7.0 million and $8.5 million for the three months ended March 31, 2015 and 2014, respectively. These amounts are included in "Operating lease income" on the Company's Consolidated Statements of Operations.</w:t>
      </w:r>
    </w:p>
    <w:p>
      <w:pPr>
        <w:spacing w:after="0" w:line="158"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Redeemable Noncontrolling Interest—</w:t>
      </w:r>
      <w:r>
        <w:rPr>
          <w:rFonts w:ascii="Arial" w:cs="Arial" w:eastAsia="Arial" w:hAnsi="Arial"/>
          <w:sz w:val="18"/>
          <w:szCs w:val="18"/>
          <w:color w:val="auto"/>
        </w:rPr>
        <w:t>The Company has redeemable noncontrolling interests for which it records changes in the fair value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periods. At March 31, 2015 and December 31, 2014, the interest which is not currently redeemable had a carrying value of $9.3 million and $9.9 million, respectively, and an estimated redemption value of $23.6 million at both dates.</w:t>
      </w:r>
    </w:p>
    <w:p>
      <w:pPr>
        <w:spacing w:after="0" w:line="17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March 31, 2015 and December 31, 2014, the allowance for doubtful accounts related to real estate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was $1.4 million and $1.3 million, respectively, and the allowance for doubtful accounts related to deferred operating lease income was $2.4 million and $2.4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3"/>
                <w:szCs w:val="13"/>
                <w:color w:val="auto"/>
              </w:rPr>
            </w:pPr>
          </w:p>
        </w:tc>
        <w:tc>
          <w:tcPr>
            <w:tcW w:w="1460" w:type="dxa"/>
            <w:vAlign w:val="bottom"/>
          </w:tcPr>
          <w:p>
            <w:pPr>
              <w:jc w:val="right"/>
              <w:ind w:right="494"/>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876,765</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737,535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548,115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497,796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1,452,702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1,288,662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1,349,919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1,190,172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187,671</w:t>
            </w: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1,537,846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1,377,843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line="27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recorded investment in loans as of March 31, 2015 and December 31, 2014 includes accrued interest of $8.8 million and $7.0 million, respectively, which are included in "Accrued interest and operating lease income receivable, net" on the Company's Consolidated Balance Sheets.</w:t>
      </w:r>
    </w:p>
    <w:p>
      <w:pPr>
        <w:spacing w:after="0" w:line="12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During the three months ended March 31, 2015, the Company sold a loan with a carrying value of $5.5 million. No gain or loss was recognized as a result of the transaction. Gains and losses on sales of loans are included in "Other income" on the Company's Consolidated Statements of Operations.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98,490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377,204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Provision for (recovery of) loan losses(1)</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102,783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370,076</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500" w:hanging="492"/>
        <w:spacing w:after="0" w:line="27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2015 and 2014, the provision for loan losses includes recoveries of previously recorded loan loss reserves of $0.2 million and $5.2 million,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Individually</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Impairment(1)</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Impairment(2)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137,045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1,324,454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1,461,499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(102,783)</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72,262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1,286,454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1,358,716</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139,672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1,156,031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1,295,703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74,682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1,122,531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1,197,213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7"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$0.2 million and $0.2 million as of March 31, 2015 and December 31, 2014,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$11.5 million and $10.6 million as of March 31, 2015 and December 31, 2014, respectively.</w:t>
      </w:r>
    </w:p>
    <w:p>
      <w:pPr>
        <w:spacing w:after="0" w:line="18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Risk ratings are based on judgments which are inherently uncertain and there can be no assurance that actual performance will be similar to current expectation.</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As of March 31, 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As of December 31, 2014</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Risk Ratings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751,828</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611,009</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552,601</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501,620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6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28,129</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53,836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1,332,558</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1,166,465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2015, the Company's recorded investment in loans, aged by payment status and presented by class, were as follows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and Equal</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Than</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 90 Days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90 Days(1)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552,601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552,601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1,344,792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20,693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116,707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1,461,499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line="273"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2015, the Company had 3 loans which were greater than 90 days delinquent and were in various stages of resolution, including legal proceedings, environmental concerns and foreclosure-related proceedings, and ranged from 5.0 to 6.0 years outstanding.</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2015</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As of December 31, 2014</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Unpaid</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Related</w:t>
            </w:r>
          </w:p>
        </w:tc>
        <w:tc>
          <w:tcPr>
            <w:tcW w:w="11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Unpaid</w:t>
            </w:r>
          </w:p>
        </w:tc>
        <w:tc>
          <w:tcPr>
            <w:tcW w:w="10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36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Principal</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Allowance</w:t>
            </w:r>
          </w:p>
        </w:tc>
        <w:tc>
          <w:tcPr>
            <w:tcW w:w="1180" w:type="dxa"/>
            <w:vAlign w:val="bottom"/>
          </w:tcPr>
          <w:p>
            <w:pPr>
              <w:jc w:val="right"/>
              <w:ind w:right="137"/>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Balance</w:t>
            </w: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130,336</w:t>
            </w:r>
          </w:p>
        </w:tc>
        <w:tc>
          <w:tcPr>
            <w:tcW w:w="1400" w:type="dxa"/>
            <w:vAlign w:val="bottom"/>
            <w:gridSpan w:val="2"/>
          </w:tcPr>
          <w:p>
            <w:pPr>
              <w:jc w:val="right"/>
              <w:ind w:right="64"/>
              <w:spacing w:after="0"/>
              <w:rPr>
                <w:sz w:val="20"/>
                <w:szCs w:val="20"/>
                <w:color w:val="auto"/>
              </w:rPr>
            </w:pPr>
            <w:r>
              <w:rPr>
                <w:rFonts w:ascii="Arial" w:cs="Arial" w:eastAsia="Arial" w:hAnsi="Arial"/>
                <w:sz w:val="18"/>
                <w:szCs w:val="18"/>
                <w:color w:val="auto"/>
              </w:rPr>
              <w:t>129,428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(64,440)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130,645</w:t>
            </w:r>
          </w:p>
        </w:tc>
        <w:tc>
          <w:tcPr>
            <w:tcW w:w="1400" w:type="dxa"/>
            <w:vAlign w:val="bottom"/>
            <w:gridSpan w:val="3"/>
          </w:tcPr>
          <w:p>
            <w:pPr>
              <w:jc w:val="right"/>
              <w:ind w:right="24"/>
              <w:spacing w:after="0"/>
              <w:rPr>
                <w:sz w:val="20"/>
                <w:szCs w:val="20"/>
                <w:color w:val="auto"/>
              </w:rPr>
            </w:pPr>
            <w:r>
              <w:rPr>
                <w:rFonts w:ascii="Arial" w:cs="Arial" w:eastAsia="Arial" w:hAnsi="Arial"/>
                <w:sz w:val="18"/>
                <w:szCs w:val="18"/>
                <w:color w:val="auto"/>
              </w:rPr>
              <w:t>129,744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6,709</w:t>
            </w:r>
          </w:p>
        </w:tc>
        <w:tc>
          <w:tcPr>
            <w:tcW w:w="140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6,736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40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9,057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137,045</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64"/>
              <w:spacing w:after="0"/>
              <w:rPr>
                <w:sz w:val="20"/>
                <w:szCs w:val="20"/>
                <w:color w:val="auto"/>
              </w:rPr>
            </w:pPr>
            <w:r>
              <w:rPr>
                <w:rFonts w:ascii="Arial" w:cs="Arial" w:eastAsia="Arial" w:hAnsi="Arial"/>
                <w:sz w:val="18"/>
                <w:szCs w:val="18"/>
                <w:color w:val="auto"/>
              </w:rPr>
              <w:t>136,164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(64,783)</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138,801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57"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March 31, 2015 and December 31, 2014, certain loans modified through troubled debt restructurings with a recorded investment of $8.1 million and $10.4 million, respectively, are also included as impaired loans in accordance with GAAP although they are performing and on accrual status. The Company did not have impaired loans with no related allowance recorded.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r>
      <w:tr>
        <w:trPr>
          <w:trHeight w:val="152"/>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Recorded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501</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578,041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93,565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65</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671,606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93,565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65</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720,118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Troubled Debt Restructurings</w:t>
      </w:r>
      <w:r>
        <w:rPr>
          <w:rFonts w:ascii="Arial" w:cs="Arial" w:eastAsia="Arial" w:hAnsi="Arial"/>
          <w:sz w:val="18"/>
          <w:szCs w:val="18"/>
          <w:color w:val="auto"/>
        </w:rPr>
        <w:t>—During the three months ended March 31, 2015 and 2014, the Company did not modify any loans that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to be troubled debt restructurings.</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March 31, 2015, there were no unfunded commitments associated with modified loans considered troubled debt restructurings.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3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(Loss)</w:t>
            </w:r>
          </w:p>
        </w:tc>
        <w:tc>
          <w:tcPr>
            <w:tcW w:w="148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186,764</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175,237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187,774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194,208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187,927</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186,504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186,504</w:t>
            </w: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177,274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187,524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191,366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187,671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4"/>
            <w:vMerge w:val="restart"/>
          </w:tcPr>
          <w:p>
            <w:pPr>
              <w:jc w:val="right"/>
              <w:ind w:right="933"/>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Equity in Earnings for the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Pr>
          <w:p>
            <w:pPr>
              <w:spacing w:after="0"/>
              <w:rPr>
                <w:sz w:val="22"/>
                <w:szCs w:val="22"/>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real estate equity investments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88,848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Madison Funds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44,997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45,971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 LLC ("Marina Palms")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341,549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354,119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b w:val="1"/>
          <w:bCs w:val="1"/>
          <w:color w:val="auto"/>
        </w:rPr>
        <w:t>Net Lease Venture</w:t>
      </w:r>
      <w:r>
        <w:rPr>
          <w:rFonts w:ascii="Arial" w:cs="Arial" w:eastAsia="Arial" w:hAnsi="Arial"/>
          <w:sz w:val="18"/>
          <w:szCs w:val="18"/>
          <w:color w:val="auto"/>
        </w:rPr>
        <w:t>—During the three months ended March 31, 2014, the Company partnered with a sovereign wealth fund to form a new</w:t>
      </w:r>
      <w:r>
        <w:rPr>
          <w:rFonts w:ascii="Arial" w:cs="Arial" w:eastAsia="Arial" w:hAnsi="Arial"/>
          <w:sz w:val="18"/>
          <w:szCs w:val="18"/>
          <w:b w:val="1"/>
          <w:bCs w:val="1"/>
          <w:color w:val="auto"/>
        </w:rPr>
        <w:t xml:space="preserve"> </w:t>
      </w:r>
      <w:r>
        <w:rPr>
          <w:rFonts w:ascii="Arial" w:cs="Arial" w:eastAsia="Arial" w:hAnsi="Arial"/>
          <w:sz w:val="18"/>
          <w:szCs w:val="18"/>
          <w:color w:val="auto"/>
        </w:rPr>
        <w:t>unconsolidated entity in which the Company has a noncontrolling equity interest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officers whose time is substantially devoted to the net lease venture own a total of 0.6% equity ownership in the venture via co-investment. These officers are also entitled to an amount equal to 50% of any promote payment received based on the 47.5% partner's interest. During the three months ended March 31, 2014, the Company sold a net lease asset for net proceeds of $93.7 million, which approximated carrying value, to the venture. As of March 31, 2015 and December 31, 2014, the venture's carrying value of total assets was $346.8 million and $348.1 million, respectively.</w:t>
      </w:r>
    </w:p>
    <w:p>
      <w:pPr>
        <w:spacing w:after="0" w:line="135"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7"/>
          <w:szCs w:val="17"/>
          <w:b w:val="1"/>
          <w:bCs w:val="1"/>
          <w:color w:val="auto"/>
        </w:rPr>
        <w:t>Marina Palms</w:t>
      </w:r>
      <w:r>
        <w:rPr>
          <w:rFonts w:ascii="Arial" w:cs="Arial" w:eastAsia="Arial" w:hAnsi="Arial"/>
          <w:sz w:val="17"/>
          <w:szCs w:val="17"/>
          <w:color w:val="auto"/>
        </w:rPr>
        <w:t>—As of March 31, 2015, the Company owned a 47.5% equity interest and a $10.0 million preferred partnership interest in Marina</w:t>
      </w:r>
      <w:r>
        <w:rPr>
          <w:rFonts w:ascii="Arial" w:cs="Arial" w:eastAsia="Arial" w:hAnsi="Arial"/>
          <w:sz w:val="17"/>
          <w:szCs w:val="17"/>
          <w:b w:val="1"/>
          <w:bCs w:val="1"/>
          <w:color w:val="auto"/>
        </w:rPr>
        <w:t xml:space="preserve"> </w:t>
      </w:r>
      <w:r>
        <w:rPr>
          <w:rFonts w:ascii="Arial" w:cs="Arial" w:eastAsia="Arial" w:hAnsi="Arial"/>
          <w:sz w:val="17"/>
          <w:szCs w:val="17"/>
          <w:color w:val="auto"/>
        </w:rPr>
        <w:t>Palms. As of March 31, 2015 and December 31, 2014, the venture's carrying value of total assets was $275.8 million and $265.7 million, respectively.</w:t>
      </w:r>
    </w:p>
    <w:p>
      <w:pPr>
        <w:spacing w:after="0" w:line="8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March 31, 2015, the Company's other real estate equity investments included equity interests in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ventures ranging from 16% to 86%, comprised of investments of $12.3 million in operating properties and $73.7 million in land assets. As of December 31, 2014, the Company's real estate equity investments included $13.2 million in operating properties and $75.5 million in land assets.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March 31, 2015, the Company owned a 29.5% interest in Madison International Real Estate Fund II, LP ("MIRELF II"), a</w:t>
      </w:r>
      <w:r>
        <w:rPr>
          <w:rFonts w:ascii="Arial" w:cs="Arial" w:eastAsia="Arial" w:hAnsi="Arial"/>
          <w:sz w:val="18"/>
          <w:szCs w:val="18"/>
          <w:b w:val="1"/>
          <w:bCs w:val="1"/>
          <w:color w:val="auto"/>
        </w:rPr>
        <w:t xml:space="preserve"> </w:t>
      </w:r>
      <w:r>
        <w:rPr>
          <w:rFonts w:ascii="Arial" w:cs="Arial" w:eastAsia="Arial" w:hAnsi="Arial"/>
          <w:sz w:val="18"/>
          <w:szCs w:val="18"/>
          <w:color w:val="auto"/>
        </w:rPr>
        <w:t>32.9% interest in Madison International Real Estate Liquidity Fund III, LP ("MIRELF III"), a 32.9% interest in Madison International Real Estate Liquidity Fund III AIV, LP ("MIRELF III AIV") and a 29.5% interest in Madison GP1 Investors, LP (collectively, the "Madison Funds"). The Madison Funds invest in ownership positions of entities that own real estate assets. The Company determined that these entities are VIEs and that the Company is not the primary beneficiary.</w:t>
      </w:r>
    </w:p>
    <w:p>
      <w:pPr>
        <w:spacing w:after="0" w:line="1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—As of March 31, 2015, the Company also had smaller investments in real estate related funds and other strategic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entities that were accounted for under the equity method or cost method. During the three months ended March 31, 2015, the Company sold available-for-sale securities for proceeds of $7.3 million for realized gains of $2.5 million, which is included in "Other income" on the Company's Consolidated Statements of Operations. The amount reclassified out of accumulated other comprehensive income into earnings was determined based on the specific identification method.</w:t>
      </w:r>
    </w:p>
    <w:p>
      <w:pPr>
        <w:spacing w:after="0" w:line="27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Summarized investee financial information</w:t>
      </w:r>
      <w:r>
        <w:rPr>
          <w:rFonts w:ascii="Arial" w:cs="Arial" w:eastAsia="Arial" w:hAnsi="Arial"/>
          <w:sz w:val="18"/>
          <w:szCs w:val="18"/>
          <w:color w:val="auto"/>
        </w:rPr>
        <w:t>—The following tables present the investee level summarized financial information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method investments, which were significant subsidiaries as of March 31, 2015 ($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38"/>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120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8"/>
              <w:spacing w:after="0"/>
              <w:rPr>
                <w:sz w:val="20"/>
                <w:szCs w:val="20"/>
                <w:color w:val="auto"/>
              </w:rPr>
            </w:pPr>
            <w:r>
              <w:rPr>
                <w:rFonts w:ascii="Arial" w:cs="Arial" w:eastAsia="Arial" w:hAnsi="Arial"/>
                <w:sz w:val="14"/>
                <w:szCs w:val="14"/>
                <w:b w:val="1"/>
                <w:bCs w:val="1"/>
                <w:color w:val="auto"/>
                <w:w w:val="97"/>
              </w:rPr>
              <w:t>Parent Entities</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2015</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34,998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Venture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Lease Venture(1)</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57"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began accounting for its investment in Net Lease Venture under the equity method of accounting on February 13, 2014, when the venture was formed. The amounts in the Company's financial statements for the three months ended March 31, 2014 are based on the balances and results from Net Lease Venture for the period from February 13, 2014 to March 31,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net(1)</w:t>
            </w:r>
          </w:p>
        </w:tc>
        <w:tc>
          <w:tcPr>
            <w:tcW w:w="3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50,088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37,085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fees, net(2)</w:t>
            </w:r>
          </w:p>
        </w:tc>
        <w:tc>
          <w:tcPr>
            <w:tcW w:w="3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36,774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19,283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Leasing costs, net(3)</w:t>
            </w:r>
          </w:p>
        </w:tc>
        <w:tc>
          <w:tcPr>
            <w:tcW w:w="3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furniture, fixtures and equipment, net(4)</w:t>
            </w:r>
          </w:p>
        </w:tc>
        <w:tc>
          <w:tcPr>
            <w:tcW w:w="3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4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204,223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181,785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60" w:type="dxa"/>
            <w:vAlign w:val="bottom"/>
            <w:vMerge w:val="restart"/>
          </w:tcPr>
          <w:p>
            <w:pPr>
              <w:jc w:val="right"/>
              <w:ind w:right="223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5"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Intangible assets, net are primarily related to the acquisition of real estate assets. This balance also includes a lease incentive asset of $38.1 million (see Note 4). Accumulated amortization on intangible assets was $35.6 million and $45.1 million as of March 31, 2015 and December 31, 2014, respectively. The amortization of above market leases decreased operating lease income on the Company's Consolidated Statements of Operations by $2.0 million and $2.3 million for the three months ended March 31, 2015 and 2014, respectively. The amortization expense for other intangible assets was $1.5 million and $2.5 million for the three months ended March 31, 2015 and 2014, respectively. These amounts are included in "Depreciation and amortization" on the Company's Consolidated Statements of Operations.</w:t>
      </w: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$18.3 million and $15.4 million as of March 31, 2015 and December 31, 2014,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leasing costs was $8.6 million and $9.0 million as of March 31, 2015 and December 31, 2014,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$7.3 million and $7.1 million as of March 31, 2015 and December 31, 2014, respectively.</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57,895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liabilities, net(2)</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11,885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158,251</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180,902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6"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March 31, 2015 and December 31, 2014, "Other liabilities" includes $10.3 million and $6.8 million, respectively, related to a profit sharing payable to a developer for residential units sold. As of March 31, 2015 and December 31, 2014, "Other liabilities" also includes $7.5 million and $7.7 million, respectively, related to tax increment financing ("TIF") bonds which were issued by a governmental entity to fund the installation of infrastructure within one of the Company's master planned community developments. The balance represents a special assessment associated with each individual land parcel, which will decrease as the Company sells parcels.</w:t>
      </w:r>
    </w:p>
    <w:p>
      <w:pPr>
        <w:jc w:val="both"/>
        <w:ind w:left="500" w:hanging="492"/>
        <w:spacing w:after="0" w:line="24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Intangible liabilities, net are primarily related to the acquisition of real estate assets. Accumulated amortization on intangible liabilities was $5.5 million and $6.2 million as of March 31, 2015 and December 31, 2014, respectively. The amortization of intangible liabilities increased operating lease income on the Company's Consolidated Statements of Operations by $0.4 million and $0.7 million for the three months ended March 31, 2015 and 2014, respectively.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assets(1)</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(54,318)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57"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Deferred tax assets as of March 31, 2015 include timing differences related primarily to real estate basis of $39.1 million, investment basis of $6.2 million, deferred expenses of $5.6 million, and net operating loss carryforwards of $3.9 million. Deferred tax assets as of December 31, 2014, include timing differences related primarily to real estate basis of $39.3 million, investment basis of $5.9 million, net operating loss carryforwards of $4.1 million, and deferred expenses of $2.7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2015 and December 31, 2014, the Company's debt obligations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w:t>
            </w:r>
          </w:p>
        </w:tc>
        <w:tc>
          <w:tcPr>
            <w:tcW w:w="4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0" w:type="dxa"/>
            <w:vAlign w:val="bottom"/>
          </w:tcPr>
          <w:p>
            <w:pPr>
              <w:spacing w:after="0"/>
              <w:rPr>
                <w:sz w:val="1"/>
                <w:szCs w:val="1"/>
                <w:color w:val="auto"/>
              </w:rPr>
            </w:pPr>
          </w:p>
        </w:tc>
      </w:tr>
      <w:tr>
        <w:trPr>
          <w:trHeight w:val="71"/>
        </w:trPr>
        <w:tc>
          <w:tcPr>
            <w:tcW w:w="4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6"/>
                <w:szCs w:val="6"/>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 Rates</w:t>
            </w:r>
          </w:p>
        </w:tc>
        <w:tc>
          <w:tcPr>
            <w:tcW w:w="4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credit facilities and term loans: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2012 Tranche A-2 Facility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348,185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358,504</w:t>
            </w:r>
          </w:p>
        </w:tc>
        <w:tc>
          <w:tcPr>
            <w:tcW w:w="100" w:type="dxa"/>
            <w:vAlign w:val="bottom"/>
          </w:tcPr>
          <w:p>
            <w:pPr>
              <w:spacing w:after="0"/>
              <w:rPr>
                <w:sz w:val="21"/>
                <w:szCs w:val="21"/>
                <w:color w:val="auto"/>
              </w:rPr>
            </w:pPr>
          </w:p>
        </w:tc>
        <w:tc>
          <w:tcPr>
            <w:tcW w:w="1800" w:type="dxa"/>
            <w:vAlign w:val="bottom"/>
          </w:tcPr>
          <w:p>
            <w:pPr>
              <w:jc w:val="right"/>
              <w:ind w:right="117"/>
              <w:spacing w:after="0"/>
              <w:rPr>
                <w:sz w:val="20"/>
                <w:szCs w:val="20"/>
                <w:color w:val="auto"/>
              </w:rPr>
            </w:pPr>
            <w:r>
              <w:rPr>
                <w:rFonts w:ascii="Arial" w:cs="Arial" w:eastAsia="Arial" w:hAnsi="Arial"/>
                <w:sz w:val="18"/>
                <w:szCs w:val="18"/>
                <w:color w:val="auto"/>
              </w:rPr>
              <w:t>LIBOR + 5.75%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Term loans collateralized by net lease assets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246,792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248,955</w:t>
            </w:r>
          </w:p>
        </w:tc>
        <w:tc>
          <w:tcPr>
            <w:tcW w:w="1900" w:type="dxa"/>
            <w:vAlign w:val="bottom"/>
            <w:gridSpan w:val="2"/>
          </w:tcPr>
          <w:p>
            <w:pPr>
              <w:jc w:val="right"/>
              <w:ind w:right="117"/>
              <w:spacing w:after="0"/>
              <w:rPr>
                <w:sz w:val="20"/>
                <w:szCs w:val="20"/>
                <w:color w:val="auto"/>
              </w:rPr>
            </w:pPr>
            <w:r>
              <w:rPr>
                <w:rFonts w:ascii="Arial" w:cs="Arial" w:eastAsia="Arial" w:hAnsi="Arial"/>
                <w:sz w:val="18"/>
                <w:szCs w:val="18"/>
                <w:color w:val="auto"/>
              </w:rPr>
              <w:t>4.851% - 7.26%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 credit facilities and 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607,459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Unsecured notes: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6.05%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2015</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5.875% senior notes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261,403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3.875%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3.0% senior convertible notes(4)</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November 2016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1.50% senior convertible notes(5)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2016</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5.85% senior notes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4.00% senior notes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7.125%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4.875% senior notes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5.00% senior notes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2019</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unsecured notes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3,326,890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3,326,890</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Other debt obligations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0" w:type="dxa"/>
            <w:vAlign w:val="bottom"/>
          </w:tcPr>
          <w:p>
            <w:pPr>
              <w:jc w:val="right"/>
              <w:ind w:right="117"/>
              <w:spacing w:after="0"/>
              <w:rPr>
                <w:sz w:val="20"/>
                <w:szCs w:val="20"/>
                <w:color w:val="auto"/>
              </w:rPr>
            </w:pPr>
            <w:r>
              <w:rPr>
                <w:rFonts w:ascii="Arial" w:cs="Arial" w:eastAsia="Arial" w:hAnsi="Arial"/>
                <w:sz w:val="18"/>
                <w:szCs w:val="18"/>
                <w:color w:val="auto"/>
              </w:rPr>
              <w:t>LIBOR + 1.50%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4,271,867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4,034,349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Debt discounts,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(11,665)</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4,261,528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4,022,684</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loan has a LIBOR floor of 1.25%. As of March 31, 2015, inclusive of the floor, the 2012 Tranche A-2 Facility loan incurred interest at a rate of 7.00%.</w:t>
      </w:r>
    </w:p>
    <w:p>
      <w:pPr>
        <w:spacing w:after="0" w:line="13"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 of March 31, 2015 and December 31, 2014, includes a loan with a floating rate of LIBOR plus 2.00%. As of March 31, 2015, the weighted average interest rate of these loans is 5.3%.</w:t>
      </w:r>
    </w:p>
    <w:p>
      <w:pPr>
        <w:spacing w:after="0" w:line="12" w:lineRule="exact"/>
        <w:rPr>
          <w:rFonts w:ascii="Arial" w:cs="Arial" w:eastAsia="Arial" w:hAnsi="Arial"/>
          <w:sz w:val="13"/>
          <w:szCs w:val="13"/>
          <w:color w:val="auto"/>
        </w:rPr>
      </w:pPr>
    </w:p>
    <w:p>
      <w:pPr>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3.0% senior convertible fixed rate notes due November 2016 ("3.0% Convertible Notes") are convertible at the option of the holders, into 85.0 shares per $1,000 principal amount of 3.0% Convertible Notes, at $11.77 per share at any time prior to the close of business on November 14, 2016.</w:t>
      </w:r>
    </w:p>
    <w:p>
      <w:pPr>
        <w:ind w:left="500" w:hanging="492"/>
        <w:spacing w:after="0" w:line="255"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$17.29 per share at any time prior to the close of business on November 14, 2016.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March 31, 2015, future scheduled maturities of outstanding long-term debt obligations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 (remaining nine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926,403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926,403</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1,272,907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264,765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864,765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801,936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200,091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300,091</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3,426,890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844,977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4,271,867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(10,339)</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3,419,234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842,294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4,261,528</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2015 Revolving Credit Facility</w:t>
      </w:r>
      <w:r>
        <w:rPr>
          <w:rFonts w:ascii="Arial" w:cs="Arial" w:eastAsia="Arial" w:hAnsi="Arial"/>
          <w:sz w:val="18"/>
          <w:szCs w:val="18"/>
          <w:color w:val="auto"/>
        </w:rPr>
        <w:t>—On March 27, 2015, the Company entered into a secured revolving credit facility with a maximum capacity of $250.0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"2015 Revolving Credit Facility"). Borrowings under this credit facility bear interest at a floating rate indexed to one of several base rates plus a margin which adjusts upward or downward based upon the Company's corporate credit rating. Commitments under the revolving facility mature in March 2018. At maturity, the Company may convert outstanding borrowings to a one year term loan which matures in quarterly installments through March 2019. The facility is secured by a borrowing base of assets and there is no requirement that proceeds from the borrowing base be used to pay down outstanding borrowings.</w:t>
      </w:r>
    </w:p>
    <w:p>
      <w:pPr>
        <w:spacing w:after="0" w:line="147"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2012 Secured Credit Facilities</w:t>
      </w:r>
      <w:r>
        <w:rPr>
          <w:rFonts w:ascii="Arial" w:cs="Arial" w:eastAsia="Arial" w:hAnsi="Arial"/>
          <w:sz w:val="16"/>
          <w:szCs w:val="16"/>
          <w:color w:val="auto"/>
        </w:rPr>
        <w:t>—In March 2012, the Company entered into an $880.0 million senior secured credit agreement providing for two</w:t>
      </w:r>
      <w:r>
        <w:rPr>
          <w:rFonts w:ascii="Arial" w:cs="Arial" w:eastAsia="Arial" w:hAnsi="Arial"/>
          <w:sz w:val="16"/>
          <w:szCs w:val="16"/>
          <w:b w:val="1"/>
          <w:bCs w:val="1"/>
          <w:color w:val="auto"/>
        </w:rPr>
        <w:t xml:space="preserve"> </w:t>
      </w:r>
      <w:r>
        <w:rPr>
          <w:rFonts w:ascii="Arial" w:cs="Arial" w:eastAsia="Arial" w:hAnsi="Arial"/>
          <w:sz w:val="16"/>
          <w:szCs w:val="16"/>
          <w:color w:val="auto"/>
        </w:rPr>
        <w:t>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6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the Company. The Company may also make optional prepayments, subject to prepayment fees. The 2012 Tranche A-1 Facility was fully repaid in August 2013. Additionally, through March 31, 2015, the Company made cumulative amortization repayments of $121.8 million on the 2012 Tranche A-2 Facility. For the three months ended March 31, 2015 and 2014, repayments of the 2012 Tranche A-2 Facility prior to maturity resulted in losses on early extinguishment of debt of $0.2 million and $0.3 million, respectively, related to the accelerated amortization of discounts and unamortized deferred financing fees on the portion of the facility that was repaid. These amounts were included in "Loss on early extinguishment of debt, net" on the Company's Consolidated Statements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March 31, 2015 and December 31, 2014, the carrying value of the Company's encumbered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79"/>
              </w:rPr>
              <w:t>As of</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1,650,159</w:t>
            </w:r>
          </w:p>
        </w:tc>
        <w:tc>
          <w:tcPr>
            <w:tcW w:w="60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2,056,336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275,486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1,364,828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325,182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336,411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944,304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1,022,775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4,667,805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695,097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4,801,536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March 31, 2015 and December 31, 2014, the amounts presented exclude general reserves for loan losses of $38.0 million and $33.5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covenant not to incur new indebtedness, if on a pro forma basis, the Company's fixed charge coverage ratio is 1.5x or lower, except for incurrences of permitted debt. If any of the Company's covenants are breached and not cured within applicable cure periods, the breach could result in acceleration of its debt securities unless a waiver or modification is agreed upon with the requisite percentage of the bondholders.</w:t>
      </w:r>
    </w:p>
    <w:p>
      <w:pPr>
        <w:spacing w:after="0" w:line="15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the Company to maintain collateral coverage of at least 1.25x outstanding borrowings on the facilities. The 2015 Revolving Credit Facility requires the Company to maintain both collateral coverage of at least 1.5x outstanding borrowings on the facility and a consolidated ratio of cash flow to fixed charges of at least 1.5x. In addition, for so long as the Company maintains its qualification as a REIT, the 2012 Secured Credit Facilities and the 2015 Revolving Credit Facility permit the Company to distribute 100% of its REIT taxable income on an annual basis (prior to deducting certain cumulative net operating loss carryforwards in the case of the 2015 Revolving Credit Facility). The Company may not pay common dividends if it ceases to qualify as a REIT.</w:t>
      </w:r>
    </w:p>
    <w:p>
      <w:pPr>
        <w:spacing w:after="0" w:line="1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2012 Secured Credit Facilities and the 2015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net lease assets over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2015,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340" w:type="dxa"/>
            <w:vAlign w:val="bottom"/>
          </w:tcPr>
          <w:p>
            <w:pPr>
              <w:spacing w:after="0"/>
              <w:rPr>
                <w:sz w:val="14"/>
                <w:szCs w:val="14"/>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4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4"/>
                <w:szCs w:val="14"/>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Investments</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639,515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45,762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45,762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18,065</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618,278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12,081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72,983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703,342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its current and former senior executives (including its chief executive officer) and current and former directors as defendants. The complaint sought unspecified damages and other relief and alleged breach of fiduciary duty, breach of contract and other causes of action arising out of shares of common stock issued by the Company to its senior executives pursuant to restricted stock unit awards granted in December 2008 and modified in July 2011. On October 30, 2014, the Court granted the defendants’ Motions to Dismiss and plaintiffs’ claims against all of the defendants in this action were dismissed. Plaintiffs have filed a notice of appeal. On March 4, 2015, the Maryland Court of Special Appeals issued a notice docketing the appeal in that court and scheduling oral arguments for November 2015.</w:t>
      </w:r>
    </w:p>
    <w:p>
      <w:pPr>
        <w:spacing w:after="0" w:line="17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2" w:lineRule="exact"/>
        <w:rPr>
          <w:sz w:val="20"/>
          <w:szCs w:val="20"/>
          <w:color w:val="auto"/>
        </w:rPr>
      </w:pPr>
    </w:p>
    <w:p>
      <w:pPr>
        <w:jc w:val="both"/>
        <w:ind w:firstLine="8"/>
        <w:spacing w:after="0" w:line="253"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15% participation interest in all proceeds. Lennar has filed a notice of appeal and other motions regarding the Court’s judgment, orders and rulings in the action. There can be no assurance as to the timing or actual receipt by the Company of amounts awarded by the Court or to the outcome of any appeal.</w:t>
      </w:r>
    </w:p>
    <w:p>
      <w:pPr>
        <w:spacing w:after="0" w:line="19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March 31, 2015 and December 31, 2014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Derivative Assets as of</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6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4"/>
              </w:rPr>
              <w:t>March 31, 2015</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22"/>
                <w:szCs w:val="22"/>
                <w:color w:val="auto"/>
              </w:rPr>
            </w:pPr>
          </w:p>
        </w:tc>
        <w:tc>
          <w:tcPr>
            <w:tcW w:w="22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December 31, 2014</w:t>
            </w:r>
          </w:p>
        </w:tc>
      </w:tr>
      <w:tr>
        <w:trPr>
          <w:trHeight w:val="152"/>
        </w:trPr>
        <w:tc>
          <w:tcPr>
            <w:tcW w:w="19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13"/>
                <w:szCs w:val="13"/>
                <w:color w:val="auto"/>
              </w:rPr>
            </w:pPr>
          </w:p>
        </w:tc>
        <w:tc>
          <w:tcPr>
            <w:tcW w:w="68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140" w:type="dxa"/>
            <w:vAlign w:val="bottom"/>
          </w:tcPr>
          <w:p>
            <w:pPr>
              <w:spacing w:after="0"/>
              <w:rPr>
                <w:sz w:val="13"/>
                <w:szCs w:val="13"/>
                <w:color w:val="auto"/>
              </w:rPr>
            </w:pPr>
          </w:p>
        </w:tc>
        <w:tc>
          <w:tcPr>
            <w:tcW w:w="7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478</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478</w:t>
            </w:r>
          </w:p>
        </w:tc>
      </w:tr>
      <w:tr>
        <w:trPr>
          <w:trHeight w:val="271"/>
        </w:trPr>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tables below present the effect of the Company's derivative financial instruments on the Consolidated Statements of Operations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 for the three months ended March 31, 2015 and 2014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Amount of Gain (Loss)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 of Gain (Loss)</w:t>
            </w: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5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Location of Gain (Loss)</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Derivatives Designated in Hedging Relationships</w:t>
            </w:r>
          </w:p>
        </w:tc>
        <w:tc>
          <w:tcPr>
            <w:tcW w:w="2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Income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Income (Effective Portion)</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2015</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from equity method</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from equity method</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Earnings from equity method</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2014</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Earnings from equity method</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left="3560"/>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left="35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0" w:lineRule="exact"/>
        <w:rPr>
          <w:sz w:val="20"/>
          <w:szCs w:val="20"/>
          <w:color w:val="auto"/>
        </w:rPr>
      </w:pPr>
    </w:p>
    <w:p>
      <w:pPr>
        <w:jc w:val="center"/>
        <w:ind w:left="35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900" w:type="dxa"/>
            <w:vAlign w:val="bottom"/>
          </w:tcPr>
          <w:p>
            <w:pPr>
              <w:jc w:val="center"/>
              <w:ind w:left="1548"/>
              <w:spacing w:after="0"/>
              <w:rPr>
                <w:sz w:val="20"/>
                <w:szCs w:val="20"/>
                <w:color w:val="auto"/>
              </w:rPr>
            </w:pPr>
            <w:r>
              <w:rPr>
                <w:rFonts w:ascii="Arial" w:cs="Arial" w:eastAsia="Arial" w:hAnsi="Arial"/>
                <w:sz w:val="14"/>
                <w:szCs w:val="14"/>
                <w:b w:val="1"/>
                <w:bCs w:val="1"/>
                <w:color w:val="auto"/>
                <w:w w:val="93"/>
              </w:rPr>
              <w:t>Location of Gain or</w:t>
            </w: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2900" w:type="dxa"/>
            <w:vAlign w:val="bottom"/>
          </w:tcPr>
          <w:p>
            <w:pPr>
              <w:jc w:val="center"/>
              <w:ind w:left="1548"/>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2900" w:type="dxa"/>
            <w:vAlign w:val="bottom"/>
          </w:tcPr>
          <w:p>
            <w:pPr>
              <w:jc w:val="center"/>
              <w:ind w:left="1548"/>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Amount of Gain or (Loss)</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Recognized 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13335</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31115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14" w:lineRule="exact"/>
        <w:rPr>
          <w:sz w:val="20"/>
          <w:szCs w:val="20"/>
          <w:color w:val="auto"/>
        </w:rPr>
      </w:pPr>
    </w:p>
    <w:p>
      <w:pPr>
        <w:ind w:left="220"/>
        <w:spacing w:after="0"/>
        <w:tabs>
          <w:tab w:leader="none" w:pos="19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6" w:lineRule="exact"/>
        <w:rPr>
          <w:sz w:val="20"/>
          <w:szCs w:val="20"/>
          <w:color w:val="auto"/>
        </w:rPr>
      </w:pPr>
    </w:p>
    <w:p>
      <w:pPr>
        <w:sectPr>
          <w:pgSz w:w="11900" w:h="16838" w:orient="portrait"/>
          <w:cols w:equalWidth="0" w:num="2">
            <w:col w:w="7880" w:space="680"/>
            <w:col w:w="286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6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1,498</w:t>
            </w: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March 31, 2015, the Company had the following outstanding foreign currency derivatives that were used to hedge its net investments in foreign operations that were designated ($ and Rs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Indian rupee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June 2015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March 31, 2015, the Company had the following outstanding foreign currency derivatives that were used to hedge its net investments in foreign operations that were not designated ($, €, £ and C$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15,482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April 2015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Arial" w:cs="Arial" w:eastAsia="Arial" w:hAnsi="Arial"/>
                <w:sz w:val="18"/>
                <w:szCs w:val="18"/>
                <w:color w:val="auto"/>
                <w:w w:val="96"/>
              </w:rPr>
              <w:t>April 2015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Canadian dollar ("CAD")/Buys USD Forward</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8,475</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April 2015</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The Company recorded net gains (losses) related to foreign investments of $0.0 million and $0.3 million during the three months ended March 31, 2015 and 2014, respectively, in its Consolidated Statements of Operations.</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Interest Rate Hedges</w:t>
      </w:r>
      <w:r>
        <w:rPr>
          <w:rFonts w:ascii="Arial" w:cs="Arial" w:eastAsia="Arial" w:hAnsi="Arial"/>
          <w:sz w:val="18"/>
          <w:szCs w:val="18"/>
          <w:color w:val="auto"/>
        </w:rPr>
        <w:t>—For derivatives designated as interest rate hedges, the effective portion of changes in the fair value of the derivatives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Accumulated Other Comprehensive Income (Loss). The ineffective portion of the change in fair value of the derivatives is recognized directly within the Company's Consolidated Statements of Operations. As of March 31, 2015, the Company had the following outstanding interest rate swap that was used to hedge its variable rate debt that was designated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27,324</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derivatives not designated as interest rate hedges, the changes in the fair value of the derivatives are reported in the Company's Consolidated Statements of Operations within "Other Expense." As of March 31, 2015, the Company had the following outstanding interest rate cap that was used to hedge its variable rate debt that was not designated ($ in thousands):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Over the next 12 months, the Company expects that $0.2 million related to terminated cash flow hedges will be reclassified from "Accumulated other comprehensive income (loss)" into interest expense and $0.7 million relating to other cash flow hedges will be reclassified from "Accumulated other comprehensive income (loss)" into earnings.</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its foreign currency derivatives, as of March 31, 2015 and December 31, 2014, the Company has posted collateral of $3.0 million and $3.0 million, respectively, which is included in "Restricted cash" on the Company's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December 31, 2014:</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Dividends(1)(2)</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Liquidation Preference</w:t>
            </w: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Rate per Annum</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G</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4"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46"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declared and paid dividends of $2.0 million, $2.8 million, $2.0 million, $1.5 million and $2.3 million on its Series D, E, F, G and I Cumulative Redeemable Preferred Stock during the three months ended March 31, 2015 and 2014. The Company declared and paid dividends of $2.3 million on its Series J Convertible Perpetual Preferred Stock during the three months ended March 31, 2015 and 2014. All of the dividends qualified as return of capital for tax reporting purposes. There are no dividend arrearages on any of the preferred shares currently outstanding.</w:t>
      </w:r>
    </w:p>
    <w:p>
      <w:pPr>
        <w:spacing w:after="0" w:line="19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—In order to maintain its election to qualify as a REIT, the Company must currently distribute, at a minimum, an amount equal to 90% of its</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2013, the Company had $759.8 million of net operating loss carryforwards at the corporate REIT level that can generally be used to offset both ordinary and capital taxable income in future years and will expire through 2033 if unused. The amount of net operating loss carryforwards as of December 31, 2014 will be determined upon finalization of the Company's 2014 tax return. Because taxable income differs from cash flow from operations due to non-cash revenues and expenses (such as depreciation and certain asset</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impairments), in certain circumstances, the Company may generate operating cash flow in excess of its dividends or, alternatively, may need to make dividend payments in excess of operating cash flows. The Company's 2012 Tranche A-2 Facility and 2015 Revolving Credit Facility permit the Company to distribute 100% of its REIT taxable income on an annual basis (prior to deducting certain cumulative net operating loss carryforwards in the case of the 2015 Revolving Credit Facility), for so long as the Company maintains its qualification as a REIT. The 2012 Tranche A-2 Facility and 2015 Revolving Credit Facility restrict the Company from paying any common dividends if it ceases to qualify as a REIT. The Company did not declare or pay any Common Stock dividends for the three months ended March 31, 2015 and 2014.</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Stock Repurchase Programs</w:t>
      </w:r>
      <w:r>
        <w:rPr>
          <w:rFonts w:ascii="Arial" w:cs="Arial" w:eastAsia="Arial" w:hAnsi="Arial"/>
          <w:sz w:val="17"/>
          <w:szCs w:val="17"/>
          <w:color w:val="auto"/>
        </w:rPr>
        <w:t>—In September 2013, the Company's Board of Directors approved an increase in the repurchase limit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previously approved stock repurchase program to $50.0 million. The program authorizes the repurchase of Common Stock from time to time in open market and privately negotiated purchases, including pursuant to one or more trading plans. During the three months ended March 31, 2015, the Company repurchased 44,000 shares of its outstanding Common Stock for $0.6 million, at an average cost of $12.66 per share. As of March 31, 2015, the Company had up to $28.5 million of Common Stock available to repurchase under its Board authorized stock repurchase program.</w:t>
      </w:r>
    </w:p>
    <w:p>
      <w:pPr>
        <w:spacing w:after="0" w:line="16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Company recorded stock-based compensation expense of $3.2 million and $2.1 million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2015 and 2014, respectively, in "General and administrative" on the Company's Consolidated Statements of Operations. As of March 31, 2015, there was $3.3 million of total unrecognized compensation cost related to all unvested restricted stock units ("Units") that are expected to be recognized over a weighted average remaining vesting/service period of 1.59 years. As of March 31, 2015, approximately $10.5 million of stock-based compensation was included in "Accounts payable, accrued expenses and other liabilities" on the Company's Consolidated Balance Sheets.</w:t>
      </w:r>
    </w:p>
    <w:p>
      <w:pPr>
        <w:spacing w:after="0" w:line="13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2015, an aggregate of 3.8 million shares remain available for issuance pursuant to future awards under the Company's 2006 and 2009 Long-Term Incentive Plans.</w:t>
      </w:r>
    </w:p>
    <w:p>
      <w:pPr>
        <w:spacing w:after="0" w:line="126"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2015 Activity</w:t>
      </w:r>
      <w:r>
        <w:rPr>
          <w:rFonts w:ascii="Arial" w:cs="Arial" w:eastAsia="Arial" w:hAnsi="Arial"/>
          <w:sz w:val="16"/>
          <w:szCs w:val="16"/>
          <w:color w:val="auto"/>
        </w:rPr>
        <w:t>—During the three months ended March 31, 2015, the Company granted 318,482 shares of our Common Stock to certain employees as</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annual incentive awards that included a mix of cash and equity awards. The shares are fully-vested and 189,241 shares were issued net of statutory minimum required tax withholdings. The employees are restricted from selling these shares for up to two years from the date of grant.</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2015, the Company granted new stock-based compensation awards to certain employees in the form of long-term incentive awards, comprised of the following:</w:t>
      </w:r>
    </w:p>
    <w:p>
      <w:pPr>
        <w:spacing w:after="0" w:line="130" w:lineRule="exact"/>
        <w:rPr>
          <w:sz w:val="20"/>
          <w:szCs w:val="20"/>
          <w:color w:val="auto"/>
        </w:rPr>
      </w:pPr>
    </w:p>
    <w:p>
      <w:pPr>
        <w:jc w:val="both"/>
        <w:ind w:left="660" w:hanging="247"/>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64,196 service-based Units were granted on January 30, 2015, representing the right to receive an equivalent number of shares of our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March 31, 2015, 64,196 of such service-based Units were outstanding.</w:t>
      </w:r>
    </w:p>
    <w:p>
      <w:pPr>
        <w:spacing w:after="0" w:line="132" w:lineRule="exact"/>
        <w:rPr>
          <w:rFonts w:ascii="Arial" w:cs="Arial" w:eastAsia="Arial" w:hAnsi="Arial"/>
          <w:sz w:val="17"/>
          <w:szCs w:val="17"/>
          <w:color w:val="auto"/>
        </w:rPr>
      </w:pPr>
    </w:p>
    <w:p>
      <w:pPr>
        <w:jc w:val="both"/>
        <w:ind w:left="660" w:hanging="24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49,650 target amount of performance-based Units were granted on January 30, 2015. The performance is based on the Company's total shareholder return, or TSR, measured over a performance period ending on December 31, 2017, which is the date the awards cliff vest. Vesting will range from 0% to 200% of the target amount of the award, depending 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19" w:lineRule="auto"/>
        <w:rPr>
          <w:sz w:val="20"/>
          <w:szCs w:val="20"/>
          <w:color w:val="auto"/>
        </w:rPr>
      </w:pPr>
      <w:r>
        <w:rPr>
          <w:rFonts w:ascii="Arial" w:cs="Arial" w:eastAsia="Arial" w:hAnsi="Arial"/>
          <w:sz w:val="17"/>
          <w:szCs w:val="17"/>
          <w:color w:val="auto"/>
        </w:rPr>
        <w:t>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 As of March 31, 2015, 49,650 of such performance-based Units were outstanding.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2015, the Company had the following additional stock-based compensation awards outstanding:</w:t>
      </w:r>
    </w:p>
    <w:p>
      <w:pPr>
        <w:spacing w:after="0" w:line="225" w:lineRule="exact"/>
        <w:rPr>
          <w:sz w:val="20"/>
          <w:szCs w:val="20"/>
          <w:color w:val="auto"/>
        </w:rPr>
      </w:pPr>
    </w:p>
    <w:p>
      <w:pPr>
        <w:jc w:val="both"/>
        <w:ind w:left="660" w:hanging="247"/>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64,552 service-based Units, granted on January 10, 2014, representing the right to receive an equivalent number of shares of the Company's Common Stock (after deducting shares for minimum required statutory withholdings) if and when the Units vest. The Units will cliff vest in one installment on December 31,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8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50,116 target amount of performance-based Units, granted on January 10, 2014 representing the right to receive an equivalent number of shares of the Company's Common Stock (after deducting shares for minimum required statutory withholdings) if and when the Units vest based on the Company’s TSR measured over a performance period ending on December 31, 2016,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The Company, as well as any companies not included in the index at the beginning and end of the performance period, are excluded from calculation of the performance of such index. To the extent these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w:t>
      </w:r>
    </w:p>
    <w:p>
      <w:pPr>
        <w:spacing w:after="0" w:line="128" w:lineRule="exact"/>
        <w:rPr>
          <w:rFonts w:ascii="Arial" w:cs="Arial" w:eastAsia="Arial" w:hAnsi="Arial"/>
          <w:sz w:val="16"/>
          <w:szCs w:val="16"/>
          <w:color w:val="auto"/>
        </w:rPr>
      </w:pPr>
    </w:p>
    <w:p>
      <w:pPr>
        <w:jc w:val="both"/>
        <w:ind w:left="660" w:hanging="247"/>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194,582 service-based Units, granted on February 1, 2013, representing the right to receive an equivalent number of shares of the Company's Common Stock (after deducting shares for minimum required statutory withholdings) if and when the Units vest. The Units will cliff vest in one installment on February 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10,666 service-based Units granted on various dates to employees with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—As of March 31, 2015, a total of 278,471 common stock equivalents ("CSEs") and restricted shares of our Common Stock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members of the Company's Board of Directors remained outstanding under the Company's Non-Employee Directors Deferral Plan, with an aggregate intrinsic value of $3.6 million.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$0.6 million for each of the three months ended March 31, 2015 and 2014.</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6"/>
              </w:rPr>
              <w:t>For the 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continuing operations attributable to iStar Financial Inc. and allocable to common shareholders,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HPU holders and Participating Security 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6"/>
              </w:rPr>
              <w:t>For the 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for basic and diluted earnings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High Performance Units outstanding for basic and diluted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675"/>
        </w:trPr>
        <w:tc>
          <w:tcPr>
            <w:tcW w:w="8580" w:type="dxa"/>
            <w:vAlign w:val="bottom"/>
          </w:tcPr>
          <w:p>
            <w:pPr>
              <w:ind w:left="56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three months ended March 31, 2015 and 2014, the following shares were not included in the diluted EPS calculation because they were anti-dilutive (in thousands)(1):</w:t>
      </w:r>
    </w:p>
    <w:p>
      <w:pPr>
        <w:spacing w:after="0" w:line="176"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3.00% convertible senior unsecured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16,992</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1.50% convertible senior unsecured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11,567</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11,567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 the three months ended March 31, 2015 and 2014, the effect of the Company's unvested Units, performance-based Units, CSEs and restricted stock awards were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 Using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3"/>
                <w:szCs w:val="13"/>
                <w:color w:val="auto"/>
              </w:rPr>
            </w:pPr>
          </w:p>
        </w:tc>
        <w:tc>
          <w:tcPr>
            <w:tcW w:w="11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prices in</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37,169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Impaired real estate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fair value of the Company's available-for-sale securities are based upon third-party broker quotes.</w:t>
      </w:r>
    </w:p>
    <w:p>
      <w:pPr>
        <w:spacing w:after="0" w:line="55" w:lineRule="exact"/>
        <w:rPr>
          <w:rFonts w:ascii="Arial" w:cs="Arial" w:eastAsia="Arial" w:hAnsi="Arial"/>
          <w:sz w:val="14"/>
          <w:szCs w:val="14"/>
          <w:color w:val="auto"/>
        </w:rPr>
      </w:pPr>
    </w:p>
    <w:p>
      <w:pPr>
        <w:ind w:left="500" w:right="20" w:hanging="492"/>
        <w:spacing w:after="0" w:line="273"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recorded a recovery of loan losses on one loan with a fair value of $6.4 million based on the loan's remaining term of 1.25 years and interest rate of 4.7% using discounted cash flow analysis.</w:t>
      </w:r>
    </w:p>
    <w:p>
      <w:pPr>
        <w:spacing w:after="0" w:line="17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debt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were $1.6 billion and $4.4 billion, respectively, as of March 31, 2015 and $1.4 billion and $4.1 billion, respectively, as of December 31, 2014.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Reporting</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36,339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22,614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59,139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21,156</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2,774</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140,560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19,765</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32,819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2014</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27,914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27,914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128,420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(42,613)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26,910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2,536,273</w:t>
            </w: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139,853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292,608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2,828,881</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1,537,846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1,537,846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95,902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341,549</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1,537,846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1,313,208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658,834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1,102,486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95,902</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4,708,276</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944,304</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right w:val="single" w:sz="8" w:color="auto"/>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5,652,580</w:t>
            </w:r>
          </w:p>
        </w:tc>
        <w:tc>
          <w:tcPr>
            <w:tcW w:w="0" w:type="dxa"/>
            <w:vAlign w:val="bottom"/>
          </w:tcPr>
          <w:p>
            <w:pPr>
              <w:spacing w:after="0"/>
              <w:rPr>
                <w:sz w:val="1"/>
                <w:szCs w:val="1"/>
                <w:color w:val="auto"/>
              </w:rPr>
            </w:pPr>
          </w:p>
        </w:tc>
      </w:tr>
      <w:tr>
        <w:trPr>
          <w:trHeight w:val="284"/>
        </w:trPr>
        <w:tc>
          <w:tcPr>
            <w:tcW w:w="3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Real estate, net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1,188,160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628,271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860,283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2,676,714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162,782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285,982</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1,192,681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791,053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978,962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2,962,696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1,377,843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1,377,843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109,384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354,119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1,377,843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1,318,041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804,273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1,085,117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109,384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4,694,658</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5,463,133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line="250"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$3.2 million and $2.1 million for the three months ended March 31, 2015 and 2014,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net income (loss) ($ in thousands):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2014</w:t>
            </w:r>
          </w:p>
        </w:tc>
      </w:tr>
      <w:tr>
        <w:trPr>
          <w:trHeight w:val="25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 (loss)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w:t>
            </w:r>
          </w:p>
        </w:tc>
      </w:tr>
      <w:tr>
        <w:trPr>
          <w:trHeight w:val="264"/>
        </w:trPr>
        <w:tc>
          <w:tcPr>
            <w:tcW w:w="7120" w:type="dxa"/>
            <w:vAlign w:val="bottom"/>
          </w:tcPr>
          <w:p>
            <w:pPr>
              <w:ind w:left="20"/>
              <w:spacing w:after="0"/>
              <w:rPr>
                <w:sz w:val="20"/>
                <w:szCs w:val="20"/>
                <w:color w:val="auto"/>
              </w:rPr>
            </w:pPr>
            <w:r>
              <w:rPr>
                <w:rFonts w:ascii="Arial" w:cs="Arial" w:eastAsia="Arial" w:hAnsi="Arial"/>
                <w:sz w:val="14"/>
                <w:szCs w:val="14"/>
                <w:color w:val="auto"/>
              </w:rPr>
              <w:t>Less: (Provision for) recovery of loan losses</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3,400</w:t>
            </w:r>
          </w:p>
        </w:tc>
      </w:tr>
      <w:tr>
        <w:trPr>
          <w:trHeight w:val="2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9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r>
      <w:tr>
        <w:trPr>
          <w:trHeight w:val="264"/>
        </w:trPr>
        <w:tc>
          <w:tcPr>
            <w:tcW w:w="712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(2,075)</w:t>
            </w:r>
          </w:p>
        </w:tc>
      </w:tr>
      <w:tr>
        <w:trPr>
          <w:trHeight w:val="2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9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(18,501)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(18,613)</w:t>
            </w:r>
          </w:p>
        </w:tc>
      </w:tr>
      <w:tr>
        <w:trPr>
          <w:trHeight w:val="264"/>
        </w:trPr>
        <w:tc>
          <w:tcPr>
            <w:tcW w:w="7120" w:type="dxa"/>
            <w:vAlign w:val="bottom"/>
          </w:tcPr>
          <w:p>
            <w:pPr>
              <w:ind w:left="20"/>
              <w:spacing w:after="0"/>
              <w:rPr>
                <w:sz w:val="20"/>
                <w:szCs w:val="20"/>
                <w:color w:val="auto"/>
              </w:rPr>
            </w:pPr>
            <w:r>
              <w:rPr>
                <w:rFonts w:ascii="Arial" w:cs="Arial" w:eastAsia="Arial" w:hAnsi="Arial"/>
                <w:sz w:val="14"/>
                <w:szCs w:val="14"/>
                <w:color w:val="auto"/>
              </w:rPr>
              <w:t>Less: Income tax (expense) benefit</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507</w:t>
            </w:r>
          </w:p>
        </w:tc>
      </w:t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r>
      <w:tr>
        <w:trPr>
          <w:trHeight w:val="243"/>
        </w:trPr>
        <w:tc>
          <w:tcPr>
            <w:tcW w:w="7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(12,313)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w:t>
            </w:r>
          </w:p>
        </w:tc>
      </w:tr>
      <w:tr>
        <w:trPr>
          <w:trHeight w:val="20"/>
        </w:trPr>
        <w:tc>
          <w:tcPr>
            <w:tcW w:w="7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2014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2014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conjunction with improving economic and commercial real estate market conditions, we have continued to make meaningful progress towards achieving a number of our strategic corporate objectives. We have increased investment originations primarily within our core business segments of real estate finance and net lease, which we anticipate should drive future revenue growth. Through strategic ventures, we have partnered with other providers of capital within our net lease segment and with developers with specific product expertise within our land segment. In addition, we have made significant investments within our operating property and land portfolios in order to better position assets for sale.</w:t>
      </w:r>
    </w:p>
    <w:p>
      <w:pPr>
        <w:spacing w:after="0" w:line="13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Access to the capital markets has allowed us to extend our debt maturity profile, lower our cost of capital and become primarily an unsecured borrower. In 2014, we fully repaid our largest secured credit facility using proceeds from unsecured notes issuances. This repayment unencumbered $2.0 billion of collateral and provides us with additional liquidity as we now retain 100% of the proceeds from sales and repayments of these previously encumbered assets, rather than directing them to repay the facility. During the first quarter of 2015, we entered into a secured revolving credit facility with a maximum capacity of $250.0 million. At March 31, 2015, we had $625.4 million of cash, which we expect to be used primarily to fund future investment activities.</w:t>
      </w:r>
    </w:p>
    <w:p>
      <w:pPr>
        <w:spacing w:after="0" w:line="11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three months ended March 31, 2015,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three months ended March 31, 2015, we recorded net loss allocable to common shareholders of $(22.6) million, compared to a loss of $(26.6) million during the same period in the prior year. Adjusted income (loss) allocable to common shareholders for the quarter ended March 31, 2015 was $8.5 million, compared to $(5.5) million during the same period in the prior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2015 compared to the Three Months Ended March 31, 2014</w:t>
      </w:r>
    </w:p>
    <w:p>
      <w:pPr>
        <w:spacing w:after="0" w:line="34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13335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34,896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27,914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sales revenue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108,749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57,456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7,693</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141,924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3,370</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16,494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4,662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$59.1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2015 from $62.1 million for the same period in 2014.</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Operating lease income from net lease assets decreased to $36.3 million during the three months ended March 31, 2015 from $38.9 million for the same period in 2014 due primarily to the sale of two net lease assets in 2014. The net lease portfolio generated an unleveraged yield of 7.3% for the three months ended March 31, 2015 as compared to 7.5% for the same period in 2014. Operating lease income for same store net lease assets, defined as net lease assets we owned on or prior to January 1, 2014 and were in service through March 31, 2015, was $36.4 million for both the three months ended March 31, 2015 and for the same period in 2014. Rent per occupied square foot for same store net lease assets was $9.70 for the three months ended March 31, 2015 as compared to $9.68 for the same period in 2014. The occupancy rate for same store net lease assets was 95.2% at March 31, 2015 as compared to 93.6% at March 31, 2014. We had two net lease assets which were sold to our Net Lease Venture in 2014 that, prior to their sale, contributed an additional $1.8 million of operating lease income during the three months ended March 31, 2014.</w:t>
      </w:r>
    </w:p>
    <w:p>
      <w:pPr>
        <w:spacing w:after="0" w:line="1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Operating lease income from commercial operating properties increased to $22.5 million during the three months ended March 31, 2015 from $21.7 million for the same period in 2014 due primarily to the acquisition of commercial operating properties in 2014. Operating lease income for same store commercial operating properties, defined as commercial operating properties, excluding hotels, we owned on or prior to January 1, 2014 and were in service through March 31, 2015, decreased to $15.8 million during the three months ended March 31, 2015 from $16.4 million for the same period in 2014 due primarily to a decline in rent per occupied square foot for same store commercial operating properties, which was $23.70 for the three months ended March 31, 2015 and $24.56 for the same period in 2014. The decline was also due to a decrease in occupancy rates for same store commercial operating properties, which decreased to 61.8% at March 31, 2015 from 62.1% at March 31, 2014. In addition, we acquired title to additional commercial operating properties in 2014, which contributed $2.1 million to operating lease income during the three months ended March 31, 2015. We also sold a commercial operating property in 2014 which contributed $0.6 million to operating lease income for the three months ended March 31, 2014. Ancillary operating lease income for residential operating properties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decreased by $1.2 million from the three months ended March 31, 2015 to the same period in 2014 due primarily to sales of residential units.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Interest income increased to $34.9 million during the three months ended March 31, 2015 as compared to $27.9 million for the same period in 2014 due primarily to increases in the portfolio balance and interest rates on performing loans. New investment originations and additional fundings of existing loans raised our average balance of performing loans to $1.48 billion during the three months ended March 31, 2015 from $1.30 billion for the same period in 2014. The weighted average yield of our performing loans increased to 9.6% for the three months ended March 31, 2015 from 8.6% for the same period in 2014 due primarily to higher interest rates for new loan originations in 2014 and 2015 and payoffs of loans with lower interest rates.</w:t>
      </w:r>
    </w:p>
    <w:p>
      <w:pPr>
        <w:spacing w:after="0" w:line="1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decreased to $10.6 million during the three months ended March 31, 2015 as compared to $14.6 million for the same period in 2014. The decrease was due to $5.3 million of income related to a lease modification received during the three months ended March 31, 2014. The decrease was offset in part by $1.3 million of ancillary income from properties acquired since March 31, 2014.</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Land development sales revenue and cost of sales</w:t>
      </w:r>
      <w:r>
        <w:rPr>
          <w:rFonts w:ascii="Arial" w:cs="Arial" w:eastAsia="Arial" w:hAnsi="Arial"/>
          <w:sz w:val="18"/>
          <w:szCs w:val="18"/>
          <w:color w:val="auto"/>
        </w:rPr>
        <w:t>—During the three months ended March 31, 2015, we sold residential lots from three of our master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planned community properties, condominium units from an infill property and residential lots from another infill property for proceeds of $8.3 million which had associated cost of sales of $6.9 million. During the three months ended March 31, 2014, we sold residential lots from two of our master planned community properties for proceeds of $4.1 million which had associated cost of sales of $3.7 million.</w:t>
      </w:r>
    </w:p>
    <w:p>
      <w:pPr>
        <w:spacing w:after="0" w:line="1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decreased to $54.6 million during the three months ended March 31, 2015 as compared to $57.5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2014 due to a lower average outstanding debt balance and a lower weighted average cost of debt. The average outstanding balance of our debt declined to $4.08 billion for the three months ended March 31, 2015 from $4.13 billion for the same period in 2014. Our weighted average effective cost of debt decreased to 5.5% for the three months ended March 31, 2015 from 5.6% for the same period in 2014.</w:t>
      </w:r>
    </w:p>
    <w:p>
      <w:pPr>
        <w:spacing w:after="0" w:line="13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Real estate expenses decreased to $39.6 million during the three months ended March 31, 2015 as compared to $42.6 million for the same period in 2014. Expenses for net lease assets decreased to $5.3 million during the three months ended March 31, 2015 from $5.7 million for the same period in 2014. During the three months ended March 31, 2015, expenses for same store net lease assets decreased to $5.3 million from $5.5 million for the same period in 2014 due primarily to a new long-term triple net lease at a vacant property. Expenses for commercial operating properties increased to $22.5 million during the three months ended March 31, 2015 from $22.3 million for the same period in 2014. During the three months ended March 31, 2015, expenses for same store commercial operating properties, excluding hotels, decreased to $10.7 million from $11.8 million for the same period in 2014 due primarily to an early lease termination in 2014. We acquired title to additional commercial operating properties since March 31, 2014, which contributed an additional $3.2 million to real estate expenses during the three months ended March 31, 2015. Additionally, expenses for hotel properties decreased to $5.6 million during the three months ended March 31, 2015 from $6.9 million for the same period in 2014 due primarily to the conversion of hotel rooms to residential units being sold at a hotel property.</w:t>
      </w:r>
    </w:p>
    <w:p>
      <w:pPr>
        <w:spacing w:after="0" w:line="1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Expenses associated with residential units decreased to $4.9 million during the three months ended March 31, 2015 from $6.3 million for the same period in 2014 due to the sale of residential units since March 31, 2014. Carry costs and other expenses on our land assets decreased to $6.9 million during the three months ended March 31, 2015 as compared to $8.3 million for the same period in 2014, primarily related to a decrease in costs incurred on certain land assets prior to development.</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net provision for loan losses was $4.3 million during the three months ended March 31, 2015 as compared to a net recovery of loan losses of $3.4 million for the same period in 2014. Included in the net provision for the three months ended March 31, 2015 was an increase of $4.5 million in the general reserve due primarily to new investment originations offset by recoveries of previously recorded loan loss reserves of $0.2 million. Included in the net recovery for the three months ended March 31, 2014 were recoveries of previously recorded loan loss reserves of $5.2 million offset by an increase of $1.8 million in the general reserve due primarily to new investment originations.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expense increased to $2.1 million during the three months ended March 31, 2015 from $0.2 million for the same period in 2014 due primarily to a decrease in the fair value of an interest rate cap that is not designated as an interest rate hedge.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increased to $6.5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2015 as compared to $3.2 million for the same period in 2014 due primarily to $4.5 million of earnings related to sales activity on a land development project venture.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—Income taxes are primarily generated by assets held in our taxable REIT subsidiaries (“TRS's”). Income tax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$(5.9) million was recorded during the three months ended March 31, 2015 as compared to a net tax benefit of $0.5 million for the same period in 2014. The period to period difference was due primarily to tax expense generated from the sales of condominium units and sales of units at a land development project.</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from sales of real estate</w:t>
      </w:r>
      <w:r>
        <w:rPr>
          <w:rFonts w:ascii="Arial" w:cs="Arial" w:eastAsia="Arial" w:hAnsi="Arial"/>
          <w:sz w:val="18"/>
          <w:szCs w:val="18"/>
          <w:color w:val="auto"/>
        </w:rPr>
        <w:t>—During the three months ended March 31, 2015 and 2014, we sold residential condominiums for total net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$49.0 million and $47.7 million, respectively, that resulted in income of $17.6 million and $16.5 million, respectively. During the three months ended March 31, 2015, we also sold a net lease asset for proceeds of $4.9 million resulting in a gain of $3.5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net income (loss), we use Adjusted income to measure our operating performance. Adjusted income represents net income (loss) allocable to common shareholders, prior to the effect of depreciation and amortization, provision for (recovery of) loan losses, impairment of assets, stock-based compensation expense and the non-cash portion of gain (loss) on early extinguishment of debt.</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believe Adjusted income is a useful measure to consider, in addition to net income (loss), as it may help investors evaluate our core operating performance prior to certain non-cash items.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as an indicator of our performance, or to cash flows from operating activities (determined in accordance with GAAP) as a measure of our liquidity, nor is Adjusted income indicative of funds available to fund our cash needs or available for distribution to shareholders. Rather, Adjusted income is an additional measure for us to use to analyze how our business is performing. It should be noted that our manner of calculating Adjusted income may differ from the calculations of similarly-titled measures by other companies.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(22,553)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(26,572)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18,895</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Add/Less: Provision for (recovery of) loan losses</w:t>
            </w: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2,075</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Loss on early extinguishment of debt,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(loss) allocable to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8,523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500" w:hanging="492"/>
        <w:spacing w:after="0" w:line="250"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ind w:left="500" w:hanging="492"/>
        <w:spacing w:after="0" w:line="255"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Impairment of assets includes impairments on cost and equity method investments recorded in "Other income" and "Earnings from equity method investments", respectively, on our Consolidated Statements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Pr>
          <w:p>
            <w:pPr>
              <w:spacing w:after="0"/>
              <w:rPr>
                <w:sz w:val="22"/>
                <w:szCs w:val="22"/>
                <w:color w:val="auto"/>
              </w:rPr>
            </w:pPr>
          </w:p>
        </w:tc>
        <w:tc>
          <w:tcPr>
            <w:tcW w:w="156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Carrying value(1)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64,750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65,047</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Asset-specific reserves for loan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64,783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64,990</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As a percentage of gross carrying value of impaired loans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reserve for loan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102,783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98,490</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March 31, 2015 and December 31, 2014, carrying values of non-performing loans are net of asset-specific reserves for loan losses of $64.2 million and $64.2 million, respectively.</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March 31, 2015, we had non-performing loans with an aggregate carrying value of $64.8 million compared to non-performing loans of $65.0 million at December 31, 2014. We expect that our level of non-performing loans will fluctuate from period to period.</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Reserve for Loan Losses</w:t>
      </w:r>
      <w:r>
        <w:rPr>
          <w:rFonts w:ascii="Arial" w:cs="Arial" w:eastAsia="Arial" w:hAnsi="Arial"/>
          <w:sz w:val="17"/>
          <w:szCs w:val="17"/>
          <w:color w:val="auto"/>
        </w:rPr>
        <w:t>—The reserve for loan losses was $102.8 million as of March 31, 2015, or 7.1% of total loans, compared to $98.5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7.6% at December 31, 2014. For the three months ended March 31, 2015, the provision for loan losses includes an increase of $4.5 million in the general reserve due primarily to new investment originations offset by recoveries of previously recorded loan loss reserves of $0.2 million. We expect that our level of reserve for loan losses will fluctuate from period to period. Due to the volatility of the commercial real estate market, the process of estimating collateral values and reserves requires the use of significant judgment. In addition, the process of estimating values and reserves for our European loan assets, which had a carrying value of $16.9 million as of March 31, 2015, is subject to additional risks related to the economic uncertainty in the Eurozone. We currently believe there are adequate collateral and reserves to support the carrying values of the loans.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March 31, 2015, asset-specific reserves decreased to $64.8 million compared to $65.0 million at December 31, 2014.</w:t>
      </w:r>
    </w:p>
    <w:p>
      <w:pPr>
        <w:spacing w:after="0" w:line="18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increased to $38.0 million or 2.9% of performing loans as of March 31, 2015, compared to $33.5 million or 2.9% of performing loans at December 31, 2014. This increase was primarily attributable to the increase in the balance of performing loans, which was driven by new investment originations.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March 31, 2015, based on current gross carrying values, the Company's total investment portfolio has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 in thousands)(1):</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 Industrial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1,253,599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1,111,243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1,138,972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689,440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568,241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568,241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520,913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211,888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344,751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297,939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119,977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288,916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95,902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1,575,846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1,684,026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731,656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1,111,243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5,198,673</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24"/>
                <w:szCs w:val="2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1,385,190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80,779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426,001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77,834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396,992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981,606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Mid-Atlantic</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796,524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79,857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254,901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279,062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764,456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697,327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92,700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263,793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95,902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International(2)</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1,575,846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1,684,026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731,656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1,111,243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5,198,673</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Strategic investments include $14.9 million of international assets. Combined, international and strategic investments include $22.7 million of European assets, including $14.4 million in the United Kingdom and $8.3 million in Germany.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three months ended March 31, 2015, we committed to new investments totaling $274.0 million, of which we funded $163.2 million. In addition, we funded $61.5 million associated with ongoing developments and prior financing commitments. Total fundings of $224.7 million included $188.2 million in lending and other investments, $21.8 million to develop our land assets and $14.7 million of capital to reposition or redevelop our operating properties and invest in net lease assets. Also during the three months ended March 31, 2015, we generated $207.4 million of proceeds from loan repayments and asset sales within our portfolio, comprised of $143.7 million from operating properties, $40.6 million from real estate finance, $10.0 million from other investments, $8.2 million from land and $4.9 million from net lease assets. These amounts are inclusive of fundings and proceeds from both consolidated and equity method investments. As of March 31, 2015, we had unrestricted cash of $625.4 million.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outlines our capital expenditures on real estate assets reflected in our Consolidated Statements of Cash Flows for the three months ended March 31, 2015 and 2014, by segment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11,178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13,885</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capital expenditures on real estate assets</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34,669</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27,902</w:t>
            </w: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primary cash uses over the next 12 months are expected to be funding of investments, repayments of debt, capital expenditures and funding ongoing business operations. We repaid the $105.8 million outstanding balance of our 6.05% senior notes due April 2015 at their maturity. We have other debt maturities of $261.4 million due before March 31, 2016. Over the next 12 months, we currently expect to fund in the range of approximately $250 million to $325 million of capital expenditures within our portfolio. The majority of these amounts relate to our land, multifamily and residential development activities and operating properties. The amount spent will depend on the pace of our development activities as well as the extent to which we strategically partner with others to complete these projects. As of March 31, 2015, we also had approximately $703 million of maximum unfunded commitments associated with our investments, assuming borrowers and tenants meet all milestones and performance hurdles and all other conditions to fundings are met. See "Unfunded Commitments" below. Our capital sources to meet expected cash uses through the next 12 months will primarily include cash on hand, income from our portfolio, loan repayments from borrowers, proceeds from asset sales and capital raised through debt refinancings or equity capital transactions.</w:t>
      </w:r>
    </w:p>
    <w:p>
      <w:pPr>
        <w:spacing w:after="0" w:line="12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continued to improve, it is not possible for us to predict whether the improving trends will continue or to quantify the impact of these or other trends on our financial results.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March 31, 2015 (see Note 8 of the Notes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3,326,890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367,168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1,889,722</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1,070,000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348,185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348,185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246,792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167,837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4,271,867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2,515,721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1,110,211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167,837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102,097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Interest Payable(1)</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661,297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201,519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327,428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89,024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30,821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10,461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b w:val="1"/>
                <w:bCs w:val="1"/>
                <w:color w:val="auto"/>
              </w:rPr>
              <w:t>Total(2)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4,963,985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583,024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2,853,610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1,206,503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198,050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122,798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Variable-rate debt assumes 1-month LIBOR rate of 0.18%, 3-month LIBOR rate of 0.27% and 6-month LIBOR rate of 0.40%.</w:t>
      </w:r>
    </w:p>
    <w:p>
      <w:pPr>
        <w:spacing w:after="0" w:line="13"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2015 Revolving Credit Facility</w:t>
      </w:r>
      <w:r>
        <w:rPr>
          <w:rFonts w:ascii="Arial" w:cs="Arial" w:eastAsia="Arial" w:hAnsi="Arial"/>
          <w:sz w:val="16"/>
          <w:szCs w:val="16"/>
          <w:color w:val="auto"/>
        </w:rPr>
        <w:t>—On March 27, 2015, we entered into a secured revolving credit facility with a maximum capacity of $250.0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(the "2015 Revolving Credit Facility"). Borrowings under this credit facility bear interest at a floating rate indexed to one of several base rates plus a margin which adjusts upward or downward based upon our corporate credit rating. Commitments under the revolving facility mature in March 2018. At maturity, we may convert outstanding borrowings to a one-year term loan which matures in quarterly installments through March 2019. The facility is secured by a borrowing base of assets and there is no requirement that proceeds from the borrowing base be used to pay down outstanding borrowings.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2012 Secured Credit Facilities</w:t>
      </w:r>
      <w:r>
        <w:rPr>
          <w:rFonts w:ascii="Arial" w:cs="Arial" w:eastAsia="Arial" w:hAnsi="Arial"/>
          <w:sz w:val="17"/>
          <w:szCs w:val="17"/>
          <w:color w:val="auto"/>
        </w:rPr>
        <w:t>—In March 2012, we entered into an $880.0 million senior secured credit agreement providing for two tranches of term</w:t>
      </w:r>
      <w:r>
        <w:rPr>
          <w:rFonts w:ascii="Arial" w:cs="Arial" w:eastAsia="Arial" w:hAnsi="Arial"/>
          <w:sz w:val="17"/>
          <w:szCs w:val="17"/>
          <w:b w:val="1"/>
          <w:bCs w:val="1"/>
          <w:color w:val="auto"/>
        </w:rPr>
        <w:t xml:space="preserve"> </w:t>
      </w:r>
      <w:r>
        <w:rPr>
          <w:rFonts w:ascii="Arial" w:cs="Arial" w:eastAsia="Arial" w:hAnsi="Arial"/>
          <w:sz w:val="17"/>
          <w:szCs w:val="17"/>
          <w:color w:val="auto"/>
        </w:rPr>
        <w:t>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3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us. We may also make optional prepayments, subject to prepayment fees. The 2012 Tranche A-1 Facility was fully repaid in August 2013. Additionally, through March 31, 2015, we made cumulative amortization repayments of $121.8 million on the 2012 Tranche A-2 Facility. For the three months ended March 31, 2015 and 2014, repayments of the 2012 Tranche A-2 Facility prior to maturity resulted in losses on early extinguishment of debt of $0.2 million and $0.3 million, respectively, related to the accelerated amortization of discounts and unamortized deferred financing fees on the portion of the facility that was repaid. These amounts were included in "Loss on early extinguishment of debt, net" on our Consolidated Statements of Operations.</w:t>
      </w:r>
    </w:p>
    <w:p>
      <w:pPr>
        <w:spacing w:after="0" w:line="163"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March 31, 2015 and December 31, 2014, the carrying value of our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79"/>
              </w:rPr>
              <w:t>As of</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1,650,159</w:t>
            </w:r>
          </w:p>
        </w:tc>
        <w:tc>
          <w:tcPr>
            <w:tcW w:w="60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2,056,336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275,486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1,364,828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325,182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336,411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944,304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1,022,775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4,667,805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695,097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4,801,536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March 31, 2015 and December 31, 2014, the amounts presented exclude general reserves for loan losses of $38.0 million and $33.5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covenant not to incur new indebtedness, if on a pro forma basis, our fixed charge coverage ratio is 1.5x or lower, except for incurrences of permitted debt. If any of our covenants are breached and not cured within applicable cure periods, the breach could result in acceleration of our debt securities unless a waiver or modification is agreed upon with the requisite percentage of the bondholders.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us to maintain collateral coverage of at least 1.25x outstanding borrowings on the facilities. The 2015 Revolving Credit Facility requires us to maintain both collateral coverage of at least 1.5x outstanding borrowings on the facility and a consolidated ratio of cash flow to fixed charges of at least 1.5x. In addition, for so long as we maintain our qualification as a REIT, the 2012 Secured Credit Facilities and the 2015 Revolving Credit Facility permit us to distribute 100% of our REIT taxable income on an annual basis (prior to deducting certain cumulative net operating loss carryforwards in the case of the 2015 Revolving Credit Facility). We may not pay common dividends if we cease to qualify as a REIT.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2012 Secured Credit Facilities and the 2015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2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Note 10 of the Notes to the Consolidated Financial Statements.</w:t>
      </w:r>
    </w:p>
    <w:p>
      <w:pPr>
        <w:spacing w:after="0" w:line="1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—We are not dependent on the use of any off-balance sheet financing arrangements for liquidity. We have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various unconsolidated ventures. See Note 6 of the Notes to the Consolidated Financial Statements for further details of our unconsolidated investments. Our maximum exposure to loss from these investments is limited to the carrying value of our investments and any unfunded commitments (see below).</w:t>
      </w:r>
    </w:p>
    <w:p>
      <w:pPr>
        <w:spacing w:after="0" w:line="18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March 31, 2015,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Loans and Other</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Lending Investments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639,515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45,762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45,762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618,278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12,081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72,983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703,342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—In September 2013, our Board of Directors approved an increase in the repurchase limit under our previously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repurchase program to $50.0 million. The program authorizes the repurchase of Common Stock from time to time in open market and privately negotiated purchases, including pursuant to one or more trading plans. During the three months ended March 31, 2015, we repurchased 44,000 shares of our outstanding Common Stock for $0.6 million, at an average cost of $12.66 per share. As of March 31, 2015, we had up to $28.5 million of Common Stock available to repurchase under our Board authorized stock repurchase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summary of our critical accounting estimates is included in our 2014 Annual Report in Management's Discussion and Analysis of Financial Condition. There have been no significant changes to our critical accounting estimates as of March 31, 2015.</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three months ended March 31, 2015 as compared to the disclosures included in our 2014 Annual Report. See discussion of quantitative and qualitative disclosures about market risk under Item 7a —"Quantitative and Qualitative Disclosures about Market Risk," included in our 2014 Annual Report.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Court granted the defendants’ Motions to Dismiss and plaintiffs’ claims against all of the defendants in this action were dismissed. Plaintiffs have filed a notice of appeal. On March 4, 2015, the Maryland Court of Special Appeals issued a notice docketing the appeal in that court and scheduling oral arguments for November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 (iii) 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15% participation interest in all proceeds. Lennar has filed a notice of appeal and other motions regarding the Court’s judgment, orders and rulings in the action. There can be no assurance as to the timing or actual receipt by the Company of amounts awarded by the Court or to the outcome of any appeal.</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2014 Annual Report.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320" w:type="dxa"/>
            <w:vAlign w:val="bottom"/>
          </w:tcPr>
          <w:p>
            <w:pPr>
              <w:ind w:left="338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Exhibit</w:t>
            </w:r>
          </w:p>
        </w:tc>
        <w:tc>
          <w:tcPr>
            <w:tcW w:w="9320" w:type="dxa"/>
            <w:vAlign w:val="bottom"/>
          </w:tcPr>
          <w:p>
            <w:pPr>
              <w:spacing w:after="0"/>
              <w:rPr>
                <w:sz w:val="24"/>
                <w:szCs w:val="24"/>
                <w:color w:val="auto"/>
              </w:rPr>
            </w:pPr>
          </w:p>
        </w:tc>
      </w:tr>
      <w:tr>
        <w:trPr>
          <w:trHeight w:val="234"/>
        </w:trPr>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Number</w:t>
            </w:r>
          </w:p>
        </w:tc>
        <w:tc>
          <w:tcPr>
            <w:tcW w:w="9320" w:type="dxa"/>
            <w:vAlign w:val="bottom"/>
          </w:tcPr>
          <w:p>
            <w:pPr>
              <w:ind w:left="4060"/>
              <w:spacing w:after="0"/>
              <w:rPr>
                <w:sz w:val="20"/>
                <w:szCs w:val="20"/>
                <w:color w:val="auto"/>
              </w:rPr>
            </w:pPr>
            <w:r>
              <w:rPr>
                <w:rFonts w:ascii="Arial" w:cs="Arial" w:eastAsia="Arial" w:hAnsi="Arial"/>
                <w:sz w:val="18"/>
                <w:szCs w:val="18"/>
                <w:b w:val="1"/>
                <w:bCs w:val="1"/>
                <w:color w:val="auto"/>
              </w:rPr>
              <w:t>Document Description</w:t>
            </w:r>
          </w:p>
        </w:tc>
      </w:tr>
      <w:tr>
        <w:trPr>
          <w:trHeight w:val="256"/>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1"/>
              </w:rPr>
              <w:t>10.1</w:t>
            </w:r>
          </w:p>
        </w:tc>
        <w:tc>
          <w:tcPr>
            <w:tcW w:w="9320" w:type="dxa"/>
            <w:vAlign w:val="bottom"/>
          </w:tcPr>
          <w:p>
            <w:pPr>
              <w:ind w:left="180"/>
              <w:spacing w:after="0"/>
              <w:rPr>
                <w:sz w:val="20"/>
                <w:szCs w:val="20"/>
                <w:color w:val="auto"/>
              </w:rPr>
            </w:pPr>
            <w:r>
              <w:rPr>
                <w:rFonts w:ascii="Arial" w:cs="Arial" w:eastAsia="Arial" w:hAnsi="Arial"/>
                <w:sz w:val="18"/>
                <w:szCs w:val="18"/>
                <w:color w:val="auto"/>
                <w:w w:val="92"/>
              </w:rPr>
              <w:t>Credit Agreement, by and among iStar Financial Inc. and JPMorgan Chase Bank, N.A., as Administrative Agent, dated as of</w:t>
            </w:r>
          </w:p>
        </w:tc>
      </w:tr>
      <w:tr>
        <w:trPr>
          <w:trHeight w:val="230"/>
        </w:trPr>
        <w:tc>
          <w:tcPr>
            <w:tcW w:w="82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March 27, 2015.</w:t>
            </w:r>
          </w:p>
        </w:tc>
      </w:tr>
      <w:tr>
        <w:trPr>
          <w:trHeight w:val="256"/>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1"/>
              </w:rPr>
              <w:t>10.2</w:t>
            </w:r>
          </w:p>
        </w:tc>
        <w:tc>
          <w:tcPr>
            <w:tcW w:w="9320" w:type="dxa"/>
            <w:vAlign w:val="bottom"/>
          </w:tcPr>
          <w:p>
            <w:pPr>
              <w:ind w:left="180"/>
              <w:spacing w:after="0"/>
              <w:rPr>
                <w:sz w:val="20"/>
                <w:szCs w:val="20"/>
                <w:color w:val="auto"/>
              </w:rPr>
            </w:pPr>
            <w:r>
              <w:rPr>
                <w:rFonts w:ascii="Arial" w:cs="Arial" w:eastAsia="Arial" w:hAnsi="Arial"/>
                <w:sz w:val="18"/>
                <w:szCs w:val="18"/>
                <w:color w:val="auto"/>
                <w:w w:val="90"/>
              </w:rPr>
              <w:t>Security Agreement, by and among iStar Financial Inc. and JPMorgan Chase Bank, N.A., as Administrative Agent, dated as of</w:t>
            </w:r>
          </w:p>
        </w:tc>
      </w:tr>
      <w:tr>
        <w:trPr>
          <w:trHeight w:val="230"/>
        </w:trPr>
        <w:tc>
          <w:tcPr>
            <w:tcW w:w="82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March 27, 2015.</w:t>
            </w:r>
          </w:p>
        </w:tc>
      </w:tr>
      <w:tr>
        <w:trPr>
          <w:trHeight w:val="270"/>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1"/>
              </w:rPr>
              <w:t>31.0</w:t>
            </w:r>
          </w:p>
        </w:tc>
        <w:tc>
          <w:tcPr>
            <w:tcW w:w="9320" w:type="dxa"/>
            <w:vAlign w:val="bottom"/>
          </w:tcPr>
          <w:p>
            <w:pPr>
              <w:ind w:left="18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270"/>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1"/>
              </w:rPr>
              <w:t>32.0</w:t>
            </w:r>
          </w:p>
        </w:tc>
        <w:tc>
          <w:tcPr>
            <w:tcW w:w="9320" w:type="dxa"/>
            <w:vAlign w:val="bottom"/>
          </w:tcPr>
          <w:p>
            <w:pPr>
              <w:ind w:left="180"/>
              <w:spacing w:after="0"/>
              <w:rPr>
                <w:sz w:val="20"/>
                <w:szCs w:val="20"/>
                <w:color w:val="auto"/>
              </w:rPr>
            </w:pPr>
            <w:r>
              <w:rPr>
                <w:rFonts w:ascii="Arial" w:cs="Arial" w:eastAsia="Arial" w:hAnsi="Arial"/>
                <w:sz w:val="18"/>
                <w:szCs w:val="18"/>
                <w:color w:val="auto"/>
              </w:rPr>
              <w:t>Certifications pursuant to Section 906 of the Sarbanes-Oxley Act.</w:t>
            </w:r>
          </w:p>
        </w:tc>
      </w:tr>
    </w:tbl>
    <w:p>
      <w:pPr>
        <w:spacing w:after="0" w:line="40" w:lineRule="exact"/>
        <w:rPr>
          <w:sz w:val="20"/>
          <w:szCs w:val="20"/>
          <w:color w:val="auto"/>
        </w:rPr>
      </w:pPr>
    </w:p>
    <w:p>
      <w:pPr>
        <w:ind w:left="1620" w:right="380" w:hanging="808"/>
        <w:spacing w:after="0" w:line="272"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March 31, 2015 is formatted in XBRL ("eXtensible Business Reporting Language"): (i) the Consolidated Balance Sheets (unaudited) as of March 31, 2015 and December 31, 2014, (ii) the Consolidated Statements of Operations (unaudited) for the three months ended March 31, 2015 and 2014, (iii) the Consolidated Statements of Comprehensive Income (Loss) (unaudited) for the three months ended March 31, 2015 and 2014, (iv) the Consolidated Statement of Changes in Equity (unaudited) for the three months ended March 31, 2015 and 2014, (v) the Consolidated Statements of Cash Flows (unaudited) for the three months ended March 31, 2015 and 2014 and (vi) the 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312" w:lineRule="auto"/>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May 4, 2015</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80" w:val="left"/>
        </w:tabs>
        <w:rPr>
          <w:sz w:val="20"/>
          <w:szCs w:val="20"/>
          <w:color w:val="auto"/>
        </w:rPr>
      </w:pPr>
      <w:r>
        <w:rPr>
          <w:rFonts w:ascii="Arial" w:cs="Arial" w:eastAsia="Arial" w:hAnsi="Arial"/>
          <w:sz w:val="18"/>
          <w:szCs w:val="18"/>
          <w:color w:val="auto"/>
        </w:rPr>
        <w:t>Date: May 4, 2015</w:t>
      </w:r>
      <w:r>
        <w:rPr>
          <w:sz w:val="20"/>
          <w:szCs w:val="20"/>
          <w:color w:val="auto"/>
        </w:rPr>
        <w:tab/>
      </w:r>
      <w:r>
        <w:rPr>
          <w:rFonts w:ascii="Arial" w:cs="Arial" w:eastAsia="Arial" w:hAnsi="Arial"/>
          <w:sz w:val="17"/>
          <w:szCs w:val="17"/>
          <w:color w:val="auto"/>
        </w:rPr>
        <w:t>/s/ DAVID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DiStaso</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237490</wp:posOffset>
            </wp:positionV>
            <wp:extent cx="5411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$250,000,000</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dated as of March 27, 2015</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iSTAR FINANCIAL INC.,</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BANKS LISTED HEREIN,</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154940</wp:posOffset>
            </wp:positionV>
            <wp:extent cx="5411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J.P. MORGAN SECURITIES LLC,</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MERRILL LYNCH, PIERCE, FENNER &amp; SMITH INCORPORATED,</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BARCLAYS BANK PLC,</w:t>
      </w:r>
    </w:p>
    <w:p>
      <w:pPr>
        <w:spacing w:after="0" w:line="216"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0220"/>
          </w:cols>
          <w:pgMar w:left="1440" w:top="796" w:right="239" w:bottom="1440" w:gutter="0" w:footer="0" w:header="0"/>
        </w:sectPr>
      </w:pPr>
    </w:p>
    <w:bookmarkStart w:id="46" w:name="page47"/>
    <w:bookmarkEnd w:id="46"/>
    <w:p>
      <w:pPr>
        <w:ind w:left="4160"/>
        <w:spacing w:after="0"/>
        <w:rPr>
          <w:sz w:val="20"/>
          <w:szCs w:val="20"/>
          <w:color w:val="auto"/>
        </w:rPr>
      </w:pPr>
      <w:r>
        <w:rPr>
          <w:rFonts w:ascii="Arial" w:cs="Arial" w:eastAsia="Arial" w:hAnsi="Arial"/>
          <w:sz w:val="20"/>
          <w:szCs w:val="20"/>
          <w:u w:val="single" w:color="auto"/>
          <w:color w:val="auto"/>
        </w:rPr>
        <w:t>Contents</w:t>
      </w:r>
    </w:p>
    <w:p>
      <w:pPr>
        <w:spacing w:after="0" w:line="337" w:lineRule="exact"/>
        <w:rPr>
          <w:sz w:val="20"/>
          <w:szCs w:val="20"/>
          <w:color w:val="auto"/>
        </w:rPr>
      </w:pPr>
    </w:p>
    <w:p>
      <w:pPr>
        <w:ind w:left="260"/>
        <w:spacing w:after="0"/>
        <w:tabs>
          <w:tab w:leader="none" w:pos="8320" w:val="left"/>
        </w:tabs>
        <w:rPr>
          <w:sz w:val="20"/>
          <w:szCs w:val="20"/>
          <w:color w:val="auto"/>
        </w:rPr>
      </w:pPr>
      <w:r>
        <w:rPr>
          <w:rFonts w:ascii="Arial" w:cs="Arial" w:eastAsia="Arial" w:hAnsi="Arial"/>
          <w:sz w:val="20"/>
          <w:szCs w:val="20"/>
          <w:color w:val="auto"/>
        </w:rPr>
        <w:t>Clause</w:t>
      </w:r>
      <w:r>
        <w:rPr>
          <w:sz w:val="20"/>
          <w:szCs w:val="20"/>
          <w:color w:val="auto"/>
        </w:rPr>
        <w:tab/>
      </w:r>
      <w:r>
        <w:rPr>
          <w:rFonts w:ascii="Arial" w:cs="Arial" w:eastAsia="Arial" w:hAnsi="Arial"/>
          <w:sz w:val="16"/>
          <w:szCs w:val="16"/>
          <w:color w:val="auto"/>
        </w:rPr>
        <w:t>Page</w:t>
      </w:r>
    </w:p>
    <w:p>
      <w:pPr>
        <w:spacing w:after="0" w:line="337" w:lineRule="exact"/>
        <w:rPr>
          <w:sz w:val="20"/>
          <w:szCs w:val="20"/>
          <w:color w:val="auto"/>
        </w:rPr>
      </w:pPr>
    </w:p>
    <w:p>
      <w:pPr>
        <w:ind w:left="260"/>
        <w:spacing w:after="0"/>
        <w:tabs>
          <w:tab w:leader="dot" w:pos="8600" w:val="left"/>
        </w:tabs>
        <w:rPr>
          <w:sz w:val="20"/>
          <w:szCs w:val="20"/>
          <w:color w:val="auto"/>
        </w:rPr>
      </w:pPr>
      <w:r>
        <w:rPr>
          <w:rFonts w:ascii="Arial" w:cs="Arial" w:eastAsia="Arial" w:hAnsi="Arial"/>
          <w:sz w:val="20"/>
          <w:szCs w:val="20"/>
          <w:color w:val="auto"/>
        </w:rPr>
        <w:t>Article I DEFINITIONS</w:t>
      </w:r>
      <w:r>
        <w:rPr>
          <w:sz w:val="20"/>
          <w:szCs w:val="20"/>
          <w:color w:val="auto"/>
        </w:rPr>
        <w:tab/>
      </w:r>
      <w:r>
        <w:rPr>
          <w:rFonts w:ascii="Arial" w:cs="Arial" w:eastAsia="Arial" w:hAnsi="Arial"/>
          <w:sz w:val="16"/>
          <w:szCs w:val="16"/>
          <w:color w:val="auto"/>
        </w:rPr>
        <w:t>1</w:t>
      </w:r>
    </w:p>
    <w:p>
      <w:pPr>
        <w:spacing w:after="0" w:line="337" w:lineRule="exact"/>
        <w:rPr>
          <w:sz w:val="20"/>
          <w:szCs w:val="20"/>
          <w:color w:val="auto"/>
        </w:rPr>
      </w:pPr>
    </w:p>
    <w:p>
      <w:pPr>
        <w:ind w:left="640"/>
        <w:spacing w:after="0"/>
        <w:tabs>
          <w:tab w:leader="none" w:pos="1820" w:val="left"/>
          <w:tab w:leader="dot" w:pos="8600" w:val="left"/>
        </w:tabs>
        <w:rPr>
          <w:sz w:val="20"/>
          <w:szCs w:val="20"/>
          <w:color w:val="auto"/>
        </w:rPr>
      </w:pPr>
      <w:r>
        <w:rPr>
          <w:rFonts w:ascii="Arial" w:cs="Arial" w:eastAsia="Arial" w:hAnsi="Arial"/>
          <w:sz w:val="20"/>
          <w:szCs w:val="20"/>
          <w:color w:val="010000"/>
        </w:rPr>
        <w:t>Section 1.1.</w:t>
      </w:r>
      <w:r>
        <w:rPr>
          <w:rFonts w:ascii="Arial" w:cs="Arial" w:eastAsia="Arial" w:hAnsi="Arial"/>
          <w:sz w:val="20"/>
          <w:szCs w:val="20"/>
          <w:color w:val="auto"/>
        </w:rPr>
        <w:tab/>
        <w:t>Definitions</w:t>
      </w:r>
      <w:r>
        <w:rPr>
          <w:sz w:val="20"/>
          <w:szCs w:val="20"/>
          <w:color w:val="auto"/>
        </w:rPr>
        <w:tab/>
      </w:r>
      <w:r>
        <w:rPr>
          <w:rFonts w:ascii="Arial" w:cs="Arial" w:eastAsia="Arial" w:hAnsi="Arial"/>
          <w:sz w:val="16"/>
          <w:szCs w:val="16"/>
          <w:color w:val="auto"/>
        </w:rPr>
        <w:t>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1.2.</w:t>
      </w:r>
      <w:r>
        <w:rPr>
          <w:rFonts w:ascii="Arial" w:cs="Arial" w:eastAsia="Arial" w:hAnsi="Arial"/>
          <w:sz w:val="20"/>
          <w:szCs w:val="20"/>
          <w:color w:val="auto"/>
        </w:rPr>
        <w:tab/>
        <w:t>Accounting Terms and Determinations</w:t>
      </w:r>
      <w:r>
        <w:rPr>
          <w:sz w:val="20"/>
          <w:szCs w:val="20"/>
          <w:color w:val="auto"/>
        </w:rPr>
        <w:tab/>
      </w:r>
      <w:r>
        <w:rPr>
          <w:rFonts w:ascii="Arial" w:cs="Arial" w:eastAsia="Arial" w:hAnsi="Arial"/>
          <w:sz w:val="16"/>
          <w:szCs w:val="16"/>
          <w:color w:val="auto"/>
        </w:rPr>
        <w:t>21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1.3.</w:t>
      </w:r>
      <w:r>
        <w:rPr>
          <w:rFonts w:ascii="Arial" w:cs="Arial" w:eastAsia="Arial" w:hAnsi="Arial"/>
          <w:sz w:val="20"/>
          <w:szCs w:val="20"/>
          <w:color w:val="auto"/>
        </w:rPr>
        <w:tab/>
        <w:t>Types of Borrowings</w:t>
      </w:r>
      <w:r>
        <w:rPr>
          <w:sz w:val="20"/>
          <w:szCs w:val="20"/>
          <w:color w:val="auto"/>
        </w:rPr>
        <w:tab/>
      </w:r>
      <w:r>
        <w:rPr>
          <w:rFonts w:ascii="Arial" w:cs="Arial" w:eastAsia="Arial" w:hAnsi="Arial"/>
          <w:sz w:val="16"/>
          <w:szCs w:val="16"/>
          <w:color w:val="auto"/>
        </w:rPr>
        <w:t>21</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auto"/>
        </w:rPr>
        <w:t>Article II THE LOANS</w:t>
      </w:r>
      <w:r>
        <w:rPr>
          <w:sz w:val="20"/>
          <w:szCs w:val="20"/>
          <w:color w:val="auto"/>
        </w:rPr>
        <w:tab/>
      </w:r>
      <w:r>
        <w:rPr>
          <w:rFonts w:ascii="Arial" w:cs="Arial" w:eastAsia="Arial" w:hAnsi="Arial"/>
          <w:sz w:val="16"/>
          <w:szCs w:val="16"/>
          <w:color w:val="auto"/>
        </w:rPr>
        <w:t>21</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w:t>
      </w:r>
      <w:r>
        <w:rPr>
          <w:rFonts w:ascii="Arial" w:cs="Arial" w:eastAsia="Arial" w:hAnsi="Arial"/>
          <w:sz w:val="20"/>
          <w:szCs w:val="20"/>
          <w:color w:val="auto"/>
        </w:rPr>
        <w:tab/>
        <w:t>Revolving Commitments</w:t>
      </w:r>
      <w:r>
        <w:rPr>
          <w:sz w:val="20"/>
          <w:szCs w:val="20"/>
          <w:color w:val="auto"/>
        </w:rPr>
        <w:tab/>
      </w:r>
      <w:r>
        <w:rPr>
          <w:rFonts w:ascii="Arial" w:cs="Arial" w:eastAsia="Arial" w:hAnsi="Arial"/>
          <w:sz w:val="16"/>
          <w:szCs w:val="16"/>
          <w:color w:val="auto"/>
        </w:rPr>
        <w:t>21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2.2.</w:t>
      </w:r>
      <w:r>
        <w:rPr>
          <w:rFonts w:ascii="Arial" w:cs="Arial" w:eastAsia="Arial" w:hAnsi="Arial"/>
          <w:sz w:val="20"/>
          <w:szCs w:val="20"/>
          <w:color w:val="auto"/>
        </w:rPr>
        <w:tab/>
        <w:t>Term Commitments</w:t>
      </w:r>
      <w:r>
        <w:rPr>
          <w:sz w:val="20"/>
          <w:szCs w:val="20"/>
          <w:color w:val="auto"/>
        </w:rPr>
        <w:tab/>
      </w:r>
      <w:r>
        <w:rPr>
          <w:rFonts w:ascii="Arial" w:cs="Arial" w:eastAsia="Arial" w:hAnsi="Arial"/>
          <w:sz w:val="16"/>
          <w:szCs w:val="16"/>
          <w:color w:val="auto"/>
        </w:rPr>
        <w:t>22</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2.3.</w:t>
      </w:r>
      <w:r>
        <w:rPr>
          <w:rFonts w:ascii="Arial" w:cs="Arial" w:eastAsia="Arial" w:hAnsi="Arial"/>
          <w:sz w:val="20"/>
          <w:szCs w:val="20"/>
          <w:color w:val="auto"/>
        </w:rPr>
        <w:tab/>
        <w:t>Procedures for Revolving Loan Borrowing</w:t>
      </w:r>
      <w:r>
        <w:rPr>
          <w:sz w:val="20"/>
          <w:szCs w:val="20"/>
          <w:color w:val="auto"/>
        </w:rPr>
        <w:tab/>
      </w:r>
      <w:r>
        <w:rPr>
          <w:rFonts w:ascii="Arial" w:cs="Arial" w:eastAsia="Arial" w:hAnsi="Arial"/>
          <w:sz w:val="16"/>
          <w:szCs w:val="16"/>
          <w:color w:val="auto"/>
        </w:rPr>
        <w:t>22</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2.4.</w:t>
      </w:r>
      <w:r>
        <w:rPr>
          <w:rFonts w:ascii="Arial" w:cs="Arial" w:eastAsia="Arial" w:hAnsi="Arial"/>
          <w:sz w:val="20"/>
          <w:szCs w:val="20"/>
          <w:color w:val="auto"/>
        </w:rPr>
        <w:tab/>
        <w:t>Notice to Banks; Funding of Revolving Loans</w:t>
      </w:r>
      <w:r>
        <w:rPr>
          <w:sz w:val="20"/>
          <w:szCs w:val="20"/>
          <w:color w:val="auto"/>
        </w:rPr>
        <w:tab/>
      </w:r>
      <w:r>
        <w:rPr>
          <w:rFonts w:ascii="Arial" w:cs="Arial" w:eastAsia="Arial" w:hAnsi="Arial"/>
          <w:sz w:val="16"/>
          <w:szCs w:val="16"/>
          <w:color w:val="auto"/>
        </w:rPr>
        <w:t>23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2.5.</w:t>
      </w:r>
      <w:r>
        <w:rPr>
          <w:rFonts w:ascii="Arial" w:cs="Arial" w:eastAsia="Arial" w:hAnsi="Arial"/>
          <w:sz w:val="20"/>
          <w:szCs w:val="20"/>
          <w:color w:val="auto"/>
        </w:rPr>
        <w:tab/>
        <w:t>Notes</w:t>
      </w:r>
      <w:r>
        <w:rPr>
          <w:sz w:val="20"/>
          <w:szCs w:val="20"/>
          <w:color w:val="auto"/>
        </w:rPr>
        <w:tab/>
      </w:r>
      <w:r>
        <w:rPr>
          <w:rFonts w:ascii="Arial" w:cs="Arial" w:eastAsia="Arial" w:hAnsi="Arial"/>
          <w:sz w:val="16"/>
          <w:szCs w:val="16"/>
          <w:color w:val="auto"/>
        </w:rPr>
        <w:t>24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2.6.</w:t>
      </w:r>
      <w:r>
        <w:rPr>
          <w:rFonts w:ascii="Arial" w:cs="Arial" w:eastAsia="Arial" w:hAnsi="Arial"/>
          <w:sz w:val="20"/>
          <w:szCs w:val="20"/>
          <w:color w:val="auto"/>
        </w:rPr>
        <w:tab/>
        <w:t>Method of Electing Interest Rates</w:t>
      </w:r>
      <w:r>
        <w:rPr>
          <w:sz w:val="20"/>
          <w:szCs w:val="20"/>
          <w:color w:val="auto"/>
        </w:rPr>
        <w:tab/>
      </w:r>
      <w:r>
        <w:rPr>
          <w:rFonts w:ascii="Arial" w:cs="Arial" w:eastAsia="Arial" w:hAnsi="Arial"/>
          <w:sz w:val="16"/>
          <w:szCs w:val="16"/>
          <w:color w:val="auto"/>
        </w:rPr>
        <w:t>24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2.7.</w:t>
      </w:r>
      <w:r>
        <w:rPr>
          <w:rFonts w:ascii="Arial" w:cs="Arial" w:eastAsia="Arial" w:hAnsi="Arial"/>
          <w:sz w:val="20"/>
          <w:szCs w:val="20"/>
          <w:color w:val="auto"/>
        </w:rPr>
        <w:tab/>
        <w:t>Interest Rates</w:t>
      </w:r>
      <w:r>
        <w:rPr>
          <w:sz w:val="20"/>
          <w:szCs w:val="20"/>
          <w:color w:val="auto"/>
        </w:rPr>
        <w:tab/>
      </w:r>
      <w:r>
        <w:rPr>
          <w:rFonts w:ascii="Arial" w:cs="Arial" w:eastAsia="Arial" w:hAnsi="Arial"/>
          <w:sz w:val="16"/>
          <w:szCs w:val="16"/>
          <w:color w:val="auto"/>
        </w:rPr>
        <w:t>25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2.8.</w:t>
      </w:r>
      <w:r>
        <w:rPr>
          <w:rFonts w:ascii="Arial" w:cs="Arial" w:eastAsia="Arial" w:hAnsi="Arial"/>
          <w:sz w:val="20"/>
          <w:szCs w:val="20"/>
          <w:color w:val="auto"/>
        </w:rPr>
        <w:tab/>
        <w:t>Fees</w:t>
      </w:r>
      <w:r>
        <w:rPr>
          <w:sz w:val="20"/>
          <w:szCs w:val="20"/>
          <w:color w:val="auto"/>
        </w:rPr>
        <w:tab/>
      </w:r>
      <w:r>
        <w:rPr>
          <w:rFonts w:ascii="Arial" w:cs="Arial" w:eastAsia="Arial" w:hAnsi="Arial"/>
          <w:sz w:val="16"/>
          <w:szCs w:val="16"/>
          <w:color w:val="auto"/>
        </w:rPr>
        <w:t>26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2.9.</w:t>
      </w:r>
      <w:r>
        <w:rPr>
          <w:rFonts w:ascii="Arial" w:cs="Arial" w:eastAsia="Arial" w:hAnsi="Arial"/>
          <w:sz w:val="20"/>
          <w:szCs w:val="20"/>
          <w:color w:val="auto"/>
        </w:rPr>
        <w:tab/>
        <w:t>Maturity Date</w:t>
      </w:r>
      <w:r>
        <w:rPr>
          <w:sz w:val="20"/>
          <w:szCs w:val="20"/>
          <w:color w:val="auto"/>
        </w:rPr>
        <w:tab/>
      </w:r>
      <w:r>
        <w:rPr>
          <w:rFonts w:ascii="Arial" w:cs="Arial" w:eastAsia="Arial" w:hAnsi="Arial"/>
          <w:sz w:val="16"/>
          <w:szCs w:val="16"/>
          <w:color w:val="auto"/>
        </w:rPr>
        <w:t>26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2.10.</w:t>
      </w:r>
      <w:r>
        <w:rPr>
          <w:rFonts w:ascii="Arial" w:cs="Arial" w:eastAsia="Arial" w:hAnsi="Arial"/>
          <w:sz w:val="20"/>
          <w:szCs w:val="20"/>
          <w:color w:val="auto"/>
        </w:rPr>
        <w:tab/>
        <w:t>Optional Prepayments; Termination or Reduction of Commitments</w:t>
      </w:r>
      <w:r>
        <w:rPr>
          <w:sz w:val="20"/>
          <w:szCs w:val="20"/>
          <w:color w:val="auto"/>
        </w:rPr>
        <w:tab/>
      </w:r>
      <w:r>
        <w:rPr>
          <w:rFonts w:ascii="Arial" w:cs="Arial" w:eastAsia="Arial" w:hAnsi="Arial"/>
          <w:sz w:val="16"/>
          <w:szCs w:val="16"/>
          <w:color w:val="auto"/>
        </w:rPr>
        <w:t>26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2.11.</w:t>
      </w:r>
      <w:r>
        <w:rPr>
          <w:rFonts w:ascii="Arial" w:cs="Arial" w:eastAsia="Arial" w:hAnsi="Arial"/>
          <w:sz w:val="20"/>
          <w:szCs w:val="20"/>
          <w:color w:val="auto"/>
        </w:rPr>
        <w:tab/>
        <w:t>Mandatory Prepayments of Loans</w:t>
      </w:r>
      <w:r>
        <w:rPr>
          <w:sz w:val="20"/>
          <w:szCs w:val="20"/>
          <w:color w:val="auto"/>
        </w:rPr>
        <w:tab/>
      </w:r>
      <w:r>
        <w:rPr>
          <w:rFonts w:ascii="Arial" w:cs="Arial" w:eastAsia="Arial" w:hAnsi="Arial"/>
          <w:sz w:val="16"/>
          <w:szCs w:val="16"/>
          <w:color w:val="auto"/>
        </w:rPr>
        <w:t>27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2.12.</w:t>
      </w:r>
      <w:r>
        <w:rPr>
          <w:rFonts w:ascii="Arial" w:cs="Arial" w:eastAsia="Arial" w:hAnsi="Arial"/>
          <w:sz w:val="20"/>
          <w:szCs w:val="20"/>
          <w:color w:val="auto"/>
        </w:rPr>
        <w:tab/>
        <w:t>General Provisions as to Payments</w:t>
      </w:r>
      <w:r>
        <w:rPr>
          <w:sz w:val="20"/>
          <w:szCs w:val="20"/>
          <w:color w:val="auto"/>
        </w:rPr>
        <w:tab/>
      </w:r>
      <w:r>
        <w:rPr>
          <w:rFonts w:ascii="Arial" w:cs="Arial" w:eastAsia="Arial" w:hAnsi="Arial"/>
          <w:sz w:val="16"/>
          <w:szCs w:val="16"/>
          <w:color w:val="auto"/>
        </w:rPr>
        <w:t>27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2.13.</w:t>
      </w:r>
      <w:r>
        <w:rPr>
          <w:rFonts w:ascii="Arial" w:cs="Arial" w:eastAsia="Arial" w:hAnsi="Arial"/>
          <w:sz w:val="20"/>
          <w:szCs w:val="20"/>
          <w:color w:val="auto"/>
        </w:rPr>
        <w:tab/>
        <w:t>[Reserved]</w:t>
      </w:r>
      <w:r>
        <w:rPr>
          <w:sz w:val="20"/>
          <w:szCs w:val="20"/>
          <w:color w:val="auto"/>
        </w:rPr>
        <w:tab/>
      </w:r>
      <w:r>
        <w:rPr>
          <w:rFonts w:ascii="Arial" w:cs="Arial" w:eastAsia="Arial" w:hAnsi="Arial"/>
          <w:sz w:val="16"/>
          <w:szCs w:val="16"/>
          <w:color w:val="auto"/>
        </w:rPr>
        <w:t>28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2.14.</w:t>
      </w:r>
      <w:r>
        <w:rPr>
          <w:rFonts w:ascii="Arial" w:cs="Arial" w:eastAsia="Arial" w:hAnsi="Arial"/>
          <w:sz w:val="20"/>
          <w:szCs w:val="20"/>
          <w:color w:val="auto"/>
        </w:rPr>
        <w:tab/>
        <w:t>Funding Losses</w:t>
      </w:r>
      <w:r>
        <w:rPr>
          <w:sz w:val="20"/>
          <w:szCs w:val="20"/>
          <w:color w:val="auto"/>
        </w:rPr>
        <w:tab/>
      </w:r>
      <w:r>
        <w:rPr>
          <w:rFonts w:ascii="Arial" w:cs="Arial" w:eastAsia="Arial" w:hAnsi="Arial"/>
          <w:sz w:val="16"/>
          <w:szCs w:val="16"/>
          <w:color w:val="auto"/>
        </w:rPr>
        <w:t>28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2.15.</w:t>
      </w:r>
      <w:r>
        <w:rPr>
          <w:rFonts w:ascii="Arial" w:cs="Arial" w:eastAsia="Arial" w:hAnsi="Arial"/>
          <w:sz w:val="20"/>
          <w:szCs w:val="20"/>
          <w:color w:val="auto"/>
        </w:rPr>
        <w:tab/>
        <w:t>Computation of Interest and Fees</w:t>
      </w:r>
      <w:r>
        <w:rPr>
          <w:sz w:val="20"/>
          <w:szCs w:val="20"/>
          <w:color w:val="auto"/>
        </w:rPr>
        <w:tab/>
      </w:r>
      <w:r>
        <w:rPr>
          <w:rFonts w:ascii="Arial" w:cs="Arial" w:eastAsia="Arial" w:hAnsi="Arial"/>
          <w:sz w:val="16"/>
          <w:szCs w:val="16"/>
          <w:color w:val="auto"/>
        </w:rPr>
        <w:t>28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2.16.</w:t>
      </w:r>
      <w:r>
        <w:rPr>
          <w:rFonts w:ascii="Arial" w:cs="Arial" w:eastAsia="Arial" w:hAnsi="Arial"/>
          <w:sz w:val="20"/>
          <w:szCs w:val="20"/>
          <w:color w:val="auto"/>
        </w:rPr>
        <w:tab/>
        <w:t>Use of Proceeds</w:t>
      </w:r>
      <w:r>
        <w:rPr>
          <w:sz w:val="20"/>
          <w:szCs w:val="20"/>
          <w:color w:val="auto"/>
        </w:rPr>
        <w:tab/>
      </w:r>
      <w:r>
        <w:rPr>
          <w:rFonts w:ascii="Arial" w:cs="Arial" w:eastAsia="Arial" w:hAnsi="Arial"/>
          <w:sz w:val="16"/>
          <w:szCs w:val="16"/>
          <w:color w:val="auto"/>
        </w:rPr>
        <w:t>29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2.17.</w:t>
      </w:r>
      <w:r>
        <w:rPr>
          <w:rFonts w:ascii="Arial" w:cs="Arial" w:eastAsia="Arial" w:hAnsi="Arial"/>
          <w:sz w:val="20"/>
          <w:szCs w:val="20"/>
          <w:color w:val="auto"/>
        </w:rPr>
        <w:tab/>
        <w:t>Reserved</w:t>
      </w:r>
      <w:r>
        <w:rPr>
          <w:sz w:val="20"/>
          <w:szCs w:val="20"/>
          <w:color w:val="auto"/>
        </w:rPr>
        <w:tab/>
      </w:r>
      <w:r>
        <w:rPr>
          <w:rFonts w:ascii="Arial" w:cs="Arial" w:eastAsia="Arial" w:hAnsi="Arial"/>
          <w:sz w:val="16"/>
          <w:szCs w:val="16"/>
          <w:color w:val="auto"/>
        </w:rPr>
        <w:t>29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2.18.</w:t>
      </w:r>
      <w:r>
        <w:rPr>
          <w:rFonts w:ascii="Arial" w:cs="Arial" w:eastAsia="Arial" w:hAnsi="Arial"/>
          <w:sz w:val="20"/>
          <w:szCs w:val="20"/>
          <w:color w:val="auto"/>
        </w:rPr>
        <w:tab/>
        <w:t>Collateral and Covered Assets</w:t>
      </w:r>
      <w:r>
        <w:rPr>
          <w:sz w:val="20"/>
          <w:szCs w:val="20"/>
          <w:color w:val="auto"/>
        </w:rPr>
        <w:tab/>
      </w:r>
      <w:r>
        <w:rPr>
          <w:rFonts w:ascii="Arial" w:cs="Arial" w:eastAsia="Arial" w:hAnsi="Arial"/>
          <w:sz w:val="16"/>
          <w:szCs w:val="16"/>
          <w:color w:val="auto"/>
        </w:rPr>
        <w:t>29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2.19.</w:t>
      </w:r>
      <w:r>
        <w:rPr>
          <w:rFonts w:ascii="Arial" w:cs="Arial" w:eastAsia="Arial" w:hAnsi="Arial"/>
          <w:sz w:val="20"/>
          <w:szCs w:val="20"/>
          <w:color w:val="auto"/>
        </w:rPr>
        <w:tab/>
        <w:t>Defaulting Bank</w:t>
      </w:r>
      <w:r>
        <w:rPr>
          <w:sz w:val="20"/>
          <w:szCs w:val="20"/>
          <w:color w:val="auto"/>
        </w:rPr>
        <w:tab/>
      </w:r>
      <w:r>
        <w:rPr>
          <w:rFonts w:ascii="Arial" w:cs="Arial" w:eastAsia="Arial" w:hAnsi="Arial"/>
          <w:sz w:val="16"/>
          <w:szCs w:val="16"/>
          <w:color w:val="auto"/>
        </w:rPr>
        <w:t>30</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010000"/>
        </w:rPr>
        <w:t xml:space="preserve">Article III </w:t>
      </w:r>
      <w:r>
        <w:rPr>
          <w:rFonts w:ascii="Arial" w:cs="Arial" w:eastAsia="Arial" w:hAnsi="Arial"/>
          <w:sz w:val="20"/>
          <w:szCs w:val="20"/>
          <w:color w:val="000000"/>
        </w:rPr>
        <w:t>CONDITIONS</w:t>
      </w:r>
      <w:r>
        <w:rPr>
          <w:sz w:val="20"/>
          <w:szCs w:val="20"/>
          <w:color w:val="auto"/>
        </w:rPr>
        <w:tab/>
      </w:r>
      <w:r>
        <w:rPr>
          <w:rFonts w:ascii="Arial" w:cs="Arial" w:eastAsia="Arial" w:hAnsi="Arial"/>
          <w:sz w:val="16"/>
          <w:szCs w:val="16"/>
          <w:color w:val="auto"/>
        </w:rPr>
        <w:t>31</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3.1.</w:t>
      </w:r>
      <w:r>
        <w:rPr>
          <w:rFonts w:ascii="Arial" w:cs="Arial" w:eastAsia="Arial" w:hAnsi="Arial"/>
          <w:sz w:val="20"/>
          <w:szCs w:val="20"/>
          <w:color w:val="auto"/>
        </w:rPr>
        <w:tab/>
        <w:t>Closing</w:t>
      </w:r>
      <w:r>
        <w:rPr>
          <w:sz w:val="20"/>
          <w:szCs w:val="20"/>
          <w:color w:val="auto"/>
        </w:rPr>
        <w:tab/>
      </w:r>
      <w:r>
        <w:rPr>
          <w:rFonts w:ascii="Arial" w:cs="Arial" w:eastAsia="Arial" w:hAnsi="Arial"/>
          <w:sz w:val="16"/>
          <w:szCs w:val="16"/>
          <w:color w:val="auto"/>
        </w:rPr>
        <w:t>31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3.2.</w:t>
      </w:r>
      <w:r>
        <w:rPr>
          <w:rFonts w:ascii="Arial" w:cs="Arial" w:eastAsia="Arial" w:hAnsi="Arial"/>
          <w:sz w:val="20"/>
          <w:szCs w:val="20"/>
          <w:color w:val="auto"/>
        </w:rPr>
        <w:tab/>
        <w:t>Borrowings</w:t>
      </w:r>
      <w:r>
        <w:rPr>
          <w:sz w:val="20"/>
          <w:szCs w:val="20"/>
          <w:color w:val="auto"/>
        </w:rPr>
        <w:tab/>
      </w:r>
      <w:r>
        <w:rPr>
          <w:rFonts w:ascii="Arial" w:cs="Arial" w:eastAsia="Arial" w:hAnsi="Arial"/>
          <w:sz w:val="16"/>
          <w:szCs w:val="16"/>
          <w:color w:val="auto"/>
        </w:rPr>
        <w:t>33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3.3.</w:t>
      </w:r>
      <w:r>
        <w:rPr>
          <w:rFonts w:ascii="Arial" w:cs="Arial" w:eastAsia="Arial" w:hAnsi="Arial"/>
          <w:sz w:val="20"/>
          <w:szCs w:val="20"/>
          <w:color w:val="auto"/>
        </w:rPr>
        <w:tab/>
        <w:t>Conditions to Conversion into Term Loan</w:t>
      </w:r>
      <w:r>
        <w:rPr>
          <w:sz w:val="20"/>
          <w:szCs w:val="20"/>
          <w:color w:val="auto"/>
        </w:rPr>
        <w:tab/>
      </w:r>
      <w:r>
        <w:rPr>
          <w:rFonts w:ascii="Arial" w:cs="Arial" w:eastAsia="Arial" w:hAnsi="Arial"/>
          <w:sz w:val="16"/>
          <w:szCs w:val="16"/>
          <w:color w:val="auto"/>
        </w:rPr>
        <w:t>33</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010000"/>
        </w:rPr>
        <w:t xml:space="preserve">Article IV </w:t>
      </w:r>
      <w:r>
        <w:rPr>
          <w:rFonts w:ascii="Arial" w:cs="Arial" w:eastAsia="Arial" w:hAnsi="Arial"/>
          <w:sz w:val="20"/>
          <w:szCs w:val="20"/>
          <w:color w:val="000000"/>
        </w:rPr>
        <w:t>REPRESENTATIONS AND WARRANTIES</w:t>
      </w:r>
      <w:r>
        <w:rPr>
          <w:sz w:val="20"/>
          <w:szCs w:val="20"/>
          <w:color w:val="auto"/>
        </w:rPr>
        <w:tab/>
      </w:r>
      <w:r>
        <w:rPr>
          <w:rFonts w:ascii="Arial" w:cs="Arial" w:eastAsia="Arial" w:hAnsi="Arial"/>
          <w:sz w:val="16"/>
          <w:szCs w:val="16"/>
          <w:color w:val="auto"/>
        </w:rPr>
        <w:t>34</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w:t>
      </w:r>
      <w:r>
        <w:rPr>
          <w:rFonts w:ascii="Arial" w:cs="Arial" w:eastAsia="Arial" w:hAnsi="Arial"/>
          <w:sz w:val="20"/>
          <w:szCs w:val="20"/>
          <w:color w:val="auto"/>
        </w:rPr>
        <w:tab/>
        <w:t>Existence and Power</w:t>
      </w:r>
      <w:r>
        <w:rPr>
          <w:sz w:val="20"/>
          <w:szCs w:val="20"/>
          <w:color w:val="auto"/>
        </w:rPr>
        <w:tab/>
      </w:r>
      <w:r>
        <w:rPr>
          <w:rFonts w:ascii="Arial" w:cs="Arial" w:eastAsia="Arial" w:hAnsi="Arial"/>
          <w:sz w:val="16"/>
          <w:szCs w:val="16"/>
          <w:color w:val="auto"/>
        </w:rPr>
        <w:t>34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w:t>
      </w:r>
      <w:r>
        <w:rPr>
          <w:rFonts w:ascii="Arial" w:cs="Arial" w:eastAsia="Arial" w:hAnsi="Arial"/>
          <w:sz w:val="20"/>
          <w:szCs w:val="20"/>
          <w:color w:val="auto"/>
        </w:rPr>
        <w:tab/>
        <w:t>Power and Authority; Enforceable Obligation</w:t>
      </w:r>
      <w:r>
        <w:rPr>
          <w:sz w:val="20"/>
          <w:szCs w:val="20"/>
          <w:color w:val="auto"/>
        </w:rPr>
        <w:tab/>
      </w:r>
      <w:r>
        <w:rPr>
          <w:rFonts w:ascii="Arial" w:cs="Arial" w:eastAsia="Arial" w:hAnsi="Arial"/>
          <w:sz w:val="16"/>
          <w:szCs w:val="16"/>
          <w:color w:val="auto"/>
        </w:rPr>
        <w:t>34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4.3.</w:t>
      </w:r>
      <w:r>
        <w:rPr>
          <w:rFonts w:ascii="Arial" w:cs="Arial" w:eastAsia="Arial" w:hAnsi="Arial"/>
          <w:sz w:val="20"/>
          <w:szCs w:val="20"/>
          <w:color w:val="auto"/>
        </w:rPr>
        <w:tab/>
        <w:t>No Violation</w:t>
      </w:r>
      <w:r>
        <w:rPr>
          <w:sz w:val="20"/>
          <w:szCs w:val="20"/>
          <w:color w:val="auto"/>
        </w:rPr>
        <w:tab/>
      </w:r>
      <w:r>
        <w:rPr>
          <w:rFonts w:ascii="Arial" w:cs="Arial" w:eastAsia="Arial" w:hAnsi="Arial"/>
          <w:sz w:val="16"/>
          <w:szCs w:val="16"/>
          <w:color w:val="auto"/>
        </w:rPr>
        <w:t>34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4.4.</w:t>
      </w:r>
      <w:r>
        <w:rPr>
          <w:rFonts w:ascii="Arial" w:cs="Arial" w:eastAsia="Arial" w:hAnsi="Arial"/>
          <w:sz w:val="20"/>
          <w:szCs w:val="20"/>
          <w:color w:val="auto"/>
        </w:rPr>
        <w:tab/>
        <w:t>Financial Information</w:t>
      </w:r>
      <w:r>
        <w:rPr>
          <w:sz w:val="20"/>
          <w:szCs w:val="20"/>
          <w:color w:val="auto"/>
        </w:rPr>
        <w:tab/>
      </w:r>
      <w:r>
        <w:rPr>
          <w:rFonts w:ascii="Arial" w:cs="Arial" w:eastAsia="Arial" w:hAnsi="Arial"/>
          <w:sz w:val="16"/>
          <w:szCs w:val="16"/>
          <w:color w:val="auto"/>
        </w:rPr>
        <w:t>35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4.5.</w:t>
      </w:r>
      <w:r>
        <w:rPr>
          <w:rFonts w:ascii="Arial" w:cs="Arial" w:eastAsia="Arial" w:hAnsi="Arial"/>
          <w:sz w:val="20"/>
          <w:szCs w:val="20"/>
          <w:color w:val="auto"/>
        </w:rPr>
        <w:tab/>
        <w:t>Litigation</w:t>
      </w:r>
      <w:r>
        <w:rPr>
          <w:sz w:val="20"/>
          <w:szCs w:val="20"/>
          <w:color w:val="auto"/>
        </w:rPr>
        <w:tab/>
      </w:r>
      <w:r>
        <w:rPr>
          <w:rFonts w:ascii="Arial" w:cs="Arial" w:eastAsia="Arial" w:hAnsi="Arial"/>
          <w:sz w:val="16"/>
          <w:szCs w:val="16"/>
          <w:color w:val="auto"/>
        </w:rPr>
        <w:t>35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4.6.</w:t>
      </w:r>
      <w:r>
        <w:rPr>
          <w:rFonts w:ascii="Arial" w:cs="Arial" w:eastAsia="Arial" w:hAnsi="Arial"/>
          <w:sz w:val="20"/>
          <w:szCs w:val="20"/>
          <w:color w:val="auto"/>
        </w:rPr>
        <w:tab/>
        <w:t>Compliance with ERISA</w:t>
      </w:r>
      <w:r>
        <w:rPr>
          <w:sz w:val="20"/>
          <w:szCs w:val="20"/>
          <w:color w:val="auto"/>
        </w:rPr>
        <w:tab/>
      </w:r>
      <w:r>
        <w:rPr>
          <w:rFonts w:ascii="Arial" w:cs="Arial" w:eastAsia="Arial" w:hAnsi="Arial"/>
          <w:sz w:val="16"/>
          <w:szCs w:val="16"/>
          <w:color w:val="auto"/>
        </w:rPr>
        <w:t>35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4.7.</w:t>
      </w:r>
      <w:r>
        <w:rPr>
          <w:rFonts w:ascii="Arial" w:cs="Arial" w:eastAsia="Arial" w:hAnsi="Arial"/>
          <w:sz w:val="20"/>
          <w:szCs w:val="20"/>
          <w:color w:val="auto"/>
        </w:rPr>
        <w:tab/>
        <w:t>Environmental</w:t>
      </w:r>
      <w:r>
        <w:rPr>
          <w:sz w:val="20"/>
          <w:szCs w:val="20"/>
          <w:color w:val="auto"/>
        </w:rPr>
        <w:tab/>
      </w:r>
      <w:r>
        <w:rPr>
          <w:rFonts w:ascii="Arial" w:cs="Arial" w:eastAsia="Arial" w:hAnsi="Arial"/>
          <w:sz w:val="16"/>
          <w:szCs w:val="16"/>
          <w:color w:val="auto"/>
        </w:rPr>
        <w:t>36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4.8.</w:t>
      </w:r>
      <w:r>
        <w:rPr>
          <w:rFonts w:ascii="Arial" w:cs="Arial" w:eastAsia="Arial" w:hAnsi="Arial"/>
          <w:sz w:val="20"/>
          <w:szCs w:val="20"/>
          <w:color w:val="auto"/>
        </w:rPr>
        <w:tab/>
        <w:t>Taxes</w:t>
      </w:r>
      <w:r>
        <w:rPr>
          <w:sz w:val="20"/>
          <w:szCs w:val="20"/>
          <w:color w:val="auto"/>
        </w:rPr>
        <w:tab/>
      </w:r>
      <w:r>
        <w:rPr>
          <w:rFonts w:ascii="Arial" w:cs="Arial" w:eastAsia="Arial" w:hAnsi="Arial"/>
          <w:sz w:val="16"/>
          <w:szCs w:val="16"/>
          <w:color w:val="auto"/>
        </w:rPr>
        <w:t>37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4.9.</w:t>
      </w:r>
      <w:r>
        <w:rPr>
          <w:rFonts w:ascii="Arial" w:cs="Arial" w:eastAsia="Arial" w:hAnsi="Arial"/>
          <w:sz w:val="20"/>
          <w:szCs w:val="20"/>
          <w:color w:val="auto"/>
        </w:rPr>
        <w:tab/>
        <w:t>Full Disclosure</w:t>
      </w:r>
      <w:r>
        <w:rPr>
          <w:sz w:val="20"/>
          <w:szCs w:val="20"/>
          <w:color w:val="auto"/>
        </w:rPr>
        <w:tab/>
      </w:r>
      <w:r>
        <w:rPr>
          <w:rFonts w:ascii="Arial" w:cs="Arial" w:eastAsia="Arial" w:hAnsi="Arial"/>
          <w:sz w:val="16"/>
          <w:szCs w:val="16"/>
          <w:color w:val="auto"/>
        </w:rPr>
        <w:t>37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4.10.</w:t>
      </w:r>
      <w:r>
        <w:rPr>
          <w:rFonts w:ascii="Arial" w:cs="Arial" w:eastAsia="Arial" w:hAnsi="Arial"/>
          <w:sz w:val="20"/>
          <w:szCs w:val="20"/>
          <w:color w:val="auto"/>
        </w:rPr>
        <w:tab/>
        <w:t>Solvency</w:t>
      </w:r>
      <w:r>
        <w:rPr>
          <w:sz w:val="20"/>
          <w:szCs w:val="20"/>
          <w:color w:val="auto"/>
        </w:rPr>
        <w:tab/>
      </w:r>
      <w:r>
        <w:rPr>
          <w:rFonts w:ascii="Arial" w:cs="Arial" w:eastAsia="Arial" w:hAnsi="Arial"/>
          <w:sz w:val="16"/>
          <w:szCs w:val="16"/>
          <w:color w:val="auto"/>
        </w:rPr>
        <w:t>37</w:t>
      </w:r>
    </w:p>
    <w:p>
      <w:pPr>
        <w:sectPr>
          <w:pgSz w:w="11900" w:h="16838" w:orient="portrait"/>
          <w:cols w:equalWidth="0" w:num="1">
            <w:col w:w="9019"/>
          </w:cols>
          <w:pgMar w:left="1440" w:top="960" w:right="1440" w:bottom="503"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 -</w:t>
      </w:r>
    </w:p>
    <w:p>
      <w:pPr>
        <w:sectPr>
          <w:pgSz w:w="11900" w:h="16838" w:orient="portrait"/>
          <w:cols w:equalWidth="0" w:num="1">
            <w:col w:w="9019"/>
          </w:cols>
          <w:pgMar w:left="1440" w:top="960" w:right="1440" w:bottom="503" w:gutter="0" w:footer="0" w:header="0"/>
          <w:type w:val="continuous"/>
        </w:sectPr>
      </w:pPr>
    </w:p>
    <w:bookmarkStart w:id="47" w:name="page48"/>
    <w:bookmarkEnd w:id="47"/>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4.11.</w:t>
      </w:r>
      <w:r>
        <w:rPr>
          <w:rFonts w:ascii="Arial" w:cs="Arial" w:eastAsia="Arial" w:hAnsi="Arial"/>
          <w:sz w:val="20"/>
          <w:szCs w:val="20"/>
          <w:color w:val="auto"/>
        </w:rPr>
        <w:tab/>
        <w:t>Use of Proceeds</w:t>
      </w:r>
      <w:r>
        <w:rPr>
          <w:sz w:val="20"/>
          <w:szCs w:val="20"/>
          <w:color w:val="auto"/>
        </w:rPr>
        <w:tab/>
      </w:r>
      <w:r>
        <w:rPr>
          <w:rFonts w:ascii="Arial" w:cs="Arial" w:eastAsia="Arial" w:hAnsi="Arial"/>
          <w:sz w:val="16"/>
          <w:szCs w:val="16"/>
          <w:color w:val="auto"/>
        </w:rPr>
        <w:t>37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4.12.</w:t>
      </w:r>
      <w:r>
        <w:rPr>
          <w:rFonts w:ascii="Arial" w:cs="Arial" w:eastAsia="Arial" w:hAnsi="Arial"/>
          <w:sz w:val="20"/>
          <w:szCs w:val="20"/>
          <w:color w:val="auto"/>
        </w:rPr>
        <w:tab/>
        <w:t>Governmental Approvals</w:t>
      </w:r>
      <w:r>
        <w:rPr>
          <w:sz w:val="20"/>
          <w:szCs w:val="20"/>
          <w:color w:val="auto"/>
        </w:rPr>
        <w:tab/>
      </w:r>
      <w:r>
        <w:rPr>
          <w:rFonts w:ascii="Arial" w:cs="Arial" w:eastAsia="Arial" w:hAnsi="Arial"/>
          <w:sz w:val="16"/>
          <w:szCs w:val="16"/>
          <w:color w:val="auto"/>
        </w:rPr>
        <w:t>37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4.13.</w:t>
      </w:r>
      <w:r>
        <w:rPr>
          <w:rFonts w:ascii="Arial" w:cs="Arial" w:eastAsia="Arial" w:hAnsi="Arial"/>
          <w:sz w:val="20"/>
          <w:szCs w:val="20"/>
          <w:color w:val="auto"/>
        </w:rPr>
        <w:tab/>
        <w:t>Investment Company Act</w:t>
      </w:r>
      <w:r>
        <w:rPr>
          <w:sz w:val="20"/>
          <w:szCs w:val="20"/>
          <w:color w:val="auto"/>
        </w:rPr>
        <w:tab/>
      </w:r>
      <w:r>
        <w:rPr>
          <w:rFonts w:ascii="Arial" w:cs="Arial" w:eastAsia="Arial" w:hAnsi="Arial"/>
          <w:sz w:val="16"/>
          <w:szCs w:val="16"/>
          <w:color w:val="auto"/>
        </w:rPr>
        <w:t>37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4.14.</w:t>
      </w:r>
      <w:r>
        <w:rPr>
          <w:rFonts w:ascii="Arial" w:cs="Arial" w:eastAsia="Arial" w:hAnsi="Arial"/>
          <w:sz w:val="20"/>
          <w:szCs w:val="20"/>
          <w:color w:val="auto"/>
        </w:rPr>
        <w:tab/>
        <w:t>Principal Offices</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4.15.</w:t>
      </w:r>
      <w:r>
        <w:rPr>
          <w:rFonts w:ascii="Arial" w:cs="Arial" w:eastAsia="Arial" w:hAnsi="Arial"/>
          <w:sz w:val="20"/>
          <w:szCs w:val="20"/>
          <w:color w:val="auto"/>
        </w:rPr>
        <w:tab/>
        <w:t>REIT Status</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4.16.</w:t>
      </w:r>
      <w:r>
        <w:rPr>
          <w:rFonts w:ascii="Arial" w:cs="Arial" w:eastAsia="Arial" w:hAnsi="Arial"/>
          <w:sz w:val="20"/>
          <w:szCs w:val="20"/>
          <w:color w:val="auto"/>
        </w:rPr>
        <w:tab/>
        <w:t>Intellectual Property</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4.17.</w:t>
      </w:r>
      <w:r>
        <w:rPr>
          <w:rFonts w:ascii="Arial" w:cs="Arial" w:eastAsia="Arial" w:hAnsi="Arial"/>
          <w:sz w:val="20"/>
          <w:szCs w:val="20"/>
          <w:color w:val="auto"/>
        </w:rPr>
        <w:tab/>
        <w:t>Judgments</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4.18.</w:t>
      </w:r>
      <w:r>
        <w:rPr>
          <w:rFonts w:ascii="Arial" w:cs="Arial" w:eastAsia="Arial" w:hAnsi="Arial"/>
          <w:sz w:val="20"/>
          <w:szCs w:val="20"/>
          <w:color w:val="auto"/>
        </w:rPr>
        <w:tab/>
        <w:t>No Default</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4.19.</w:t>
      </w:r>
      <w:r>
        <w:rPr>
          <w:rFonts w:ascii="Arial" w:cs="Arial" w:eastAsia="Arial" w:hAnsi="Arial"/>
          <w:sz w:val="20"/>
          <w:szCs w:val="20"/>
          <w:color w:val="auto"/>
        </w:rPr>
        <w:tab/>
        <w:t>Licenses, etc</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4.20.</w:t>
      </w:r>
      <w:r>
        <w:rPr>
          <w:rFonts w:ascii="Arial" w:cs="Arial" w:eastAsia="Arial" w:hAnsi="Arial"/>
          <w:sz w:val="20"/>
          <w:szCs w:val="20"/>
          <w:color w:val="auto"/>
        </w:rPr>
        <w:tab/>
        <w:t>Compliance with Law</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4.21.</w:t>
      </w:r>
      <w:r>
        <w:rPr>
          <w:rFonts w:ascii="Arial" w:cs="Arial" w:eastAsia="Arial" w:hAnsi="Arial"/>
          <w:sz w:val="20"/>
          <w:szCs w:val="20"/>
          <w:color w:val="auto"/>
        </w:rPr>
        <w:tab/>
        <w:t>No Burdensome Restrictions</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4.22.</w:t>
      </w:r>
      <w:r>
        <w:rPr>
          <w:rFonts w:ascii="Arial" w:cs="Arial" w:eastAsia="Arial" w:hAnsi="Arial"/>
          <w:sz w:val="20"/>
          <w:szCs w:val="20"/>
          <w:color w:val="auto"/>
        </w:rPr>
        <w:tab/>
        <w:t>Brokers’ Fees</w:t>
      </w:r>
      <w:r>
        <w:rPr>
          <w:sz w:val="20"/>
          <w:szCs w:val="20"/>
          <w:color w:val="auto"/>
        </w:rPr>
        <w:tab/>
      </w:r>
      <w:r>
        <w:rPr>
          <w:rFonts w:ascii="Arial" w:cs="Arial" w:eastAsia="Arial" w:hAnsi="Arial"/>
          <w:sz w:val="16"/>
          <w:szCs w:val="16"/>
          <w:color w:val="auto"/>
        </w:rPr>
        <w:t>38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4.23.</w:t>
      </w:r>
      <w:r>
        <w:rPr>
          <w:rFonts w:ascii="Arial" w:cs="Arial" w:eastAsia="Arial" w:hAnsi="Arial"/>
          <w:sz w:val="20"/>
          <w:szCs w:val="20"/>
          <w:color w:val="auto"/>
        </w:rPr>
        <w:tab/>
        <w:t>Labor Matters</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4.24.</w:t>
      </w:r>
      <w:r>
        <w:rPr>
          <w:rFonts w:ascii="Arial" w:cs="Arial" w:eastAsia="Arial" w:hAnsi="Arial"/>
          <w:sz w:val="20"/>
          <w:szCs w:val="20"/>
          <w:color w:val="auto"/>
        </w:rPr>
        <w:tab/>
        <w:t>Insurance</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4.25.</w:t>
      </w:r>
      <w:r>
        <w:rPr>
          <w:rFonts w:ascii="Arial" w:cs="Arial" w:eastAsia="Arial" w:hAnsi="Arial"/>
          <w:sz w:val="20"/>
          <w:szCs w:val="20"/>
          <w:color w:val="auto"/>
        </w:rPr>
        <w:tab/>
        <w:t>Organizational Documents</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4.26.</w:t>
      </w:r>
      <w:r>
        <w:rPr>
          <w:rFonts w:ascii="Arial" w:cs="Arial" w:eastAsia="Arial" w:hAnsi="Arial"/>
          <w:sz w:val="20"/>
          <w:szCs w:val="20"/>
          <w:color w:val="auto"/>
        </w:rPr>
        <w:tab/>
        <w:t>Unencumbered Assets</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4.27.</w:t>
      </w:r>
      <w:r>
        <w:rPr>
          <w:rFonts w:ascii="Arial" w:cs="Arial" w:eastAsia="Arial" w:hAnsi="Arial"/>
          <w:sz w:val="20"/>
          <w:szCs w:val="20"/>
          <w:color w:val="auto"/>
        </w:rPr>
        <w:tab/>
        <w:t>Ownership of Property; Liens</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4.28.</w:t>
      </w:r>
      <w:r>
        <w:rPr>
          <w:rFonts w:ascii="Arial" w:cs="Arial" w:eastAsia="Arial" w:hAnsi="Arial"/>
          <w:sz w:val="20"/>
          <w:szCs w:val="20"/>
          <w:color w:val="auto"/>
        </w:rPr>
        <w:tab/>
        <w:t>Covered Parties</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4.29.</w:t>
      </w:r>
      <w:r>
        <w:rPr>
          <w:rFonts w:ascii="Arial" w:cs="Arial" w:eastAsia="Arial" w:hAnsi="Arial"/>
          <w:sz w:val="20"/>
          <w:szCs w:val="20"/>
          <w:color w:val="auto"/>
        </w:rPr>
        <w:tab/>
        <w:t>Security Documents</w:t>
      </w:r>
      <w:r>
        <w:rPr>
          <w:sz w:val="20"/>
          <w:szCs w:val="20"/>
          <w:color w:val="auto"/>
        </w:rPr>
        <w:tab/>
      </w:r>
      <w:r>
        <w:rPr>
          <w:rFonts w:ascii="Arial" w:cs="Arial" w:eastAsia="Arial" w:hAnsi="Arial"/>
          <w:sz w:val="16"/>
          <w:szCs w:val="16"/>
          <w:color w:val="auto"/>
        </w:rPr>
        <w:t>39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4.30.</w:t>
      </w:r>
      <w:r>
        <w:rPr>
          <w:rFonts w:ascii="Arial" w:cs="Arial" w:eastAsia="Arial" w:hAnsi="Arial"/>
          <w:sz w:val="20"/>
          <w:szCs w:val="20"/>
          <w:color w:val="auto"/>
        </w:rPr>
        <w:tab/>
        <w:t>Anti-Corruption Laws and Sanctions</w:t>
      </w:r>
      <w:r>
        <w:rPr>
          <w:sz w:val="20"/>
          <w:szCs w:val="20"/>
          <w:color w:val="auto"/>
        </w:rPr>
        <w:tab/>
      </w:r>
      <w:r>
        <w:rPr>
          <w:rFonts w:ascii="Arial" w:cs="Arial" w:eastAsia="Arial" w:hAnsi="Arial"/>
          <w:sz w:val="16"/>
          <w:szCs w:val="16"/>
          <w:color w:val="auto"/>
        </w:rPr>
        <w:t>40</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010000"/>
        </w:rPr>
        <w:t xml:space="preserve">Article V </w:t>
      </w:r>
      <w:r>
        <w:rPr>
          <w:rFonts w:ascii="Arial" w:cs="Arial" w:eastAsia="Arial" w:hAnsi="Arial"/>
          <w:sz w:val="20"/>
          <w:szCs w:val="20"/>
          <w:color w:val="000000"/>
        </w:rPr>
        <w:t>AFFIRMATIVE AND NEGATIVE COVENANTS</w:t>
      </w:r>
      <w:r>
        <w:rPr>
          <w:sz w:val="20"/>
          <w:szCs w:val="20"/>
          <w:color w:val="auto"/>
        </w:rPr>
        <w:tab/>
      </w:r>
      <w:r>
        <w:rPr>
          <w:rFonts w:ascii="Arial" w:cs="Arial" w:eastAsia="Arial" w:hAnsi="Arial"/>
          <w:sz w:val="16"/>
          <w:szCs w:val="16"/>
          <w:color w:val="auto"/>
        </w:rPr>
        <w:t>40</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w:t>
      </w:r>
      <w:r>
        <w:rPr>
          <w:rFonts w:ascii="Arial" w:cs="Arial" w:eastAsia="Arial" w:hAnsi="Arial"/>
          <w:sz w:val="20"/>
          <w:szCs w:val="20"/>
          <w:color w:val="auto"/>
        </w:rPr>
        <w:tab/>
        <w:t>Information</w:t>
      </w:r>
      <w:r>
        <w:rPr>
          <w:sz w:val="20"/>
          <w:szCs w:val="20"/>
          <w:color w:val="auto"/>
        </w:rPr>
        <w:tab/>
      </w:r>
      <w:r>
        <w:rPr>
          <w:rFonts w:ascii="Arial" w:cs="Arial" w:eastAsia="Arial" w:hAnsi="Arial"/>
          <w:sz w:val="16"/>
          <w:szCs w:val="16"/>
          <w:color w:val="auto"/>
        </w:rPr>
        <w:t>40</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5.2.</w:t>
      </w:r>
      <w:r>
        <w:rPr>
          <w:rFonts w:ascii="Arial" w:cs="Arial" w:eastAsia="Arial" w:hAnsi="Arial"/>
          <w:sz w:val="20"/>
          <w:szCs w:val="20"/>
          <w:color w:val="auto"/>
        </w:rPr>
        <w:tab/>
        <w:t>Payment of Obligations</w:t>
      </w:r>
      <w:r>
        <w:rPr>
          <w:sz w:val="20"/>
          <w:szCs w:val="20"/>
          <w:color w:val="auto"/>
        </w:rPr>
        <w:tab/>
      </w:r>
      <w:r>
        <w:rPr>
          <w:rFonts w:ascii="Arial" w:cs="Arial" w:eastAsia="Arial" w:hAnsi="Arial"/>
          <w:sz w:val="16"/>
          <w:szCs w:val="16"/>
          <w:color w:val="auto"/>
        </w:rPr>
        <w:t>43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5.3.</w:t>
      </w:r>
      <w:r>
        <w:rPr>
          <w:rFonts w:ascii="Arial" w:cs="Arial" w:eastAsia="Arial" w:hAnsi="Arial"/>
          <w:sz w:val="20"/>
          <w:szCs w:val="20"/>
          <w:color w:val="auto"/>
        </w:rPr>
        <w:tab/>
        <w:t>Maintenance of Property; Insurance; Leases</w:t>
      </w:r>
      <w:r>
        <w:rPr>
          <w:sz w:val="20"/>
          <w:szCs w:val="20"/>
          <w:color w:val="auto"/>
        </w:rPr>
        <w:tab/>
      </w:r>
      <w:r>
        <w:rPr>
          <w:rFonts w:ascii="Arial" w:cs="Arial" w:eastAsia="Arial" w:hAnsi="Arial"/>
          <w:sz w:val="16"/>
          <w:szCs w:val="16"/>
          <w:color w:val="auto"/>
        </w:rPr>
        <w:t>43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5.4.</w:t>
      </w:r>
      <w:r>
        <w:rPr>
          <w:rFonts w:ascii="Arial" w:cs="Arial" w:eastAsia="Arial" w:hAnsi="Arial"/>
          <w:sz w:val="20"/>
          <w:szCs w:val="20"/>
          <w:color w:val="auto"/>
        </w:rPr>
        <w:tab/>
        <w:t>Maintenance of Existence</w:t>
      </w:r>
      <w:r>
        <w:rPr>
          <w:sz w:val="20"/>
          <w:szCs w:val="20"/>
          <w:color w:val="auto"/>
        </w:rPr>
        <w:tab/>
      </w:r>
      <w:r>
        <w:rPr>
          <w:rFonts w:ascii="Arial" w:cs="Arial" w:eastAsia="Arial" w:hAnsi="Arial"/>
          <w:sz w:val="16"/>
          <w:szCs w:val="16"/>
          <w:color w:val="auto"/>
        </w:rPr>
        <w:t>43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5.5.</w:t>
      </w:r>
      <w:r>
        <w:rPr>
          <w:rFonts w:ascii="Arial" w:cs="Arial" w:eastAsia="Arial" w:hAnsi="Arial"/>
          <w:sz w:val="20"/>
          <w:szCs w:val="20"/>
          <w:color w:val="auto"/>
        </w:rPr>
        <w:tab/>
        <w:t>Compliance with Laws</w:t>
      </w:r>
      <w:r>
        <w:rPr>
          <w:sz w:val="20"/>
          <w:szCs w:val="20"/>
          <w:color w:val="auto"/>
        </w:rPr>
        <w:tab/>
      </w:r>
      <w:r>
        <w:rPr>
          <w:rFonts w:ascii="Arial" w:cs="Arial" w:eastAsia="Arial" w:hAnsi="Arial"/>
          <w:sz w:val="16"/>
          <w:szCs w:val="16"/>
          <w:color w:val="auto"/>
        </w:rPr>
        <w:t>44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5.6.</w:t>
      </w:r>
      <w:r>
        <w:rPr>
          <w:rFonts w:ascii="Arial" w:cs="Arial" w:eastAsia="Arial" w:hAnsi="Arial"/>
          <w:sz w:val="20"/>
          <w:szCs w:val="20"/>
          <w:color w:val="auto"/>
        </w:rPr>
        <w:tab/>
        <w:t>Inspection of Property, Books and Records</w:t>
      </w:r>
      <w:r>
        <w:rPr>
          <w:sz w:val="20"/>
          <w:szCs w:val="20"/>
          <w:color w:val="auto"/>
        </w:rPr>
        <w:tab/>
      </w:r>
      <w:r>
        <w:rPr>
          <w:rFonts w:ascii="Arial" w:cs="Arial" w:eastAsia="Arial" w:hAnsi="Arial"/>
          <w:sz w:val="16"/>
          <w:szCs w:val="16"/>
          <w:color w:val="auto"/>
        </w:rPr>
        <w:t>44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5.7.</w:t>
      </w:r>
      <w:r>
        <w:rPr>
          <w:rFonts w:ascii="Arial" w:cs="Arial" w:eastAsia="Arial" w:hAnsi="Arial"/>
          <w:sz w:val="20"/>
          <w:szCs w:val="20"/>
          <w:color w:val="auto"/>
        </w:rPr>
        <w:tab/>
        <w:t>Existence</w:t>
      </w:r>
      <w:r>
        <w:rPr>
          <w:sz w:val="20"/>
          <w:szCs w:val="20"/>
          <w:color w:val="auto"/>
        </w:rPr>
        <w:tab/>
      </w:r>
      <w:r>
        <w:rPr>
          <w:rFonts w:ascii="Arial" w:cs="Arial" w:eastAsia="Arial" w:hAnsi="Arial"/>
          <w:sz w:val="16"/>
          <w:szCs w:val="16"/>
          <w:color w:val="auto"/>
        </w:rPr>
        <w:t>44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5.8.</w:t>
      </w:r>
      <w:r>
        <w:rPr>
          <w:rFonts w:ascii="Arial" w:cs="Arial" w:eastAsia="Arial" w:hAnsi="Arial"/>
          <w:sz w:val="20"/>
          <w:szCs w:val="20"/>
          <w:color w:val="auto"/>
        </w:rPr>
        <w:tab/>
        <w:t>Independent Director</w:t>
      </w:r>
      <w:r>
        <w:rPr>
          <w:sz w:val="20"/>
          <w:szCs w:val="20"/>
          <w:color w:val="auto"/>
        </w:rPr>
        <w:tab/>
      </w:r>
      <w:r>
        <w:rPr>
          <w:rFonts w:ascii="Arial" w:cs="Arial" w:eastAsia="Arial" w:hAnsi="Arial"/>
          <w:sz w:val="16"/>
          <w:szCs w:val="16"/>
          <w:color w:val="auto"/>
        </w:rPr>
        <w:t>44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5.9.</w:t>
      </w:r>
      <w:r>
        <w:rPr>
          <w:rFonts w:ascii="Arial" w:cs="Arial" w:eastAsia="Arial" w:hAnsi="Arial"/>
          <w:sz w:val="20"/>
          <w:szCs w:val="20"/>
          <w:color w:val="auto"/>
        </w:rPr>
        <w:tab/>
        <w:t>Financial Covenants</w:t>
      </w:r>
      <w:r>
        <w:rPr>
          <w:sz w:val="20"/>
          <w:szCs w:val="20"/>
          <w:color w:val="auto"/>
        </w:rPr>
        <w:tab/>
      </w:r>
      <w:r>
        <w:rPr>
          <w:rFonts w:ascii="Arial" w:cs="Arial" w:eastAsia="Arial" w:hAnsi="Arial"/>
          <w:sz w:val="16"/>
          <w:szCs w:val="16"/>
          <w:color w:val="auto"/>
        </w:rPr>
        <w:t>44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5.10.</w:t>
      </w:r>
      <w:r>
        <w:rPr>
          <w:rFonts w:ascii="Arial" w:cs="Arial" w:eastAsia="Arial" w:hAnsi="Arial"/>
          <w:sz w:val="20"/>
          <w:szCs w:val="20"/>
          <w:color w:val="auto"/>
        </w:rPr>
        <w:tab/>
        <w:t>Restricted Payments</w:t>
      </w:r>
      <w:r>
        <w:rPr>
          <w:sz w:val="20"/>
          <w:szCs w:val="20"/>
          <w:color w:val="auto"/>
        </w:rPr>
        <w:tab/>
      </w:r>
      <w:r>
        <w:rPr>
          <w:rFonts w:ascii="Arial" w:cs="Arial" w:eastAsia="Arial" w:hAnsi="Arial"/>
          <w:sz w:val="16"/>
          <w:szCs w:val="16"/>
          <w:color w:val="auto"/>
        </w:rPr>
        <w:t>45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5.11.</w:t>
      </w:r>
      <w:r>
        <w:rPr>
          <w:rFonts w:ascii="Arial" w:cs="Arial" w:eastAsia="Arial" w:hAnsi="Arial"/>
          <w:sz w:val="20"/>
          <w:szCs w:val="20"/>
          <w:color w:val="auto"/>
        </w:rPr>
        <w:tab/>
        <w:t>Restriction on Fundamental Changes</w:t>
      </w:r>
      <w:r>
        <w:rPr>
          <w:sz w:val="20"/>
          <w:szCs w:val="20"/>
          <w:color w:val="auto"/>
        </w:rPr>
        <w:tab/>
      </w:r>
      <w:r>
        <w:rPr>
          <w:rFonts w:ascii="Arial" w:cs="Arial" w:eastAsia="Arial" w:hAnsi="Arial"/>
          <w:sz w:val="16"/>
          <w:szCs w:val="16"/>
          <w:color w:val="auto"/>
        </w:rPr>
        <w:t>45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5.12.</w:t>
      </w:r>
      <w:r>
        <w:rPr>
          <w:rFonts w:ascii="Arial" w:cs="Arial" w:eastAsia="Arial" w:hAnsi="Arial"/>
          <w:sz w:val="20"/>
          <w:szCs w:val="20"/>
          <w:color w:val="auto"/>
        </w:rPr>
        <w:tab/>
        <w:t>Changes in Business</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5.13.</w:t>
      </w:r>
      <w:r>
        <w:rPr>
          <w:rFonts w:ascii="Arial" w:cs="Arial" w:eastAsia="Arial" w:hAnsi="Arial"/>
          <w:sz w:val="20"/>
          <w:szCs w:val="20"/>
          <w:color w:val="auto"/>
        </w:rPr>
        <w:tab/>
        <w:t>Borrower Status</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5.14.</w:t>
      </w:r>
      <w:r>
        <w:rPr>
          <w:rFonts w:ascii="Arial" w:cs="Arial" w:eastAsia="Arial" w:hAnsi="Arial"/>
          <w:sz w:val="20"/>
          <w:szCs w:val="20"/>
          <w:color w:val="auto"/>
        </w:rPr>
        <w:tab/>
        <w:t>Other Indebtedness</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5.15.</w:t>
      </w:r>
      <w:r>
        <w:rPr>
          <w:rFonts w:ascii="Arial" w:cs="Arial" w:eastAsia="Arial" w:hAnsi="Arial"/>
          <w:sz w:val="20"/>
          <w:szCs w:val="20"/>
          <w:color w:val="auto"/>
        </w:rPr>
        <w:tab/>
        <w:t>Liens</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5.16.</w:t>
      </w:r>
      <w:r>
        <w:rPr>
          <w:rFonts w:ascii="Arial" w:cs="Arial" w:eastAsia="Arial" w:hAnsi="Arial"/>
          <w:sz w:val="20"/>
          <w:szCs w:val="20"/>
          <w:color w:val="auto"/>
        </w:rPr>
        <w:tab/>
        <w:t>[Reserved]</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5.17.</w:t>
      </w:r>
      <w:r>
        <w:rPr>
          <w:rFonts w:ascii="Arial" w:cs="Arial" w:eastAsia="Arial" w:hAnsi="Arial"/>
          <w:sz w:val="20"/>
          <w:szCs w:val="20"/>
          <w:color w:val="auto"/>
        </w:rPr>
        <w:tab/>
        <w:t>Restrictive Agreements</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5.18.</w:t>
      </w:r>
      <w:r>
        <w:rPr>
          <w:rFonts w:ascii="Arial" w:cs="Arial" w:eastAsia="Arial" w:hAnsi="Arial"/>
          <w:sz w:val="20"/>
          <w:szCs w:val="20"/>
          <w:color w:val="auto"/>
        </w:rPr>
        <w:tab/>
        <w:t>Limitation on Activities of the Covered Parties</w:t>
      </w:r>
      <w:r>
        <w:rPr>
          <w:sz w:val="20"/>
          <w:szCs w:val="20"/>
          <w:color w:val="auto"/>
        </w:rPr>
        <w:tab/>
      </w:r>
      <w:r>
        <w:rPr>
          <w:rFonts w:ascii="Arial" w:cs="Arial" w:eastAsia="Arial" w:hAnsi="Arial"/>
          <w:sz w:val="16"/>
          <w:szCs w:val="16"/>
          <w:color w:val="auto"/>
        </w:rPr>
        <w:t>46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5.19.</w:t>
      </w:r>
      <w:r>
        <w:rPr>
          <w:rFonts w:ascii="Arial" w:cs="Arial" w:eastAsia="Arial" w:hAnsi="Arial"/>
          <w:sz w:val="20"/>
          <w:szCs w:val="20"/>
          <w:color w:val="auto"/>
        </w:rPr>
        <w:tab/>
        <w:t>Transactions with Affiliates</w:t>
      </w:r>
      <w:r>
        <w:rPr>
          <w:sz w:val="20"/>
          <w:szCs w:val="20"/>
          <w:color w:val="auto"/>
        </w:rPr>
        <w:tab/>
      </w:r>
      <w:r>
        <w:rPr>
          <w:rFonts w:ascii="Arial" w:cs="Arial" w:eastAsia="Arial" w:hAnsi="Arial"/>
          <w:sz w:val="16"/>
          <w:szCs w:val="16"/>
          <w:color w:val="auto"/>
        </w:rPr>
        <w:t>47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5.20.</w:t>
      </w:r>
      <w:r>
        <w:rPr>
          <w:rFonts w:ascii="Arial" w:cs="Arial" w:eastAsia="Arial" w:hAnsi="Arial"/>
          <w:sz w:val="20"/>
          <w:szCs w:val="20"/>
          <w:color w:val="auto"/>
        </w:rPr>
        <w:tab/>
        <w:t>Corporate Ratings</w:t>
      </w:r>
      <w:r>
        <w:rPr>
          <w:sz w:val="20"/>
          <w:szCs w:val="20"/>
          <w:color w:val="auto"/>
        </w:rPr>
        <w:tab/>
      </w:r>
      <w:r>
        <w:rPr>
          <w:rFonts w:ascii="Arial" w:cs="Arial" w:eastAsia="Arial" w:hAnsi="Arial"/>
          <w:sz w:val="16"/>
          <w:szCs w:val="16"/>
          <w:color w:val="auto"/>
        </w:rPr>
        <w:t>47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5.21.</w:t>
      </w:r>
      <w:r>
        <w:rPr>
          <w:rFonts w:ascii="Arial" w:cs="Arial" w:eastAsia="Arial" w:hAnsi="Arial"/>
          <w:sz w:val="20"/>
          <w:szCs w:val="20"/>
          <w:color w:val="auto"/>
        </w:rPr>
        <w:tab/>
        <w:t>Anti-Corruption Laws</w:t>
      </w:r>
      <w:r>
        <w:rPr>
          <w:sz w:val="20"/>
          <w:szCs w:val="20"/>
          <w:color w:val="auto"/>
        </w:rPr>
        <w:tab/>
      </w:r>
      <w:r>
        <w:rPr>
          <w:rFonts w:ascii="Arial" w:cs="Arial" w:eastAsia="Arial" w:hAnsi="Arial"/>
          <w:sz w:val="16"/>
          <w:szCs w:val="16"/>
          <w:color w:val="auto"/>
        </w:rPr>
        <w:t>47</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auto"/>
        </w:rPr>
        <w:t>Article VI DEFAULTS</w:t>
      </w:r>
      <w:r>
        <w:rPr>
          <w:sz w:val="20"/>
          <w:szCs w:val="20"/>
          <w:color w:val="auto"/>
        </w:rPr>
        <w:tab/>
      </w:r>
      <w:r>
        <w:rPr>
          <w:rFonts w:ascii="Arial" w:cs="Arial" w:eastAsia="Arial" w:hAnsi="Arial"/>
          <w:sz w:val="16"/>
          <w:szCs w:val="16"/>
          <w:color w:val="auto"/>
        </w:rPr>
        <w:t>47</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6.1.</w:t>
      </w:r>
      <w:r>
        <w:rPr>
          <w:rFonts w:ascii="Arial" w:cs="Arial" w:eastAsia="Arial" w:hAnsi="Arial"/>
          <w:sz w:val="20"/>
          <w:szCs w:val="20"/>
          <w:color w:val="auto"/>
        </w:rPr>
        <w:tab/>
        <w:t>Events of Default</w:t>
      </w:r>
      <w:r>
        <w:rPr>
          <w:sz w:val="20"/>
          <w:szCs w:val="20"/>
          <w:color w:val="auto"/>
        </w:rPr>
        <w:tab/>
      </w:r>
      <w:r>
        <w:rPr>
          <w:rFonts w:ascii="Arial" w:cs="Arial" w:eastAsia="Arial" w:hAnsi="Arial"/>
          <w:sz w:val="16"/>
          <w:szCs w:val="16"/>
          <w:color w:val="auto"/>
        </w:rPr>
        <w:t>47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6.2.</w:t>
      </w:r>
      <w:r>
        <w:rPr>
          <w:rFonts w:ascii="Arial" w:cs="Arial" w:eastAsia="Arial" w:hAnsi="Arial"/>
          <w:sz w:val="20"/>
          <w:szCs w:val="20"/>
          <w:color w:val="auto"/>
        </w:rPr>
        <w:tab/>
        <w:t>Rights and Remedies</w:t>
      </w:r>
      <w:r>
        <w:rPr>
          <w:sz w:val="20"/>
          <w:szCs w:val="20"/>
          <w:color w:val="auto"/>
        </w:rPr>
        <w:tab/>
      </w:r>
      <w:r>
        <w:rPr>
          <w:rFonts w:ascii="Arial" w:cs="Arial" w:eastAsia="Arial" w:hAnsi="Arial"/>
          <w:sz w:val="16"/>
          <w:szCs w:val="16"/>
          <w:color w:val="auto"/>
        </w:rPr>
        <w:t>50</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6.3.</w:t>
      </w:r>
      <w:r>
        <w:rPr>
          <w:rFonts w:ascii="Arial" w:cs="Arial" w:eastAsia="Arial" w:hAnsi="Arial"/>
          <w:sz w:val="20"/>
          <w:szCs w:val="20"/>
          <w:color w:val="auto"/>
        </w:rPr>
        <w:tab/>
        <w:t>Notice of Default</w:t>
      </w:r>
      <w:r>
        <w:rPr>
          <w:sz w:val="20"/>
          <w:szCs w:val="20"/>
          <w:color w:val="auto"/>
        </w:rPr>
        <w:tab/>
      </w:r>
      <w:r>
        <w:rPr>
          <w:rFonts w:ascii="Arial" w:cs="Arial" w:eastAsia="Arial" w:hAnsi="Arial"/>
          <w:sz w:val="16"/>
          <w:szCs w:val="16"/>
          <w:color w:val="auto"/>
        </w:rPr>
        <w:t>50</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6.4.</w:t>
      </w:r>
      <w:r>
        <w:rPr>
          <w:rFonts w:ascii="Arial" w:cs="Arial" w:eastAsia="Arial" w:hAnsi="Arial"/>
          <w:sz w:val="20"/>
          <w:szCs w:val="20"/>
          <w:color w:val="auto"/>
        </w:rPr>
        <w:tab/>
        <w:t>Distribution of Proceeds after Default</w:t>
      </w:r>
      <w:r>
        <w:rPr>
          <w:sz w:val="20"/>
          <w:szCs w:val="20"/>
          <w:color w:val="auto"/>
        </w:rPr>
        <w:tab/>
      </w:r>
      <w:r>
        <w:rPr>
          <w:rFonts w:ascii="Arial" w:cs="Arial" w:eastAsia="Arial" w:hAnsi="Arial"/>
          <w:sz w:val="16"/>
          <w:szCs w:val="16"/>
          <w:color w:val="auto"/>
        </w:rPr>
        <w:t>51</w:t>
      </w:r>
    </w:p>
    <w:p>
      <w:pPr>
        <w:sectPr>
          <w:pgSz w:w="11900" w:h="16838" w:orient="portrait"/>
          <w:cols w:equalWidth="0" w:num="1">
            <w:col w:w="9019"/>
          </w:cols>
          <w:pgMar w:left="1440" w:top="9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ii -</w:t>
      </w:r>
    </w:p>
    <w:p>
      <w:pPr>
        <w:sectPr>
          <w:pgSz w:w="11900" w:h="16838" w:orient="portrait"/>
          <w:cols w:equalWidth="0" w:num="1">
            <w:col w:w="9019"/>
          </w:cols>
          <w:pgMar w:left="1440" w:top="960" w:right="1440" w:bottom="0" w:gutter="0" w:footer="0" w:header="0"/>
          <w:type w:val="continuous"/>
        </w:sectPr>
      </w:pPr>
    </w:p>
    <w:bookmarkStart w:id="48" w:name="page49"/>
    <w:bookmarkEnd w:id="48"/>
    <w:p>
      <w:pPr>
        <w:ind w:left="260"/>
        <w:spacing w:after="0"/>
        <w:tabs>
          <w:tab w:leader="dot" w:pos="8500" w:val="left"/>
        </w:tabs>
        <w:rPr>
          <w:sz w:val="20"/>
          <w:szCs w:val="20"/>
          <w:color w:val="auto"/>
        </w:rPr>
      </w:pPr>
      <w:r>
        <w:rPr>
          <w:rFonts w:ascii="Arial" w:cs="Arial" w:eastAsia="Arial" w:hAnsi="Arial"/>
          <w:sz w:val="20"/>
          <w:szCs w:val="20"/>
          <w:color w:val="010000"/>
        </w:rPr>
        <w:t xml:space="preserve">Article VII </w:t>
      </w:r>
      <w:r>
        <w:rPr>
          <w:rFonts w:ascii="Arial" w:cs="Arial" w:eastAsia="Arial" w:hAnsi="Arial"/>
          <w:sz w:val="20"/>
          <w:szCs w:val="20"/>
          <w:color w:val="000000"/>
        </w:rPr>
        <w:t>THE AGENTS; CERTAIN MATTERS RELATING TO THE BANKS</w:t>
      </w:r>
      <w:r>
        <w:rPr>
          <w:sz w:val="20"/>
          <w:szCs w:val="20"/>
          <w:color w:val="auto"/>
        </w:rPr>
        <w:tab/>
      </w:r>
      <w:r>
        <w:rPr>
          <w:rFonts w:ascii="Arial" w:cs="Arial" w:eastAsia="Arial" w:hAnsi="Arial"/>
          <w:sz w:val="16"/>
          <w:szCs w:val="16"/>
          <w:color w:val="auto"/>
        </w:rPr>
        <w:t>51</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7.1.</w:t>
      </w:r>
      <w:r>
        <w:rPr>
          <w:rFonts w:ascii="Arial" w:cs="Arial" w:eastAsia="Arial" w:hAnsi="Arial"/>
          <w:sz w:val="20"/>
          <w:szCs w:val="20"/>
          <w:color w:val="auto"/>
        </w:rPr>
        <w:tab/>
        <w:t>Appointment and Authorization</w:t>
      </w:r>
      <w:r>
        <w:rPr>
          <w:sz w:val="20"/>
          <w:szCs w:val="20"/>
          <w:color w:val="auto"/>
        </w:rPr>
        <w:tab/>
      </w:r>
      <w:r>
        <w:rPr>
          <w:rFonts w:ascii="Arial" w:cs="Arial" w:eastAsia="Arial" w:hAnsi="Arial"/>
          <w:sz w:val="16"/>
          <w:szCs w:val="16"/>
          <w:color w:val="auto"/>
        </w:rPr>
        <w:t>51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7.2.</w:t>
      </w:r>
      <w:r>
        <w:rPr>
          <w:rFonts w:ascii="Arial" w:cs="Arial" w:eastAsia="Arial" w:hAnsi="Arial"/>
          <w:sz w:val="20"/>
          <w:szCs w:val="20"/>
          <w:color w:val="auto"/>
        </w:rPr>
        <w:tab/>
        <w:t>Agency and Affiliates</w:t>
      </w:r>
      <w:r>
        <w:rPr>
          <w:sz w:val="20"/>
          <w:szCs w:val="20"/>
          <w:color w:val="auto"/>
        </w:rPr>
        <w:tab/>
      </w:r>
      <w:r>
        <w:rPr>
          <w:rFonts w:ascii="Arial" w:cs="Arial" w:eastAsia="Arial" w:hAnsi="Arial"/>
          <w:sz w:val="16"/>
          <w:szCs w:val="16"/>
          <w:color w:val="auto"/>
        </w:rPr>
        <w:t>51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7.3.</w:t>
      </w:r>
      <w:r>
        <w:rPr>
          <w:rFonts w:ascii="Arial" w:cs="Arial" w:eastAsia="Arial" w:hAnsi="Arial"/>
          <w:sz w:val="20"/>
          <w:szCs w:val="20"/>
          <w:color w:val="auto"/>
        </w:rPr>
        <w:tab/>
        <w:t>Action by Agents</w:t>
      </w:r>
      <w:r>
        <w:rPr>
          <w:sz w:val="20"/>
          <w:szCs w:val="20"/>
          <w:color w:val="auto"/>
        </w:rPr>
        <w:tab/>
      </w:r>
      <w:r>
        <w:rPr>
          <w:rFonts w:ascii="Arial" w:cs="Arial" w:eastAsia="Arial" w:hAnsi="Arial"/>
          <w:sz w:val="16"/>
          <w:szCs w:val="16"/>
          <w:color w:val="auto"/>
        </w:rPr>
        <w:t>51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7.4.</w:t>
      </w:r>
      <w:r>
        <w:rPr>
          <w:rFonts w:ascii="Arial" w:cs="Arial" w:eastAsia="Arial" w:hAnsi="Arial"/>
          <w:sz w:val="20"/>
          <w:szCs w:val="20"/>
          <w:color w:val="auto"/>
        </w:rPr>
        <w:tab/>
        <w:t>Consultation with Experts</w:t>
      </w:r>
      <w:r>
        <w:rPr>
          <w:sz w:val="20"/>
          <w:szCs w:val="20"/>
          <w:color w:val="auto"/>
        </w:rPr>
        <w:tab/>
      </w:r>
      <w:r>
        <w:rPr>
          <w:rFonts w:ascii="Arial" w:cs="Arial" w:eastAsia="Arial" w:hAnsi="Arial"/>
          <w:sz w:val="16"/>
          <w:szCs w:val="16"/>
          <w:color w:val="auto"/>
        </w:rPr>
        <w:t>52</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7.5.</w:t>
      </w:r>
      <w:r>
        <w:rPr>
          <w:rFonts w:ascii="Arial" w:cs="Arial" w:eastAsia="Arial" w:hAnsi="Arial"/>
          <w:sz w:val="20"/>
          <w:szCs w:val="20"/>
          <w:color w:val="auto"/>
        </w:rPr>
        <w:tab/>
        <w:t>Liability of Agents</w:t>
      </w:r>
      <w:r>
        <w:rPr>
          <w:sz w:val="20"/>
          <w:szCs w:val="20"/>
          <w:color w:val="auto"/>
        </w:rPr>
        <w:tab/>
      </w:r>
      <w:r>
        <w:rPr>
          <w:rFonts w:ascii="Arial" w:cs="Arial" w:eastAsia="Arial" w:hAnsi="Arial"/>
          <w:sz w:val="16"/>
          <w:szCs w:val="16"/>
          <w:color w:val="auto"/>
        </w:rPr>
        <w:t>52</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7.6.</w:t>
      </w:r>
      <w:r>
        <w:rPr>
          <w:rFonts w:ascii="Arial" w:cs="Arial" w:eastAsia="Arial" w:hAnsi="Arial"/>
          <w:sz w:val="20"/>
          <w:szCs w:val="20"/>
          <w:color w:val="auto"/>
        </w:rPr>
        <w:tab/>
        <w:t>Indemnification</w:t>
      </w:r>
      <w:r>
        <w:rPr>
          <w:sz w:val="20"/>
          <w:szCs w:val="20"/>
          <w:color w:val="auto"/>
        </w:rPr>
        <w:tab/>
      </w:r>
      <w:r>
        <w:rPr>
          <w:rFonts w:ascii="Arial" w:cs="Arial" w:eastAsia="Arial" w:hAnsi="Arial"/>
          <w:sz w:val="16"/>
          <w:szCs w:val="16"/>
          <w:color w:val="auto"/>
        </w:rPr>
        <w:t>53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7.7.</w:t>
      </w:r>
      <w:r>
        <w:rPr>
          <w:rFonts w:ascii="Arial" w:cs="Arial" w:eastAsia="Arial" w:hAnsi="Arial"/>
          <w:sz w:val="20"/>
          <w:szCs w:val="20"/>
          <w:color w:val="auto"/>
        </w:rPr>
        <w:tab/>
        <w:t>Credit Decision</w:t>
      </w:r>
      <w:r>
        <w:rPr>
          <w:sz w:val="20"/>
          <w:szCs w:val="20"/>
          <w:color w:val="auto"/>
        </w:rPr>
        <w:tab/>
      </w:r>
      <w:r>
        <w:rPr>
          <w:rFonts w:ascii="Arial" w:cs="Arial" w:eastAsia="Arial" w:hAnsi="Arial"/>
          <w:sz w:val="16"/>
          <w:szCs w:val="16"/>
          <w:color w:val="auto"/>
        </w:rPr>
        <w:t>53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7.8.</w:t>
      </w:r>
      <w:r>
        <w:rPr>
          <w:rFonts w:ascii="Arial" w:cs="Arial" w:eastAsia="Arial" w:hAnsi="Arial"/>
          <w:sz w:val="20"/>
          <w:szCs w:val="20"/>
          <w:color w:val="auto"/>
        </w:rPr>
        <w:tab/>
        <w:t>Successor Agent</w:t>
      </w:r>
      <w:r>
        <w:rPr>
          <w:sz w:val="20"/>
          <w:szCs w:val="20"/>
          <w:color w:val="auto"/>
        </w:rPr>
        <w:tab/>
      </w:r>
      <w:r>
        <w:rPr>
          <w:rFonts w:ascii="Arial" w:cs="Arial" w:eastAsia="Arial" w:hAnsi="Arial"/>
          <w:sz w:val="16"/>
          <w:szCs w:val="16"/>
          <w:color w:val="auto"/>
        </w:rPr>
        <w:t>53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7.9.</w:t>
      </w:r>
      <w:r>
        <w:rPr>
          <w:rFonts w:ascii="Arial" w:cs="Arial" w:eastAsia="Arial" w:hAnsi="Arial"/>
          <w:sz w:val="20"/>
          <w:szCs w:val="20"/>
          <w:color w:val="auto"/>
        </w:rPr>
        <w:tab/>
        <w:t>Exculpation of BPO Broker</w:t>
      </w:r>
      <w:r>
        <w:rPr>
          <w:sz w:val="20"/>
          <w:szCs w:val="20"/>
          <w:color w:val="auto"/>
        </w:rPr>
        <w:tab/>
      </w:r>
      <w:r>
        <w:rPr>
          <w:rFonts w:ascii="Arial" w:cs="Arial" w:eastAsia="Arial" w:hAnsi="Arial"/>
          <w:sz w:val="16"/>
          <w:szCs w:val="16"/>
          <w:color w:val="auto"/>
        </w:rPr>
        <w:t>54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7.10.</w:t>
      </w:r>
      <w:r>
        <w:rPr>
          <w:rFonts w:ascii="Arial" w:cs="Arial" w:eastAsia="Arial" w:hAnsi="Arial"/>
          <w:sz w:val="20"/>
          <w:szCs w:val="20"/>
          <w:color w:val="auto"/>
        </w:rPr>
        <w:tab/>
        <w:t>Proofs of Claim</w:t>
      </w:r>
      <w:r>
        <w:rPr>
          <w:sz w:val="20"/>
          <w:szCs w:val="20"/>
          <w:color w:val="auto"/>
        </w:rPr>
        <w:tab/>
      </w:r>
      <w:r>
        <w:rPr>
          <w:rFonts w:ascii="Arial" w:cs="Arial" w:eastAsia="Arial" w:hAnsi="Arial"/>
          <w:sz w:val="16"/>
          <w:szCs w:val="16"/>
          <w:color w:val="auto"/>
        </w:rPr>
        <w:t>54</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010000"/>
        </w:rPr>
        <w:t xml:space="preserve">Article VIII </w:t>
      </w:r>
      <w:r>
        <w:rPr>
          <w:rFonts w:ascii="Arial" w:cs="Arial" w:eastAsia="Arial" w:hAnsi="Arial"/>
          <w:sz w:val="20"/>
          <w:szCs w:val="20"/>
          <w:color w:val="000000"/>
        </w:rPr>
        <w:t>CHANGE IN CIRCUMSTANCES</w:t>
      </w:r>
      <w:r>
        <w:rPr>
          <w:sz w:val="20"/>
          <w:szCs w:val="20"/>
          <w:color w:val="auto"/>
        </w:rPr>
        <w:tab/>
      </w:r>
      <w:r>
        <w:rPr>
          <w:rFonts w:ascii="Arial" w:cs="Arial" w:eastAsia="Arial" w:hAnsi="Arial"/>
          <w:sz w:val="16"/>
          <w:szCs w:val="16"/>
          <w:color w:val="auto"/>
        </w:rPr>
        <w:t>55</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8.1.</w:t>
      </w:r>
      <w:r>
        <w:rPr>
          <w:rFonts w:ascii="Arial" w:cs="Arial" w:eastAsia="Arial" w:hAnsi="Arial"/>
          <w:sz w:val="20"/>
          <w:szCs w:val="20"/>
          <w:color w:val="auto"/>
        </w:rPr>
        <w:tab/>
        <w:t>Basis for Determining Interest Rate Inadequate or Unfair</w:t>
      </w:r>
      <w:r>
        <w:rPr>
          <w:sz w:val="20"/>
          <w:szCs w:val="20"/>
          <w:color w:val="auto"/>
        </w:rPr>
        <w:tab/>
      </w:r>
      <w:r>
        <w:rPr>
          <w:rFonts w:ascii="Arial" w:cs="Arial" w:eastAsia="Arial" w:hAnsi="Arial"/>
          <w:sz w:val="16"/>
          <w:szCs w:val="16"/>
          <w:color w:val="auto"/>
        </w:rPr>
        <w:t>55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8.2.</w:t>
      </w:r>
      <w:r>
        <w:rPr>
          <w:rFonts w:ascii="Arial" w:cs="Arial" w:eastAsia="Arial" w:hAnsi="Arial"/>
          <w:sz w:val="20"/>
          <w:szCs w:val="20"/>
          <w:color w:val="auto"/>
        </w:rPr>
        <w:tab/>
        <w:t>Illegality</w:t>
      </w:r>
      <w:r>
        <w:rPr>
          <w:sz w:val="20"/>
          <w:szCs w:val="20"/>
          <w:color w:val="auto"/>
        </w:rPr>
        <w:tab/>
      </w:r>
      <w:r>
        <w:rPr>
          <w:rFonts w:ascii="Arial" w:cs="Arial" w:eastAsia="Arial" w:hAnsi="Arial"/>
          <w:sz w:val="16"/>
          <w:szCs w:val="16"/>
          <w:color w:val="auto"/>
        </w:rPr>
        <w:t>55</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8.3.</w:t>
      </w:r>
      <w:r>
        <w:rPr>
          <w:rFonts w:ascii="Arial" w:cs="Arial" w:eastAsia="Arial" w:hAnsi="Arial"/>
          <w:sz w:val="20"/>
          <w:szCs w:val="20"/>
          <w:color w:val="auto"/>
        </w:rPr>
        <w:tab/>
        <w:t>Increased Cost and Reduced Return</w:t>
      </w:r>
      <w:r>
        <w:rPr>
          <w:sz w:val="20"/>
          <w:szCs w:val="20"/>
          <w:color w:val="auto"/>
        </w:rPr>
        <w:tab/>
      </w:r>
      <w:r>
        <w:rPr>
          <w:rFonts w:ascii="Arial" w:cs="Arial" w:eastAsia="Arial" w:hAnsi="Arial"/>
          <w:sz w:val="16"/>
          <w:szCs w:val="16"/>
          <w:color w:val="auto"/>
        </w:rPr>
        <w:t>56</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8.4.</w:t>
      </w:r>
      <w:r>
        <w:rPr>
          <w:rFonts w:ascii="Arial" w:cs="Arial" w:eastAsia="Arial" w:hAnsi="Arial"/>
          <w:sz w:val="20"/>
          <w:szCs w:val="20"/>
          <w:color w:val="auto"/>
        </w:rPr>
        <w:tab/>
        <w:t>Taxes</w:t>
      </w:r>
      <w:r>
        <w:rPr>
          <w:sz w:val="20"/>
          <w:szCs w:val="20"/>
          <w:color w:val="auto"/>
        </w:rPr>
        <w:tab/>
      </w:r>
      <w:r>
        <w:rPr>
          <w:rFonts w:ascii="Arial" w:cs="Arial" w:eastAsia="Arial" w:hAnsi="Arial"/>
          <w:sz w:val="16"/>
          <w:szCs w:val="16"/>
          <w:color w:val="auto"/>
        </w:rPr>
        <w:t>57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8.5.</w:t>
      </w:r>
      <w:r>
        <w:rPr>
          <w:rFonts w:ascii="Arial" w:cs="Arial" w:eastAsia="Arial" w:hAnsi="Arial"/>
          <w:sz w:val="20"/>
          <w:szCs w:val="20"/>
          <w:color w:val="auto"/>
        </w:rPr>
        <w:tab/>
        <w:t>Base Rate Loans Substituted for Affected Eurodollar Loans</w:t>
      </w:r>
      <w:r>
        <w:rPr>
          <w:sz w:val="20"/>
          <w:szCs w:val="20"/>
          <w:color w:val="auto"/>
        </w:rPr>
        <w:tab/>
      </w:r>
      <w:r>
        <w:rPr>
          <w:rFonts w:ascii="Arial" w:cs="Arial" w:eastAsia="Arial" w:hAnsi="Arial"/>
          <w:sz w:val="16"/>
          <w:szCs w:val="16"/>
          <w:color w:val="auto"/>
        </w:rPr>
        <w:t>61</w:t>
      </w:r>
    </w:p>
    <w:p>
      <w:pPr>
        <w:spacing w:after="0" w:line="337" w:lineRule="exact"/>
        <w:rPr>
          <w:sz w:val="20"/>
          <w:szCs w:val="20"/>
          <w:color w:val="auto"/>
        </w:rPr>
      </w:pPr>
    </w:p>
    <w:p>
      <w:pPr>
        <w:ind w:left="260"/>
        <w:spacing w:after="0"/>
        <w:tabs>
          <w:tab w:leader="dot" w:pos="8500" w:val="left"/>
        </w:tabs>
        <w:rPr>
          <w:sz w:val="20"/>
          <w:szCs w:val="20"/>
          <w:color w:val="auto"/>
        </w:rPr>
      </w:pPr>
      <w:r>
        <w:rPr>
          <w:rFonts w:ascii="Arial" w:cs="Arial" w:eastAsia="Arial" w:hAnsi="Arial"/>
          <w:sz w:val="20"/>
          <w:szCs w:val="20"/>
          <w:color w:val="auto"/>
        </w:rPr>
        <w:t>Article IX MISCELLANEOUS</w:t>
      </w:r>
      <w:r>
        <w:rPr>
          <w:sz w:val="20"/>
          <w:szCs w:val="20"/>
          <w:color w:val="auto"/>
        </w:rPr>
        <w:tab/>
      </w:r>
      <w:r>
        <w:rPr>
          <w:rFonts w:ascii="Arial" w:cs="Arial" w:eastAsia="Arial" w:hAnsi="Arial"/>
          <w:sz w:val="16"/>
          <w:szCs w:val="16"/>
          <w:color w:val="auto"/>
        </w:rPr>
        <w:t>61</w:t>
      </w:r>
    </w:p>
    <w:p>
      <w:pPr>
        <w:spacing w:after="0" w:line="337"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w:t>
      </w:r>
      <w:r>
        <w:rPr>
          <w:rFonts w:ascii="Arial" w:cs="Arial" w:eastAsia="Arial" w:hAnsi="Arial"/>
          <w:sz w:val="20"/>
          <w:szCs w:val="20"/>
          <w:color w:val="auto"/>
        </w:rPr>
        <w:tab/>
        <w:t>Notices</w:t>
      </w:r>
      <w:r>
        <w:rPr>
          <w:sz w:val="20"/>
          <w:szCs w:val="20"/>
          <w:color w:val="auto"/>
        </w:rPr>
        <w:tab/>
      </w:r>
      <w:r>
        <w:rPr>
          <w:rFonts w:ascii="Arial" w:cs="Arial" w:eastAsia="Arial" w:hAnsi="Arial"/>
          <w:sz w:val="16"/>
          <w:szCs w:val="16"/>
          <w:color w:val="auto"/>
        </w:rPr>
        <w:t>61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9.2.</w:t>
      </w:r>
      <w:r>
        <w:rPr>
          <w:rFonts w:ascii="Arial" w:cs="Arial" w:eastAsia="Arial" w:hAnsi="Arial"/>
          <w:sz w:val="20"/>
          <w:szCs w:val="20"/>
          <w:color w:val="auto"/>
        </w:rPr>
        <w:tab/>
        <w:t>No Waivers</w:t>
      </w:r>
      <w:r>
        <w:rPr>
          <w:sz w:val="20"/>
          <w:szCs w:val="20"/>
          <w:color w:val="auto"/>
        </w:rPr>
        <w:tab/>
      </w:r>
      <w:r>
        <w:rPr>
          <w:rFonts w:ascii="Arial" w:cs="Arial" w:eastAsia="Arial" w:hAnsi="Arial"/>
          <w:sz w:val="16"/>
          <w:szCs w:val="16"/>
          <w:color w:val="auto"/>
        </w:rPr>
        <w:t>61</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9.3.</w:t>
      </w:r>
      <w:r>
        <w:rPr>
          <w:rFonts w:ascii="Arial" w:cs="Arial" w:eastAsia="Arial" w:hAnsi="Arial"/>
          <w:sz w:val="20"/>
          <w:szCs w:val="20"/>
          <w:color w:val="auto"/>
        </w:rPr>
        <w:tab/>
        <w:t>Expenses; Indemnification</w:t>
      </w:r>
      <w:r>
        <w:rPr>
          <w:sz w:val="20"/>
          <w:szCs w:val="20"/>
          <w:color w:val="auto"/>
        </w:rPr>
        <w:tab/>
      </w:r>
      <w:r>
        <w:rPr>
          <w:rFonts w:ascii="Arial" w:cs="Arial" w:eastAsia="Arial" w:hAnsi="Arial"/>
          <w:sz w:val="16"/>
          <w:szCs w:val="16"/>
          <w:color w:val="auto"/>
        </w:rPr>
        <w:t>62</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9.4.</w:t>
      </w:r>
      <w:r>
        <w:rPr>
          <w:rFonts w:ascii="Arial" w:cs="Arial" w:eastAsia="Arial" w:hAnsi="Arial"/>
          <w:sz w:val="20"/>
          <w:szCs w:val="20"/>
          <w:color w:val="auto"/>
        </w:rPr>
        <w:tab/>
        <w:t>Sharing of Set-Offs</w:t>
      </w:r>
      <w:r>
        <w:rPr>
          <w:sz w:val="20"/>
          <w:szCs w:val="20"/>
          <w:color w:val="auto"/>
        </w:rPr>
        <w:tab/>
      </w:r>
      <w:r>
        <w:rPr>
          <w:rFonts w:ascii="Arial" w:cs="Arial" w:eastAsia="Arial" w:hAnsi="Arial"/>
          <w:sz w:val="16"/>
          <w:szCs w:val="16"/>
          <w:color w:val="auto"/>
        </w:rPr>
        <w:t>63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9.5.</w:t>
      </w:r>
      <w:r>
        <w:rPr>
          <w:rFonts w:ascii="Arial" w:cs="Arial" w:eastAsia="Arial" w:hAnsi="Arial"/>
          <w:sz w:val="20"/>
          <w:szCs w:val="20"/>
          <w:color w:val="auto"/>
        </w:rPr>
        <w:tab/>
        <w:t>Amendments and Waivers</w:t>
      </w:r>
      <w:r>
        <w:rPr>
          <w:sz w:val="20"/>
          <w:szCs w:val="20"/>
          <w:color w:val="auto"/>
        </w:rPr>
        <w:tab/>
      </w:r>
      <w:r>
        <w:rPr>
          <w:rFonts w:ascii="Arial" w:cs="Arial" w:eastAsia="Arial" w:hAnsi="Arial"/>
          <w:sz w:val="16"/>
          <w:szCs w:val="16"/>
          <w:color w:val="auto"/>
        </w:rPr>
        <w:t>63</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9.6.</w:t>
      </w:r>
      <w:r>
        <w:rPr>
          <w:rFonts w:ascii="Arial" w:cs="Arial" w:eastAsia="Arial" w:hAnsi="Arial"/>
          <w:sz w:val="20"/>
          <w:szCs w:val="20"/>
          <w:color w:val="auto"/>
        </w:rPr>
        <w:tab/>
        <w:t>Successors and Assigns</w:t>
      </w:r>
      <w:r>
        <w:rPr>
          <w:sz w:val="20"/>
          <w:szCs w:val="20"/>
          <w:color w:val="auto"/>
        </w:rPr>
        <w:tab/>
      </w:r>
      <w:r>
        <w:rPr>
          <w:rFonts w:ascii="Arial" w:cs="Arial" w:eastAsia="Arial" w:hAnsi="Arial"/>
          <w:sz w:val="16"/>
          <w:szCs w:val="16"/>
          <w:color w:val="auto"/>
        </w:rPr>
        <w:t>64</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9.7.</w:t>
      </w:r>
      <w:r>
        <w:rPr>
          <w:rFonts w:ascii="Arial" w:cs="Arial" w:eastAsia="Arial" w:hAnsi="Arial"/>
          <w:sz w:val="20"/>
          <w:szCs w:val="20"/>
          <w:color w:val="auto"/>
        </w:rPr>
        <w:tab/>
        <w:t>Governing Law; Submission to Jurisdiction; Judgment Currency</w:t>
      </w:r>
      <w:r>
        <w:rPr>
          <w:sz w:val="20"/>
          <w:szCs w:val="20"/>
          <w:color w:val="auto"/>
        </w:rPr>
        <w:tab/>
      </w:r>
      <w:r>
        <w:rPr>
          <w:rFonts w:ascii="Arial" w:cs="Arial" w:eastAsia="Arial" w:hAnsi="Arial"/>
          <w:sz w:val="16"/>
          <w:szCs w:val="16"/>
          <w:color w:val="auto"/>
        </w:rPr>
        <w:t>67</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9.8.</w:t>
      </w:r>
      <w:r>
        <w:rPr>
          <w:rFonts w:ascii="Arial" w:cs="Arial" w:eastAsia="Arial" w:hAnsi="Arial"/>
          <w:sz w:val="20"/>
          <w:szCs w:val="20"/>
          <w:color w:val="auto"/>
        </w:rPr>
        <w:tab/>
        <w:t>Counterparts; Integration; Effectiveness</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9.9.</w:t>
      </w:r>
      <w:r>
        <w:rPr>
          <w:rFonts w:ascii="Arial" w:cs="Arial" w:eastAsia="Arial" w:hAnsi="Arial"/>
          <w:sz w:val="20"/>
          <w:szCs w:val="20"/>
          <w:color w:val="auto"/>
        </w:rPr>
        <w:tab/>
        <w:t>WAIVER OF JURY TRIAL</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9.10.</w:t>
      </w:r>
      <w:r>
        <w:rPr>
          <w:rFonts w:ascii="Arial" w:cs="Arial" w:eastAsia="Arial" w:hAnsi="Arial"/>
          <w:sz w:val="20"/>
          <w:szCs w:val="20"/>
          <w:color w:val="auto"/>
        </w:rPr>
        <w:tab/>
        <w:t>Survival</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9.11.</w:t>
      </w:r>
      <w:r>
        <w:rPr>
          <w:rFonts w:ascii="Arial" w:cs="Arial" w:eastAsia="Arial" w:hAnsi="Arial"/>
          <w:sz w:val="20"/>
          <w:szCs w:val="20"/>
          <w:color w:val="auto"/>
        </w:rPr>
        <w:tab/>
        <w:t>Domicile of Loans</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9.12.</w:t>
      </w:r>
      <w:r>
        <w:rPr>
          <w:rFonts w:ascii="Arial" w:cs="Arial" w:eastAsia="Arial" w:hAnsi="Arial"/>
          <w:sz w:val="20"/>
          <w:szCs w:val="20"/>
          <w:color w:val="auto"/>
        </w:rPr>
        <w:tab/>
        <w:t>Limitation of Liability</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9.13.</w:t>
      </w:r>
      <w:r>
        <w:rPr>
          <w:rFonts w:ascii="Arial" w:cs="Arial" w:eastAsia="Arial" w:hAnsi="Arial"/>
          <w:sz w:val="20"/>
          <w:szCs w:val="20"/>
          <w:color w:val="auto"/>
        </w:rPr>
        <w:tab/>
        <w:t>Recourse Obligation</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9.14.</w:t>
      </w:r>
      <w:r>
        <w:rPr>
          <w:rFonts w:ascii="Arial" w:cs="Arial" w:eastAsia="Arial" w:hAnsi="Arial"/>
          <w:sz w:val="20"/>
          <w:szCs w:val="20"/>
          <w:color w:val="auto"/>
        </w:rPr>
        <w:tab/>
        <w:t>Confidentiality</w:t>
      </w:r>
      <w:r>
        <w:rPr>
          <w:sz w:val="20"/>
          <w:szCs w:val="20"/>
          <w:color w:val="auto"/>
        </w:rPr>
        <w:tab/>
      </w:r>
      <w:r>
        <w:rPr>
          <w:rFonts w:ascii="Arial" w:cs="Arial" w:eastAsia="Arial" w:hAnsi="Arial"/>
          <w:sz w:val="16"/>
          <w:szCs w:val="16"/>
          <w:color w:val="auto"/>
        </w:rPr>
        <w:t>68</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9.15.</w:t>
      </w:r>
      <w:r>
        <w:rPr>
          <w:rFonts w:ascii="Arial" w:cs="Arial" w:eastAsia="Arial" w:hAnsi="Arial"/>
          <w:sz w:val="20"/>
          <w:szCs w:val="20"/>
          <w:color w:val="auto"/>
        </w:rPr>
        <w:tab/>
        <w:t>USA Patriot Act</w:t>
      </w:r>
      <w:r>
        <w:rPr>
          <w:sz w:val="20"/>
          <w:szCs w:val="20"/>
          <w:color w:val="auto"/>
        </w:rPr>
        <w:tab/>
      </w:r>
      <w:r>
        <w:rPr>
          <w:rFonts w:ascii="Arial" w:cs="Arial" w:eastAsia="Arial" w:hAnsi="Arial"/>
          <w:sz w:val="16"/>
          <w:szCs w:val="16"/>
          <w:color w:val="auto"/>
        </w:rPr>
        <w:t>69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9.16.</w:t>
      </w:r>
      <w:r>
        <w:rPr>
          <w:rFonts w:ascii="Arial" w:cs="Arial" w:eastAsia="Arial" w:hAnsi="Arial"/>
          <w:sz w:val="20"/>
          <w:szCs w:val="20"/>
          <w:color w:val="auto"/>
        </w:rPr>
        <w:tab/>
        <w:t>Acknowledgements</w:t>
      </w:r>
      <w:r>
        <w:rPr>
          <w:sz w:val="20"/>
          <w:szCs w:val="20"/>
          <w:color w:val="auto"/>
        </w:rPr>
        <w:tab/>
      </w:r>
      <w:r>
        <w:rPr>
          <w:rFonts w:ascii="Arial" w:cs="Arial" w:eastAsia="Arial" w:hAnsi="Arial"/>
          <w:sz w:val="16"/>
          <w:szCs w:val="16"/>
          <w:color w:val="auto"/>
        </w:rPr>
        <w:t>69</w:t>
      </w:r>
    </w:p>
    <w:p>
      <w:pPr>
        <w:spacing w:after="0" w:line="54" w:lineRule="exact"/>
        <w:rPr>
          <w:sz w:val="20"/>
          <w:szCs w:val="20"/>
          <w:color w:val="auto"/>
        </w:rPr>
      </w:pPr>
    </w:p>
    <w:p>
      <w:pPr>
        <w:ind w:left="640"/>
        <w:spacing w:after="0"/>
        <w:tabs>
          <w:tab w:leader="none" w:pos="1820" w:val="left"/>
          <w:tab w:leader="dot" w:pos="8500" w:val="left"/>
        </w:tabs>
        <w:rPr>
          <w:sz w:val="20"/>
          <w:szCs w:val="20"/>
          <w:color w:val="auto"/>
        </w:rPr>
      </w:pPr>
      <w:r>
        <w:rPr>
          <w:rFonts w:ascii="Arial" w:cs="Arial" w:eastAsia="Arial" w:hAnsi="Arial"/>
          <w:sz w:val="20"/>
          <w:szCs w:val="20"/>
          <w:color w:val="010000"/>
        </w:rPr>
        <w:t>Section 9.17.</w:t>
      </w:r>
      <w:r>
        <w:rPr>
          <w:rFonts w:ascii="Arial" w:cs="Arial" w:eastAsia="Arial" w:hAnsi="Arial"/>
          <w:sz w:val="20"/>
          <w:szCs w:val="20"/>
          <w:color w:val="auto"/>
        </w:rPr>
        <w:tab/>
        <w:t>Releases of Liens</w:t>
      </w:r>
      <w:r>
        <w:rPr>
          <w:sz w:val="20"/>
          <w:szCs w:val="20"/>
          <w:color w:val="auto"/>
        </w:rPr>
        <w:tab/>
      </w:r>
      <w:r>
        <w:rPr>
          <w:rFonts w:ascii="Arial" w:cs="Arial" w:eastAsia="Arial" w:hAnsi="Arial"/>
          <w:sz w:val="16"/>
          <w:szCs w:val="16"/>
          <w:color w:val="auto"/>
        </w:rPr>
        <w:t>70</w:t>
      </w:r>
    </w:p>
    <w:p>
      <w:pPr>
        <w:spacing w:after="0" w:line="200" w:lineRule="exact"/>
        <w:rPr>
          <w:sz w:val="20"/>
          <w:szCs w:val="20"/>
          <w:color w:val="auto"/>
        </w:rPr>
      </w:pPr>
    </w:p>
    <w:p>
      <w:pPr>
        <w:spacing w:after="0" w:line="28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9019"/>
          </w:cols>
          <w:pgMar w:left="1440" w:top="96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rPr>
              <w:t>SCHEDULES:</w:t>
            </w:r>
          </w:p>
        </w:tc>
        <w:tc>
          <w:tcPr>
            <w:tcW w:w="2860" w:type="dxa"/>
            <w:vAlign w:val="bottom"/>
          </w:tcPr>
          <w:p>
            <w:pPr>
              <w:spacing w:after="0"/>
              <w:rPr>
                <w:sz w:val="19"/>
                <w:szCs w:val="19"/>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49"/>
        </w:trPr>
        <w:tc>
          <w:tcPr>
            <w:tcW w:w="1560" w:type="dxa"/>
            <w:vAlign w:val="bottom"/>
            <w:gridSpan w:val="2"/>
          </w:tcPr>
          <w:p>
            <w:pPr>
              <w:spacing w:after="0"/>
              <w:rPr>
                <w:sz w:val="20"/>
                <w:szCs w:val="20"/>
                <w:color w:val="auto"/>
              </w:rPr>
            </w:pPr>
            <w:r>
              <w:rPr>
                <w:rFonts w:ascii="Arial" w:cs="Arial" w:eastAsia="Arial" w:hAnsi="Arial"/>
                <w:sz w:val="20"/>
                <w:szCs w:val="20"/>
                <w:color w:val="auto"/>
                <w:w w:val="98"/>
              </w:rPr>
              <w:t>SCHEDULE 1.1A</w:t>
            </w:r>
          </w:p>
        </w:tc>
        <w:tc>
          <w:tcPr>
            <w:tcW w:w="2860" w:type="dxa"/>
            <w:vAlign w:val="bottom"/>
          </w:tcPr>
          <w:p>
            <w:pPr>
              <w:ind w:left="100"/>
              <w:spacing w:after="0"/>
              <w:rPr>
                <w:sz w:val="20"/>
                <w:szCs w:val="20"/>
                <w:color w:val="auto"/>
              </w:rPr>
            </w:pPr>
            <w:r>
              <w:rPr>
                <w:rFonts w:ascii="Arial" w:cs="Arial" w:eastAsia="Arial" w:hAnsi="Arial"/>
                <w:sz w:val="20"/>
                <w:szCs w:val="20"/>
                <w:color w:val="auto"/>
              </w:rPr>
              <w:t>Commitments</w:t>
            </w:r>
          </w:p>
        </w:tc>
      </w:tr>
      <w:tr>
        <w:trPr>
          <w:trHeight w:val="230"/>
        </w:trPr>
        <w:tc>
          <w:tcPr>
            <w:tcW w:w="4420" w:type="dxa"/>
            <w:vAlign w:val="bottom"/>
            <w:gridSpan w:val="3"/>
          </w:tcPr>
          <w:p>
            <w:pPr>
              <w:spacing w:after="0"/>
              <w:rPr>
                <w:sz w:val="20"/>
                <w:szCs w:val="20"/>
                <w:color w:val="auto"/>
              </w:rPr>
            </w:pPr>
            <w:r>
              <w:rPr>
                <w:rFonts w:ascii="Arial" w:cs="Arial" w:eastAsia="Arial" w:hAnsi="Arial"/>
                <w:sz w:val="20"/>
                <w:szCs w:val="20"/>
                <w:color w:val="auto"/>
                <w:w w:val="92"/>
              </w:rPr>
              <w:t>SCHEDULE 1.1B  Collateral and Covered Assets List</w:t>
            </w:r>
          </w:p>
        </w:tc>
      </w:t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w w:val="98"/>
              </w:rPr>
              <w:t>SCHEDULE 1.1C</w:t>
            </w:r>
          </w:p>
        </w:tc>
        <w:tc>
          <w:tcPr>
            <w:tcW w:w="2860" w:type="dxa"/>
            <w:vAlign w:val="bottom"/>
          </w:tcPr>
          <w:p>
            <w:pPr>
              <w:ind w:left="100"/>
              <w:spacing w:after="0"/>
              <w:rPr>
                <w:sz w:val="20"/>
                <w:szCs w:val="20"/>
                <w:color w:val="auto"/>
              </w:rPr>
            </w:pPr>
            <w:r>
              <w:rPr>
                <w:rFonts w:ascii="Arial" w:cs="Arial" w:eastAsia="Arial" w:hAnsi="Arial"/>
                <w:sz w:val="20"/>
                <w:szCs w:val="20"/>
                <w:color w:val="auto"/>
              </w:rPr>
              <w:t>Permitted Liens</w:t>
            </w: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w w:val="98"/>
              </w:rPr>
              <w:t>SCHEDULE 1.1D</w:t>
            </w:r>
          </w:p>
        </w:tc>
        <w:tc>
          <w:tcPr>
            <w:tcW w:w="2860" w:type="dxa"/>
            <w:vAlign w:val="bottom"/>
          </w:tcPr>
          <w:p>
            <w:pPr>
              <w:ind w:left="100"/>
              <w:spacing w:after="0"/>
              <w:rPr>
                <w:sz w:val="20"/>
                <w:szCs w:val="20"/>
                <w:color w:val="auto"/>
              </w:rPr>
            </w:pPr>
            <w:r>
              <w:rPr>
                <w:rFonts w:ascii="Arial" w:cs="Arial" w:eastAsia="Arial" w:hAnsi="Arial"/>
                <w:sz w:val="20"/>
                <w:szCs w:val="20"/>
                <w:color w:val="auto"/>
              </w:rPr>
              <w:t>Excluded Assets</w:t>
            </w:r>
          </w:p>
        </w:tc>
      </w:tr>
    </w:tbl>
    <w:p>
      <w:pPr>
        <w:ind w:right="4019"/>
        <w:spacing w:after="0" w:line="266" w:lineRule="auto"/>
        <w:rPr>
          <w:sz w:val="20"/>
          <w:szCs w:val="20"/>
          <w:color w:val="auto"/>
        </w:rPr>
      </w:pPr>
      <w:r>
        <w:rPr>
          <w:rFonts w:ascii="Arial" w:cs="Arial" w:eastAsia="Arial" w:hAnsi="Arial"/>
          <w:sz w:val="18"/>
          <w:szCs w:val="18"/>
          <w:color w:val="auto"/>
        </w:rPr>
        <w:t>SCHEDULE 4.4(c) Existing Indebtedness of the Covered Subsidiaries SCHEDULE 4.6(a) Multiemployer Plans/Collective Bargaining Agreements</w:t>
      </w:r>
    </w:p>
    <w:tbl>
      <w:tblPr>
        <w:tblLayout w:type="fixed"/>
        <w:tblInd w:w="0" w:type="dxa"/>
        <w:tblCellMar>
          <w:top w:w="0" w:type="dxa"/>
          <w:left w:w="0" w:type="dxa"/>
          <w:bottom w:w="0" w:type="dxa"/>
          <w:right w:w="0" w:type="dxa"/>
        </w:tblCellMar>
      </w:tblPr>
      <w:tr>
        <w:trPr>
          <w:trHeight w:val="214"/>
        </w:trPr>
        <w:tc>
          <w:tcPr>
            <w:tcW w:w="1520" w:type="dxa"/>
            <w:vAlign w:val="bottom"/>
            <w:gridSpan w:val="2"/>
          </w:tcPr>
          <w:p>
            <w:pPr>
              <w:spacing w:after="0" w:line="214" w:lineRule="exact"/>
              <w:rPr>
                <w:sz w:val="20"/>
                <w:szCs w:val="20"/>
                <w:color w:val="auto"/>
              </w:rPr>
            </w:pPr>
            <w:r>
              <w:rPr>
                <w:rFonts w:ascii="Arial" w:cs="Arial" w:eastAsia="Arial" w:hAnsi="Arial"/>
                <w:sz w:val="20"/>
                <w:szCs w:val="20"/>
                <w:color w:val="auto"/>
                <w:w w:val="97"/>
              </w:rPr>
              <w:t>SCHEDULE 4.27</w:t>
            </w:r>
          </w:p>
        </w:tc>
        <w:tc>
          <w:tcPr>
            <w:tcW w:w="3140" w:type="dxa"/>
            <w:vAlign w:val="bottom"/>
          </w:tcPr>
          <w:p>
            <w:pPr>
              <w:ind w:left="100"/>
              <w:spacing w:after="0" w:line="214" w:lineRule="exact"/>
              <w:rPr>
                <w:sz w:val="20"/>
                <w:szCs w:val="20"/>
                <w:color w:val="auto"/>
              </w:rPr>
            </w:pPr>
            <w:r>
              <w:rPr>
                <w:rFonts w:ascii="Arial" w:cs="Arial" w:eastAsia="Arial" w:hAnsi="Arial"/>
                <w:sz w:val="20"/>
                <w:szCs w:val="20"/>
                <w:color w:val="auto"/>
                <w:w w:val="89"/>
              </w:rPr>
              <w:t>Indirect Ownership of Covered Assets</w:t>
            </w:r>
          </w:p>
        </w:tc>
      </w:tr>
      <w:tr>
        <w:trPr>
          <w:trHeight w:val="230"/>
        </w:trPr>
        <w:tc>
          <w:tcPr>
            <w:tcW w:w="1520" w:type="dxa"/>
            <w:vAlign w:val="bottom"/>
            <w:gridSpan w:val="2"/>
          </w:tcPr>
          <w:p>
            <w:pPr>
              <w:spacing w:after="0"/>
              <w:rPr>
                <w:sz w:val="20"/>
                <w:szCs w:val="20"/>
                <w:color w:val="auto"/>
              </w:rPr>
            </w:pPr>
            <w:r>
              <w:rPr>
                <w:rFonts w:ascii="Arial" w:cs="Arial" w:eastAsia="Arial" w:hAnsi="Arial"/>
                <w:sz w:val="20"/>
                <w:szCs w:val="20"/>
                <w:color w:val="auto"/>
                <w:w w:val="97"/>
              </w:rPr>
              <w:t>SCHEDULE 4.28</w:t>
            </w:r>
          </w:p>
        </w:tc>
        <w:tc>
          <w:tcPr>
            <w:tcW w:w="3140" w:type="dxa"/>
            <w:vAlign w:val="bottom"/>
          </w:tcPr>
          <w:p>
            <w:pPr>
              <w:ind w:left="100"/>
              <w:spacing w:after="0"/>
              <w:rPr>
                <w:sz w:val="20"/>
                <w:szCs w:val="20"/>
                <w:color w:val="auto"/>
              </w:rPr>
            </w:pPr>
            <w:r>
              <w:rPr>
                <w:rFonts w:ascii="Arial" w:cs="Arial" w:eastAsia="Arial" w:hAnsi="Arial"/>
                <w:sz w:val="20"/>
                <w:szCs w:val="20"/>
                <w:color w:val="auto"/>
              </w:rPr>
              <w:t>Covered Parties</w:t>
            </w:r>
          </w:p>
        </w:tc>
      </w:tr>
      <w:tr>
        <w:trPr>
          <w:trHeight w:val="250"/>
        </w:trPr>
        <w:tc>
          <w:tcPr>
            <w:tcW w:w="1520" w:type="dxa"/>
            <w:vAlign w:val="bottom"/>
            <w:gridSpan w:val="2"/>
          </w:tcPr>
          <w:p>
            <w:pPr>
              <w:spacing w:after="0"/>
              <w:rPr>
                <w:sz w:val="20"/>
                <w:szCs w:val="20"/>
                <w:color w:val="auto"/>
              </w:rPr>
            </w:pPr>
            <w:r>
              <w:rPr>
                <w:rFonts w:ascii="Arial" w:cs="Arial" w:eastAsia="Arial" w:hAnsi="Arial"/>
                <w:sz w:val="20"/>
                <w:szCs w:val="20"/>
                <w:color w:val="auto"/>
                <w:w w:val="97"/>
              </w:rPr>
              <w:t>SCHEDULE 4.29</w:t>
            </w:r>
          </w:p>
        </w:tc>
        <w:tc>
          <w:tcPr>
            <w:tcW w:w="3140" w:type="dxa"/>
            <w:vAlign w:val="bottom"/>
          </w:tcPr>
          <w:p>
            <w:pPr>
              <w:ind w:left="100"/>
              <w:spacing w:after="0"/>
              <w:rPr>
                <w:sz w:val="20"/>
                <w:szCs w:val="20"/>
                <w:color w:val="auto"/>
              </w:rPr>
            </w:pPr>
            <w:r>
              <w:rPr>
                <w:rFonts w:ascii="Arial" w:cs="Arial" w:eastAsia="Arial" w:hAnsi="Arial"/>
                <w:sz w:val="20"/>
                <w:szCs w:val="20"/>
                <w:color w:val="auto"/>
              </w:rPr>
              <w:t>Filing Jurisdictions</w:t>
            </w:r>
          </w:p>
        </w:tc>
      </w:tr>
      <w:tr>
        <w:trPr>
          <w:trHeight w:val="401"/>
        </w:trPr>
        <w:tc>
          <w:tcPr>
            <w:tcW w:w="152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314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Form of Affiliate Subordination Agreement</w:t>
      </w:r>
    </w:p>
    <w:p>
      <w:pPr>
        <w:spacing w:after="0" w:line="15"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Borrowing Base Certificate</w:t>
      </w:r>
    </w:p>
    <w:p>
      <w:pPr>
        <w:spacing w:after="0"/>
        <w:tabs>
          <w:tab w:leader="none" w:pos="132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Form of Negative Pledge Agreement</w:t>
      </w:r>
    </w:p>
    <w:p>
      <w:pPr>
        <w:spacing w:after="0"/>
        <w:tabs>
          <w:tab w:leader="none" w:pos="134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Form of Note</w:t>
      </w:r>
    </w:p>
    <w:p>
      <w:pPr>
        <w:spacing w:after="0"/>
        <w:tabs>
          <w:tab w:leader="none" w:pos="130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Notice of Borrowing</w:t>
      </w:r>
    </w:p>
    <w:p>
      <w:pPr>
        <w:spacing w:after="0"/>
        <w:tabs>
          <w:tab w:leader="none" w:pos="130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8"/>
          <w:szCs w:val="18"/>
          <w:color w:val="auto"/>
        </w:rPr>
        <w:t>Form of Projections</w:t>
      </w:r>
    </w:p>
    <w:p>
      <w:pPr>
        <w:spacing w:after="0"/>
        <w:tabs>
          <w:tab w:leader="none" w:pos="134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8"/>
          <w:szCs w:val="18"/>
          <w:color w:val="auto"/>
        </w:rPr>
        <w:t>Form of Security Agreement</w:t>
      </w:r>
    </w:p>
    <w:p>
      <w:pPr>
        <w:spacing w:after="0"/>
        <w:tabs>
          <w:tab w:leader="none" w:pos="134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Form of Assignment and Assumption</w:t>
      </w:r>
    </w:p>
    <w:p>
      <w:pPr>
        <w:spacing w:after="0"/>
        <w:tabs>
          <w:tab w:leader="none" w:pos="1360" w:val="left"/>
        </w:tabs>
        <w:rPr>
          <w:sz w:val="20"/>
          <w:szCs w:val="20"/>
          <w:color w:val="auto"/>
        </w:rPr>
      </w:pPr>
      <w:r>
        <w:rPr>
          <w:rFonts w:ascii="Arial" w:cs="Arial" w:eastAsia="Arial" w:hAnsi="Arial"/>
          <w:sz w:val="20"/>
          <w:szCs w:val="20"/>
          <w:color w:val="auto"/>
        </w:rPr>
        <w:t>EXHIBITS I</w:t>
      </w:r>
      <w:r>
        <w:rPr>
          <w:sz w:val="20"/>
          <w:szCs w:val="20"/>
          <w:color w:val="auto"/>
        </w:rPr>
        <w:tab/>
      </w:r>
      <w:r>
        <w:rPr>
          <w:rFonts w:ascii="Arial" w:cs="Arial" w:eastAsia="Arial" w:hAnsi="Arial"/>
          <w:sz w:val="18"/>
          <w:szCs w:val="18"/>
          <w:color w:val="auto"/>
        </w:rPr>
        <w:t>Forms of Prepayment Notice</w:t>
      </w:r>
    </w:p>
    <w:p>
      <w:pPr>
        <w:spacing w:after="0"/>
        <w:tabs>
          <w:tab w:leader="none" w:pos="1500" w:val="left"/>
        </w:tabs>
        <w:rPr>
          <w:sz w:val="20"/>
          <w:szCs w:val="20"/>
          <w:color w:val="auto"/>
        </w:rPr>
      </w:pPr>
      <w:r>
        <w:rPr>
          <w:rFonts w:ascii="Arial" w:cs="Arial" w:eastAsia="Arial" w:hAnsi="Arial"/>
          <w:sz w:val="20"/>
          <w:szCs w:val="20"/>
          <w:color w:val="auto"/>
        </w:rPr>
        <w:t>EXHIBITS J 1-4</w:t>
      </w:r>
      <w:r>
        <w:rPr>
          <w:sz w:val="20"/>
          <w:szCs w:val="20"/>
          <w:color w:val="auto"/>
        </w:rPr>
        <w:tab/>
      </w:r>
      <w:r>
        <w:rPr>
          <w:rFonts w:ascii="Arial" w:cs="Arial" w:eastAsia="Arial" w:hAnsi="Arial"/>
          <w:sz w:val="18"/>
          <w:szCs w:val="18"/>
          <w:color w:val="auto"/>
        </w:rPr>
        <w:t>Forms of U.S. Tax Certificates</w:t>
      </w:r>
    </w:p>
    <w:p>
      <w:pPr>
        <w:spacing w:after="0"/>
        <w:tabs>
          <w:tab w:leader="none" w:pos="134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6"/>
          <w:szCs w:val="16"/>
          <w:color w:val="auto"/>
        </w:rPr>
        <w:t>Notice Addresses</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0219"/>
          </w:cols>
          <w:pgMar w:left="240" w:top="774" w:right="1440"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ind w:right="80" w:firstLine="1297"/>
        <w:spacing w:after="0" w:line="250" w:lineRule="auto"/>
        <w:rPr>
          <w:sz w:val="20"/>
          <w:szCs w:val="20"/>
          <w:color w:val="auto"/>
        </w:rPr>
      </w:pPr>
      <w:r>
        <w:rPr>
          <w:rFonts w:ascii="Arial" w:cs="Arial" w:eastAsia="Arial" w:hAnsi="Arial"/>
          <w:sz w:val="20"/>
          <w:szCs w:val="20"/>
          <w:color w:val="auto"/>
        </w:rPr>
        <w:t>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March 27, 2015, among iSTAR FINANCIAL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BANKS listed on the signature pages hereof or otherwise from time to time parties hereto, JPMORGAN CHASE BANK, N.A., as the Administrative Agent.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Borrower has requested that the Banks provide a new revolving credit facility; and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Banks are willing to do so on the terms and conditions set forth herein;</w:t>
      </w:r>
    </w:p>
    <w:p>
      <w:pPr>
        <w:spacing w:after="0" w:line="216"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agree as follows: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as used herein, have the following meanings:</w:t>
      </w:r>
    </w:p>
    <w:p>
      <w:pPr>
        <w:spacing w:after="0" w:line="229" w:lineRule="exact"/>
        <w:rPr>
          <w:sz w:val="20"/>
          <w:szCs w:val="20"/>
          <w:color w:val="auto"/>
        </w:rPr>
      </w:pPr>
    </w:p>
    <w:p>
      <w:pPr>
        <w:ind w:right="4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in its capacity as the administrative agent hereunder, and its permitted successors in such capacity in accordance with the terms of this Agreement.</w:t>
      </w:r>
    </w:p>
    <w:p>
      <w:pPr>
        <w:spacing w:after="0" w:line="177"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with respect to each Bank, an administrative questionnaire in the form prepared by the Administrative Agent and submitted to the Administrative Agent (with a copy to the Borrower) duly completed by such Bank.</w:t>
      </w:r>
    </w:p>
    <w:p>
      <w:pPr>
        <w:spacing w:after="0" w:line="153" w:lineRule="exact"/>
        <w:rPr>
          <w:sz w:val="20"/>
          <w:szCs w:val="20"/>
          <w:color w:val="auto"/>
        </w:rPr>
      </w:pPr>
    </w:p>
    <w:p>
      <w:pPr>
        <w:ind w:right="12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as applied to any Person, means any other Person that directly or indirectly controls, is controlled by, or is under common control with, that Person. For purposes of this definition, “control” (including, with correlative meanings, the terms “controlling”, “controlled by” and “under common control with”), as applied to any Person, means the possession, directly or indirectly, of the power to vote ten percent (10.0%) or more of the equity securities having voting power for the election of directors of such Person or otherwise to direct or cause the direction of the management and policies of that Person, whether through the ownership of voting equity securities or by contract or otherwise.</w:t>
      </w:r>
    </w:p>
    <w:p>
      <w:pPr>
        <w:spacing w:after="0" w:line="197" w:lineRule="exact"/>
        <w:rPr>
          <w:sz w:val="20"/>
          <w:szCs w:val="20"/>
          <w:color w:val="auto"/>
        </w:rPr>
      </w:pPr>
    </w:p>
    <w:p>
      <w:pPr>
        <w:ind w:right="5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 Subordination Agreement</w:t>
      </w:r>
      <w:r>
        <w:rPr>
          <w:rFonts w:ascii="Arial" w:cs="Arial" w:eastAsia="Arial" w:hAnsi="Arial"/>
          <w:sz w:val="19"/>
          <w:szCs w:val="19"/>
          <w:color w:val="auto"/>
        </w:rPr>
        <w:t>” means an Affiliate Subordination Agreement substantially in the form of Exhibit A pursuant to which intercompany obligations and advances owed by the Borrower are subordinated to the Obligations.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collectively, the Administrative Agent and the Arrangers.</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 as the same may from time to time hereafter be amended, restated, supplemented or otherwise modified.</w:t>
      </w:r>
    </w:p>
    <w:p>
      <w:pPr>
        <w:spacing w:after="0" w:line="177"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its Subsidiaries from time to time concerning or relating to bribery or corruption.</w:t>
      </w:r>
    </w:p>
    <w:p>
      <w:pPr>
        <w:sectPr>
          <w:pgSz w:w="11900" w:h="16838" w:orient="portrait"/>
          <w:cols w:equalWidth="0" w:num="1">
            <w:col w:w="11400"/>
          </w:cols>
          <w:pgMar w:left="240" w:top="582" w:right="259" w:bottom="1440" w:gutter="0" w:footer="0" w:header="0"/>
        </w:sectPr>
      </w:pPr>
    </w:p>
    <w:bookmarkStart w:id="51" w:name="page52"/>
    <w:bookmarkEnd w:id="51"/>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Advance Rate</w:t>
      </w:r>
      <w:r>
        <w:rPr>
          <w:rFonts w:ascii="Arial" w:cs="Arial" w:eastAsia="Arial" w:hAnsi="Arial"/>
          <w:sz w:val="20"/>
          <w:szCs w:val="20"/>
          <w:color w:val="auto"/>
        </w:rPr>
        <w:t>” means as of any date of determination as to any Borrowing Base Asset:</w:t>
      </w:r>
    </w:p>
    <w:p>
      <w:pPr>
        <w:spacing w:after="0" w:line="229" w:lineRule="exact"/>
        <w:rPr>
          <w:sz w:val="20"/>
          <w:szCs w:val="20"/>
          <w:color w:val="auto"/>
        </w:rPr>
      </w:pPr>
    </w:p>
    <w:p>
      <w:pPr>
        <w:ind w:left="660" w:right="280" w:firstLine="645"/>
        <w:spacing w:after="0" w:line="347" w:lineRule="auto"/>
        <w:tabs>
          <w:tab w:leader="none" w:pos="21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65%, if the relevant BPO with respect to such Borrowing Base Asset is less than 24 months old as of such date of determination, or if the Borrower is within the 90-day grace period for delivery of a new BPO provided in Section 5.1(k);</w:t>
      </w:r>
    </w:p>
    <w:p>
      <w:pPr>
        <w:spacing w:after="0" w:line="130" w:lineRule="exact"/>
        <w:rPr>
          <w:rFonts w:ascii="Arial" w:cs="Arial" w:eastAsia="Arial" w:hAnsi="Arial"/>
          <w:sz w:val="18"/>
          <w:szCs w:val="18"/>
          <w:color w:val="auto"/>
        </w:rPr>
      </w:pPr>
    </w:p>
    <w:p>
      <w:pPr>
        <w:ind w:left="2200" w:hanging="895"/>
        <w:spacing w:after="0"/>
        <w:tabs>
          <w:tab w:leader="none" w:pos="2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60%, if the relevant BPO with respect to such Borrowing Base Asset is 24 months old or older as of such date of</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determination;</w:t>
      </w:r>
    </w:p>
    <w:p>
      <w:pPr>
        <w:spacing w:after="0" w:line="242" w:lineRule="exact"/>
        <w:rPr>
          <w:rFonts w:ascii="Arial" w:cs="Arial" w:eastAsia="Arial" w:hAnsi="Arial"/>
          <w:sz w:val="18"/>
          <w:szCs w:val="18"/>
          <w:color w:val="auto"/>
        </w:rPr>
      </w:pPr>
    </w:p>
    <w:p>
      <w:pPr>
        <w:ind w:left="660" w:firstLine="645"/>
        <w:spacing w:after="0" w:line="310" w:lineRule="auto"/>
        <w:tabs>
          <w:tab w:leader="none" w:pos="22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irrespective of the foregoing clauses (i) and (ii), 50% for any Credit Tenant Lease Asset if (x) the vacancy rate with respect to such Credit Tenant Lease Asset is greater than 20% as of such date of determination, (y) the weighted average remaining lease term with respect to such Credit Tenant Lease Asset is less than two (2) years as of such date of determination or (z) the Borrower is not receiving any income from such Credit Tenant Lease Asset as of such date of determination but such Credit Tenant Lease Asset has not become a Non-Cash Flow Tenant Lease Asset as of such date of determination;</w:t>
      </w:r>
    </w:p>
    <w:p>
      <w:pPr>
        <w:spacing w:after="0" w:line="162" w:lineRule="exact"/>
        <w:rPr>
          <w:rFonts w:ascii="Arial" w:cs="Arial" w:eastAsia="Arial" w:hAnsi="Arial"/>
          <w:sz w:val="18"/>
          <w:szCs w:val="18"/>
          <w:color w:val="auto"/>
        </w:rPr>
      </w:pPr>
    </w:p>
    <w:p>
      <w:pPr>
        <w:ind w:left="660" w:right="280" w:firstLine="645"/>
        <w:spacing w:after="0" w:line="289" w:lineRule="auto"/>
        <w:tabs>
          <w:tab w:leader="none" w:pos="2242" w:val="left"/>
        </w:tabs>
        <w:numPr>
          <w:ilvl w:val="0"/>
          <w:numId w:val="31"/>
        </w:numPr>
        <w:rPr>
          <w:rFonts w:ascii="Arial" w:cs="Arial" w:eastAsia="Arial" w:hAnsi="Arial"/>
          <w:sz w:val="20"/>
          <w:szCs w:val="20"/>
          <w:color w:val="auto"/>
        </w:rPr>
      </w:pPr>
      <w:r>
        <w:rPr>
          <w:rFonts w:ascii="Arial" w:cs="Arial" w:eastAsia="Arial" w:hAnsi="Arial"/>
          <w:sz w:val="20"/>
          <w:szCs w:val="20"/>
          <w:color w:val="auto"/>
        </w:rPr>
        <w:t>irrespective of the foregoing clauses (i), (ii) and (iii), 0%, if such Credit Tenant Lease Asset is a Non-Cash Flow Credit Tenant Lease Asset;</w:t>
      </w:r>
    </w:p>
    <w:p>
      <w:pPr>
        <w:spacing w:after="0" w:line="16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on any date of determination any Borrowing Base Asset meets the requirements for an Applicable Advance Rate based upon the foregoing criteria that is different than the Applicable Advance Rate as of the immediately preceding date of determination, such different Applicable Advance Rate shall apply.</w:t>
      </w:r>
    </w:p>
    <w:p>
      <w:pPr>
        <w:spacing w:after="0" w:line="186" w:lineRule="exact"/>
        <w:rPr>
          <w:sz w:val="20"/>
          <w:szCs w:val="20"/>
          <w:color w:val="auto"/>
        </w:rPr>
      </w:pPr>
    </w:p>
    <w:p>
      <w:pPr>
        <w:ind w:right="4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Lending Office</w:t>
      </w:r>
      <w:r>
        <w:rPr>
          <w:rFonts w:ascii="Arial" w:cs="Arial" w:eastAsia="Arial" w:hAnsi="Arial"/>
          <w:sz w:val="20"/>
          <w:szCs w:val="20"/>
          <w:color w:val="auto"/>
        </w:rPr>
        <w:t>” means with respect to any Bank, (i) in the case of its Base Rate Loans, its Domestic Lending Office and (ii) in the case of its Eurodollar Loans, its Eurodollar Lending Office.</w:t>
      </w:r>
    </w:p>
    <w:p>
      <w:pPr>
        <w:spacing w:after="0" w:line="177" w:lineRule="exact"/>
        <w:rPr>
          <w:sz w:val="20"/>
          <w:szCs w:val="20"/>
          <w:color w:val="auto"/>
        </w:rPr>
      </w:pPr>
    </w:p>
    <w:p>
      <w:pPr>
        <w:ind w:firstLine="129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with respect to each Loan, the respective percentages per annum determined, at any time, based on the range into which the Credit Rating then falls, in accordance with the table set forth below. Any change in the Credit Rating causing it to move to a different range on the table shall effect an immediate change in the Applicable Margin. In the event that the Borrower has two (2) or more Credit Ratings that are not equivalent, the Applicable Margin shall be determined by (A) if the difference between such Credit Ratings is one ratings category, the Applicable Rate shall be the rate per annum that would be applicable if the higher of the Credit Ratings were used, and</w:t>
      </w:r>
    </w:p>
    <w:p>
      <w:pPr>
        <w:spacing w:after="0" w:line="3" w:lineRule="exact"/>
        <w:rPr>
          <w:sz w:val="20"/>
          <w:szCs w:val="20"/>
          <w:color w:val="auto"/>
        </w:rPr>
      </w:pPr>
    </w:p>
    <w:p>
      <w:pPr>
        <w:ind w:right="120" w:firstLine="8"/>
        <w:spacing w:after="0"/>
        <w:tabs>
          <w:tab w:leader="none" w:pos="313"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the difference between such Credit Ratings is two or more ratings categories, the Applicable Rate shall be the rate per annum that would be applicable if the median of the applicable Credit Ratings were used. In the event that the Borrower has only one (1) Credit Rating, the Applicable Margin shall be determined by such Credit Rating. In the event that the Borrower does not have a Credit Rating, the Applicable Margin shall be the highest percentage per annum set forth on the table below. On the Closing Date, the Credit Rating of the Borrower is B+/B2.</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Range of the Borrower’s</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20"/>
                <w:szCs w:val="20"/>
                <w:b w:val="1"/>
                <w:bCs w:val="1"/>
                <w:color w:val="auto"/>
                <w:w w:val="93"/>
              </w:rPr>
              <w:t>Applicable Margin for Eurodollar Rate</w:t>
            </w:r>
          </w:p>
        </w:tc>
      </w:tr>
      <w:tr>
        <w:trPr>
          <w:trHeight w:val="230"/>
        </w:trPr>
        <w:tc>
          <w:tcPr>
            <w:tcW w:w="37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2"/>
              </w:rPr>
              <w:t>Credit Rating</w:t>
            </w:r>
          </w:p>
        </w:tc>
        <w:tc>
          <w:tcPr>
            <w:tcW w:w="38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0"/>
              </w:rPr>
              <w:t>Applicable Margin for Base Rate Loans</w:t>
            </w:r>
          </w:p>
        </w:tc>
        <w:tc>
          <w:tcPr>
            <w:tcW w:w="3740" w:type="dxa"/>
            <w:vAlign w:val="bottom"/>
          </w:tcPr>
          <w:p>
            <w:pPr>
              <w:jc w:val="center"/>
              <w:spacing w:after="0"/>
              <w:rPr>
                <w:sz w:val="20"/>
                <w:szCs w:val="20"/>
                <w:color w:val="auto"/>
              </w:rPr>
            </w:pPr>
            <w:r>
              <w:rPr>
                <w:rFonts w:ascii="Arial" w:cs="Arial" w:eastAsia="Arial" w:hAnsi="Arial"/>
                <w:sz w:val="20"/>
                <w:szCs w:val="20"/>
                <w:b w:val="1"/>
                <w:bCs w:val="1"/>
                <w:color w:val="auto"/>
                <w:w w:val="84"/>
              </w:rPr>
              <w:t>Loans</w:t>
            </w:r>
          </w:p>
        </w:tc>
      </w:tr>
      <w:tr>
        <w:trPr>
          <w:trHeight w:val="256"/>
        </w:trPr>
        <w:tc>
          <w:tcPr>
            <w:tcW w:w="37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1"/>
              </w:rPr>
              <w:t>(S&amp;P/Moody’s Ratings)</w:t>
            </w:r>
          </w:p>
        </w:tc>
        <w:tc>
          <w:tcPr>
            <w:tcW w:w="38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3"/>
              </w:rPr>
              <w:t>(% per annum)</w:t>
            </w:r>
          </w:p>
        </w:tc>
        <w:tc>
          <w:tcPr>
            <w:tcW w:w="3740" w:type="dxa"/>
            <w:vAlign w:val="bottom"/>
          </w:tcPr>
          <w:p>
            <w:pPr>
              <w:jc w:val="center"/>
              <w:spacing w:after="0"/>
              <w:rPr>
                <w:sz w:val="20"/>
                <w:szCs w:val="20"/>
                <w:color w:val="auto"/>
              </w:rPr>
            </w:pPr>
            <w:r>
              <w:rPr>
                <w:rFonts w:ascii="Arial" w:cs="Arial" w:eastAsia="Arial" w:hAnsi="Arial"/>
                <w:sz w:val="20"/>
                <w:szCs w:val="20"/>
                <w:b w:val="1"/>
                <w:bCs w:val="1"/>
                <w:color w:val="auto"/>
                <w:w w:val="93"/>
              </w:rPr>
              <w:t>(% per annum)</w:t>
            </w:r>
          </w:p>
        </w:tc>
      </w:tr>
      <w:tr>
        <w:trPr>
          <w:trHeight w:val="23"/>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54"/>
        </w:trPr>
        <w:tc>
          <w:tcPr>
            <w:tcW w:w="3760" w:type="dxa"/>
            <w:vAlign w:val="bottom"/>
            <w:gridSpan w:val="2"/>
          </w:tcPr>
          <w:p>
            <w:pPr>
              <w:jc w:val="center"/>
              <w:ind w:right="100"/>
              <w:spacing w:after="0"/>
              <w:rPr>
                <w:sz w:val="20"/>
                <w:szCs w:val="20"/>
                <w:color w:val="auto"/>
              </w:rPr>
            </w:pPr>
            <w:r>
              <w:rPr>
                <w:rFonts w:ascii="Arial" w:cs="Arial" w:eastAsia="Arial" w:hAnsi="Arial"/>
                <w:sz w:val="20"/>
                <w:szCs w:val="20"/>
                <w:color w:val="auto"/>
                <w:w w:val="93"/>
              </w:rPr>
              <w:t>•BB/Ba2</w:t>
            </w:r>
          </w:p>
        </w:tc>
        <w:tc>
          <w:tcPr>
            <w:tcW w:w="3760" w:type="dxa"/>
            <w:vAlign w:val="bottom"/>
          </w:tcPr>
          <w:p>
            <w:pPr>
              <w:jc w:val="center"/>
              <w:spacing w:after="0"/>
              <w:rPr>
                <w:sz w:val="20"/>
                <w:szCs w:val="20"/>
                <w:color w:val="auto"/>
              </w:rPr>
            </w:pPr>
            <w:r>
              <w:rPr>
                <w:rFonts w:ascii="Arial" w:cs="Arial" w:eastAsia="Arial" w:hAnsi="Arial"/>
                <w:sz w:val="20"/>
                <w:szCs w:val="20"/>
                <w:color w:val="auto"/>
                <w:w w:val="88"/>
              </w:rPr>
              <w:t>1.25%</w:t>
            </w:r>
          </w:p>
        </w:tc>
        <w:tc>
          <w:tcPr>
            <w:tcW w:w="120" w:type="dxa"/>
            <w:vAlign w:val="bottom"/>
          </w:tcPr>
          <w:p>
            <w:pPr>
              <w:spacing w:after="0"/>
              <w:rPr>
                <w:sz w:val="22"/>
                <w:szCs w:val="22"/>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88"/>
              </w:rPr>
              <w:t>2.25%</w:t>
            </w:r>
          </w:p>
        </w:tc>
      </w:tr>
      <w:tr>
        <w:trPr>
          <w:trHeight w:val="284"/>
        </w:trPr>
        <w:tc>
          <w:tcPr>
            <w:tcW w:w="376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•BB-/Ba3</w:t>
            </w:r>
          </w:p>
        </w:tc>
        <w:tc>
          <w:tcPr>
            <w:tcW w:w="3760" w:type="dxa"/>
            <w:vAlign w:val="bottom"/>
          </w:tcPr>
          <w:p>
            <w:pPr>
              <w:jc w:val="center"/>
              <w:spacing w:after="0"/>
              <w:rPr>
                <w:sz w:val="20"/>
                <w:szCs w:val="20"/>
                <w:color w:val="auto"/>
              </w:rPr>
            </w:pPr>
            <w:r>
              <w:rPr>
                <w:rFonts w:ascii="Arial" w:cs="Arial" w:eastAsia="Arial" w:hAnsi="Arial"/>
                <w:sz w:val="20"/>
                <w:szCs w:val="20"/>
                <w:color w:val="auto"/>
                <w:w w:val="88"/>
              </w:rPr>
              <w:t>1.50%</w:t>
            </w:r>
          </w:p>
        </w:tc>
        <w:tc>
          <w:tcPr>
            <w:tcW w:w="1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88"/>
              </w:rPr>
              <w:t>2.50%</w:t>
            </w:r>
          </w:p>
        </w:tc>
      </w:tr>
      <w:tr>
        <w:trPr>
          <w:trHeight w:val="284"/>
        </w:trPr>
        <w:tc>
          <w:tcPr>
            <w:tcW w:w="3760" w:type="dxa"/>
            <w:vAlign w:val="bottom"/>
            <w:gridSpan w:val="2"/>
          </w:tcPr>
          <w:p>
            <w:pPr>
              <w:jc w:val="center"/>
              <w:ind w:right="120"/>
              <w:spacing w:after="0"/>
              <w:rPr>
                <w:sz w:val="20"/>
                <w:szCs w:val="20"/>
                <w:color w:val="auto"/>
              </w:rPr>
            </w:pPr>
            <w:r>
              <w:rPr>
                <w:rFonts w:ascii="Arial" w:cs="Arial" w:eastAsia="Arial" w:hAnsi="Arial"/>
                <w:sz w:val="20"/>
                <w:szCs w:val="20"/>
                <w:color w:val="auto"/>
                <w:w w:val="96"/>
              </w:rPr>
              <w:t>•B+/B2</w:t>
            </w:r>
          </w:p>
        </w:tc>
        <w:tc>
          <w:tcPr>
            <w:tcW w:w="3760" w:type="dxa"/>
            <w:vAlign w:val="bottom"/>
          </w:tcPr>
          <w:p>
            <w:pPr>
              <w:jc w:val="center"/>
              <w:spacing w:after="0"/>
              <w:rPr>
                <w:sz w:val="20"/>
                <w:szCs w:val="20"/>
                <w:color w:val="auto"/>
              </w:rPr>
            </w:pPr>
            <w:r>
              <w:rPr>
                <w:rFonts w:ascii="Arial" w:cs="Arial" w:eastAsia="Arial" w:hAnsi="Arial"/>
                <w:sz w:val="20"/>
                <w:szCs w:val="20"/>
                <w:color w:val="auto"/>
                <w:w w:val="88"/>
              </w:rPr>
              <w:t>1.75%</w:t>
            </w:r>
          </w:p>
        </w:tc>
        <w:tc>
          <w:tcPr>
            <w:tcW w:w="1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88"/>
              </w:rPr>
              <w:t>2.75%</w:t>
            </w:r>
          </w:p>
        </w:tc>
      </w:tr>
      <w:tr>
        <w:trPr>
          <w:trHeight w:val="914"/>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jc w:val="right"/>
              <w:ind w:right="1583"/>
              <w:spacing w:after="0"/>
              <w:rPr>
                <w:sz w:val="20"/>
                <w:szCs w:val="20"/>
                <w:color w:val="auto"/>
              </w:rPr>
            </w:pPr>
            <w:r>
              <w:rPr>
                <w:rFonts w:ascii="Arial" w:cs="Arial" w:eastAsia="Arial" w:hAnsi="Arial"/>
                <w:sz w:val="18"/>
                <w:szCs w:val="18"/>
                <w:color w:val="auto"/>
              </w:rPr>
              <w:t>- 2 -</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400"/>
          </w:cols>
          <w:pgMar w:left="240" w:top="582" w:right="259" w:bottom="1440" w:gutter="0" w:footer="0" w:header="0"/>
        </w:sectPr>
      </w:pPr>
    </w:p>
    <w:bookmarkStart w:id="52" w:name="page53"/>
    <w:bookmarkEnd w:id="52"/>
    <w:p>
      <w:pPr>
        <w:ind w:right="1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J.P. Morgan Securities LLC, Merrill Lynch, Pierce, Fenner &amp; Smith Incorporated and Barclays Bank PLC, in their respective capacities as Joint Lead Arranger and Joint Bookrunner hereunder.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has the meaning set forth in Section 9.6(c).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means an Assignment and Assumption, in substantially the form of Exhibit H hereto.</w:t>
      </w:r>
    </w:p>
    <w:p>
      <w:pPr>
        <w:spacing w:after="0" w:line="227" w:lineRule="exact"/>
        <w:rPr>
          <w:sz w:val="20"/>
          <w:szCs w:val="20"/>
          <w:color w:val="auto"/>
        </w:rPr>
      </w:pPr>
    </w:p>
    <w:p>
      <w:pPr>
        <w:ind w:right="8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Commitment</w:t>
      </w:r>
      <w:r>
        <w:rPr>
          <w:rFonts w:ascii="Arial" w:cs="Arial" w:eastAsia="Arial" w:hAnsi="Arial"/>
          <w:sz w:val="20"/>
          <w:szCs w:val="20"/>
          <w:color w:val="auto"/>
        </w:rPr>
        <w:t>” means as to any Bank at any time, an amount equal to the excess, if any, of (a) such Bank’s Commitment then in effect over (b) such Bank’s Revolving Loans then outstanding.</w:t>
      </w:r>
    </w:p>
    <w:p>
      <w:pPr>
        <w:spacing w:after="0" w:line="177" w:lineRule="exact"/>
        <w:rPr>
          <w:sz w:val="20"/>
          <w:szCs w:val="20"/>
          <w:color w:val="auto"/>
        </w:rPr>
      </w:pPr>
    </w:p>
    <w:p>
      <w:pPr>
        <w:ind w:right="7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Average Utilization</w:t>
      </w:r>
      <w:r>
        <w:rPr>
          <w:rFonts w:ascii="Arial" w:cs="Arial" w:eastAsia="Arial" w:hAnsi="Arial"/>
          <w:sz w:val="20"/>
          <w:szCs w:val="20"/>
          <w:color w:val="auto"/>
        </w:rPr>
        <w:t>” means for any period, an amount, expressed as a percentage, equal to (a) the daily average Total Revolving Loans for such period divided by (b) the daily average Total Commitments for such period.</w:t>
      </w:r>
    </w:p>
    <w:p>
      <w:pPr>
        <w:spacing w:after="0" w:line="177"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right="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Banks</w:t>
      </w:r>
      <w:r>
        <w:rPr>
          <w:rFonts w:ascii="Arial" w:cs="Arial" w:eastAsia="Arial" w:hAnsi="Arial"/>
          <w:sz w:val="20"/>
          <w:szCs w:val="20"/>
          <w:color w:val="auto"/>
        </w:rPr>
        <w:t>” means each entity listed on the signature pages hereof as a “Bank”, each Assignee which becomes a Bank pursuant to Section 9.6(c), and their respective successors. For purposes of this Agreement, none of J.P. Morgan Securities LLC, Merrill Lynch, Pierce, Fenner &amp; Smith Incorporated or Barclays Bank PLC, shall constitute a “Bank”.</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Eurodollar Rate</w:t>
      </w:r>
      <w:r>
        <w:rPr>
          <w:rFonts w:ascii="Arial" w:cs="Arial" w:eastAsia="Arial" w:hAnsi="Arial"/>
          <w:sz w:val="18"/>
          <w:szCs w:val="18"/>
          <w:color w:val="auto"/>
        </w:rPr>
        <w:t>” means, with respect to any Eurodollar Loan for any Interest Period, the London interbank offered rate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 administered by the ICE Benchmark Administration (or any other Person that takes over the administration of such rate) for Dollars for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period equal in length to such Interest Period as displayed on pages LIBOR01 or LIBOR02 of the Reuters Screen that displays such rate (or,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event such rate does not appear on a Reuters page or screen, on any successor or substitute page on such screen that displays such rate,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appropriate page of such other information service that publishes such rate from time to time as selected by the Administrative Agent 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its reasonable discretion; in each case, the “</w:t>
      </w:r>
      <w:r>
        <w:rPr>
          <w:rFonts w:ascii="Arial" w:cs="Arial" w:eastAsia="Arial" w:hAnsi="Arial"/>
          <w:sz w:val="19"/>
          <w:szCs w:val="19"/>
          <w:u w:val="single" w:color="auto"/>
          <w:color w:val="auto"/>
        </w:rPr>
        <w:t>Screen Rate</w:t>
      </w:r>
      <w:r>
        <w:rPr>
          <w:rFonts w:ascii="Arial" w:cs="Arial" w:eastAsia="Arial" w:hAnsi="Arial"/>
          <w:sz w:val="19"/>
          <w:szCs w:val="19"/>
          <w:color w:val="auto"/>
        </w:rPr>
        <w:t>”) at approximately 11:00 A.M., London time, two Business Days prior to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the Screen Rate shall not be available at such time for such Interest Period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with respect to Dollars, then the Eurodollar Base Rate shall be the Interpolated Rate at such time; provided further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that if the Screen Rate shall be less than zero, such rate shall be deemed to be zero for purposes of this Agreement. “</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any time, the rate per annum determined by the Administrative Agent (which determination shall be conclusive and binding absent manifest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error) to be equal to the rate that results from interpolating on a linear basis between: (a) the Screen Rate for the longest period (for which that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Screen Rate is available in Dollars) that is shorter than the Impacted Interest Period and (b)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582" w:right="239" w:bottom="1440" w:gutter="0" w:footer="0" w:header="0"/>
        </w:sectPr>
      </w:pPr>
    </w:p>
    <w:bookmarkStart w:id="53" w:name="page54"/>
    <w:bookmarkEnd w:id="53"/>
    <w:p>
      <w:pPr>
        <w:jc w:val="both"/>
        <w:ind w:right="80"/>
        <w:spacing w:after="0" w:line="386" w:lineRule="auto"/>
        <w:rPr>
          <w:sz w:val="20"/>
          <w:szCs w:val="20"/>
          <w:color w:val="auto"/>
        </w:rPr>
      </w:pPr>
      <w:r>
        <w:rPr>
          <w:rFonts w:ascii="Arial" w:cs="Arial" w:eastAsia="Arial" w:hAnsi="Arial"/>
          <w:sz w:val="16"/>
          <w:szCs w:val="16"/>
          <w:color w:val="auto"/>
        </w:rPr>
        <w:t>Screen Rate for the shortest period (for which that Screen Rate is available for Dollars) that exceeds the Impacted Interest Period, in each case, at such time, provided that if the Interpolated Rate shall be less than zero, such rate shall be deemed to be zero for purposes of this Agreement.</w:t>
      </w:r>
    </w:p>
    <w:p>
      <w:pPr>
        <w:spacing w:after="0" w:line="83" w:lineRule="exact"/>
        <w:rPr>
          <w:sz w:val="20"/>
          <w:szCs w:val="20"/>
          <w:color w:val="auto"/>
        </w:rPr>
      </w:pPr>
    </w:p>
    <w:p>
      <w:pPr>
        <w:jc w:val="both"/>
        <w:ind w:right="80" w:firstLine="1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rate per annum (rounded upwards, if necessary, to the next 1/16 of 1%) equal to the greatest of (a) the Prime Rate in effect on such day, (b) the Federal Funds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½ of 1% and (c) the Eurodollar Rate on such day (or, if such day is not a Business Day, the next preceding Business Day) for a deposit in Dollars with a maturity of one month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w:t>
      </w:r>
    </w:p>
    <w:p>
      <w:pPr>
        <w:spacing w:after="0" w:line="1" w:lineRule="exact"/>
        <w:rPr>
          <w:sz w:val="20"/>
          <w:szCs w:val="20"/>
          <w:color w:val="auto"/>
        </w:rPr>
      </w:pPr>
    </w:p>
    <w:p>
      <w:pPr>
        <w:ind w:right="400"/>
        <w:spacing w:after="0" w:line="298" w:lineRule="auto"/>
        <w:rPr>
          <w:sz w:val="20"/>
          <w:szCs w:val="20"/>
          <w:color w:val="auto"/>
        </w:rPr>
      </w:pPr>
      <w:r>
        <w:rPr>
          <w:rFonts w:ascii="Arial" w:cs="Arial" w:eastAsia="Arial" w:hAnsi="Arial"/>
          <w:sz w:val="18"/>
          <w:szCs w:val="18"/>
          <w:color w:val="auto"/>
        </w:rPr>
        <w:t>Any change in the Base Rate due to a change in the Prime Rate, the Federal Funds Rate or such Eurodollar Rate shall be effective as of the opening of business on the day of such change in the Prime Rate, the Federal Funds Rate or such Eurodollar Rate, respectively.</w:t>
      </w:r>
    </w:p>
    <w:p>
      <w:pPr>
        <w:spacing w:after="0" w:line="145" w:lineRule="exact"/>
        <w:rPr>
          <w:sz w:val="20"/>
          <w:szCs w:val="20"/>
          <w:color w:val="auto"/>
        </w:rPr>
      </w:pPr>
    </w:p>
    <w:p>
      <w:pPr>
        <w:ind w:right="4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Borrowing</w:t>
      </w:r>
      <w:r>
        <w:rPr>
          <w:rFonts w:ascii="Arial" w:cs="Arial" w:eastAsia="Arial" w:hAnsi="Arial"/>
          <w:sz w:val="20"/>
          <w:szCs w:val="20"/>
          <w:color w:val="auto"/>
        </w:rPr>
        <w:t>” means a Borrowing in Dollars the interest on which is calculated by reference to the Base Rate in accordance with the provisions of this Agreement.</w:t>
      </w:r>
    </w:p>
    <w:p>
      <w:pPr>
        <w:spacing w:after="0" w:line="177"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in Dollars to be made by a Bank the interest on which is calculated by reference to the Base Rate in accordance with the provisions of this Agreement.</w:t>
      </w:r>
    </w:p>
    <w:p>
      <w:pPr>
        <w:spacing w:after="0" w:line="177"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 Value</w:t>
      </w:r>
      <w:r>
        <w:rPr>
          <w:rFonts w:ascii="Arial" w:cs="Arial" w:eastAsia="Arial" w:hAnsi="Arial"/>
          <w:sz w:val="16"/>
          <w:szCs w:val="16"/>
          <w:color w:val="auto"/>
        </w:rPr>
        <w:t>” means, as to any asset as of any date of determination, the book value of such asset at the end of the most recently ended fiscal quarter as determined in accordance with GAAP, provided that depreciation shall be added back to such book value with respect to Credit Tenant Lease Assets, but such book value with respect to all assets shall be net of any asset specific reserves and impairments.</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set forth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has the meaning set forth in Section 1.3. “</w:t>
      </w:r>
      <w:r>
        <w:rPr>
          <w:rFonts w:ascii="Arial" w:cs="Arial" w:eastAsia="Arial" w:hAnsi="Arial"/>
          <w:sz w:val="20"/>
          <w:szCs w:val="20"/>
          <w:u w:val="single" w:color="auto"/>
          <w:color w:val="auto"/>
        </w:rPr>
        <w:t>Borrowed</w:t>
      </w:r>
      <w:r>
        <w:rPr>
          <w:rFonts w:ascii="Arial" w:cs="Arial" w:eastAsia="Arial" w:hAnsi="Arial"/>
          <w:sz w:val="20"/>
          <w:szCs w:val="20"/>
          <w:color w:val="auto"/>
        </w:rPr>
        <w:t>” shall have a correlative meaning.</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u w:val="single" w:color="auto"/>
          <w:color w:val="auto"/>
        </w:rPr>
        <w:t>“Borrowing Base</w:t>
      </w:r>
      <w:r>
        <w:rPr>
          <w:rFonts w:ascii="Arial" w:cs="Arial" w:eastAsia="Arial" w:hAnsi="Arial"/>
          <w:sz w:val="20"/>
          <w:szCs w:val="20"/>
          <w:color w:val="auto"/>
        </w:rPr>
        <w:t xml:space="preserve">” means, as of any date of determination, the sum of the Borrowing Base Value of each Borrowing Base Asset as of such date as determined by the most recent Borrowing Base Certificate and adjusted as reflected in the Monthly Certificate;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Borrowing Base shall be subject to the following adjustments:</w:t>
      </w:r>
    </w:p>
    <w:p>
      <w:pPr>
        <w:spacing w:after="0" w:line="200" w:lineRule="exact"/>
        <w:rPr>
          <w:sz w:val="20"/>
          <w:szCs w:val="20"/>
          <w:color w:val="auto"/>
        </w:rPr>
      </w:pPr>
    </w:p>
    <w:p>
      <w:pPr>
        <w:ind w:left="660" w:right="40" w:firstLine="645"/>
        <w:spacing w:after="0" w:line="278" w:lineRule="auto"/>
        <w:tabs>
          <w:tab w:leader="none" w:pos="2143"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single Borrowing Base Asset (based on the Borrowing Base Value of such Borrowing Base Asset) shall comprise in excess of 25% of the Borrowing Base at the time such asset is included as a Borrowing Base Asset (and any such excess shall be disregarded for purposes of determining the Borrowing Base);</w:t>
      </w:r>
    </w:p>
    <w:p>
      <w:pPr>
        <w:spacing w:after="0" w:line="186" w:lineRule="exact"/>
        <w:rPr>
          <w:rFonts w:ascii="Arial" w:cs="Arial" w:eastAsia="Arial" w:hAnsi="Arial"/>
          <w:sz w:val="20"/>
          <w:szCs w:val="20"/>
          <w:color w:val="auto"/>
        </w:rPr>
      </w:pPr>
    </w:p>
    <w:p>
      <w:pPr>
        <w:ind w:left="660" w:right="220" w:firstLine="645"/>
        <w:spacing w:after="0" w:line="278" w:lineRule="auto"/>
        <w:tabs>
          <w:tab w:leader="none" w:pos="22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aggregate Borrowing Base Value of the three most valuable Borrowing Base Assets (based on the Borrowing Base Value of each such Borrowing Base Asset) shall not exceed 40% of the Borrowing Base at any one time (and any such excess shall be disregarded for purposes of determining the Borrowing Base);</w:t>
      </w:r>
    </w:p>
    <w:p>
      <w:pPr>
        <w:spacing w:after="0" w:line="186" w:lineRule="exact"/>
        <w:rPr>
          <w:rFonts w:ascii="Arial" w:cs="Arial" w:eastAsia="Arial" w:hAnsi="Arial"/>
          <w:sz w:val="20"/>
          <w:szCs w:val="20"/>
          <w:color w:val="auto"/>
        </w:rPr>
      </w:pPr>
    </w:p>
    <w:p>
      <w:pPr>
        <w:ind w:left="660" w:right="120" w:firstLine="645"/>
        <w:spacing w:after="0" w:line="347" w:lineRule="auto"/>
        <w:tabs>
          <w:tab w:leader="none" w:pos="2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Borrowing Base Value of all Non-Cash Flow Credit Tenant Lease Assets shall not exceed 5% of the Borrowing Base at any one time (and any such excess shall be disregarded for purposes of determining the Borrowing Base);</w:t>
      </w:r>
    </w:p>
    <w:p>
      <w:pPr>
        <w:spacing w:after="0" w:line="130" w:lineRule="exact"/>
        <w:rPr>
          <w:rFonts w:ascii="Arial" w:cs="Arial" w:eastAsia="Arial" w:hAnsi="Arial"/>
          <w:sz w:val="18"/>
          <w:szCs w:val="18"/>
          <w:color w:val="auto"/>
        </w:rPr>
      </w:pPr>
    </w:p>
    <w:p>
      <w:pPr>
        <w:ind w:left="660" w:right="40" w:firstLine="645"/>
        <w:spacing w:after="0" w:line="289" w:lineRule="auto"/>
        <w:tabs>
          <w:tab w:leader="none" w:pos="224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aggregate Borrowing Base Value of all Limited Term Credit Tenant Lease Assets, shall not exceed $50,000,000 at any one time;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5660" w:hanging="96"/>
        <w:spacing w:after="0"/>
        <w:tabs>
          <w:tab w:leader="none" w:pos="5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582" w:right="259" w:bottom="1440" w:gutter="0" w:footer="0" w:header="0"/>
        </w:sectPr>
      </w:pPr>
    </w:p>
    <w:bookmarkStart w:id="54" w:name="page55"/>
    <w:bookmarkEnd w:id="54"/>
    <w:p>
      <w:pPr>
        <w:ind w:left="660" w:firstLine="645"/>
        <w:spacing w:after="0" w:line="352" w:lineRule="auto"/>
        <w:tabs>
          <w:tab w:leader="none" w:pos="21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aggregate Borrowing Base Value of (x) each Credit Tenant Lease Asset (i) with a vacancy rate greater than 20% or (ii) with a weighted average remaining lease term of less than two (2) years in respect of the underlying leases with respect to such Credit Tenant Lease Asset as of such date of determination or (y) each Borrowing Base Asset with respect to hospitality and healthcare related stabilized assets shall not, in the aggregate for all such assets described in the foregoing clauses (x) and (y), exceed 35% of the Borrowing Base at such date of determination (and any such excess shall be disregarded for purposes of determining the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all times there shall be no less than ten (10) assets included as Borrowing Base Assets.</w:t>
      </w:r>
    </w:p>
    <w:p>
      <w:pPr>
        <w:spacing w:after="0" w:line="123" w:lineRule="exact"/>
        <w:rPr>
          <w:sz w:val="20"/>
          <w:szCs w:val="20"/>
          <w:color w:val="auto"/>
        </w:rPr>
      </w:pPr>
    </w:p>
    <w:p>
      <w:pPr>
        <w:jc w:val="both"/>
        <w:ind w:right="2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Assets</w:t>
      </w:r>
      <w:r>
        <w:rPr>
          <w:rFonts w:ascii="Arial" w:cs="Arial" w:eastAsia="Arial" w:hAnsi="Arial"/>
          <w:sz w:val="20"/>
          <w:szCs w:val="20"/>
          <w:color w:val="auto"/>
        </w:rPr>
        <w:t>” means, as of any date of determination, the Eligible Loan Assets and Eligible Credit Tenant Lease Assets constituting Collateral and Covered Assets and included in the Borrowing Base Certificate delivered on the Closing Date pursuant to Section 3.1(o) and, thereafter, pursuant to Section 5.1(i).</w:t>
      </w:r>
    </w:p>
    <w:p>
      <w:pPr>
        <w:spacing w:after="0" w:line="18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Certificate</w:t>
      </w:r>
      <w:r>
        <w:rPr>
          <w:rFonts w:ascii="Arial" w:cs="Arial" w:eastAsia="Arial" w:hAnsi="Arial"/>
          <w:sz w:val="20"/>
          <w:szCs w:val="20"/>
          <w:color w:val="auto"/>
        </w:rPr>
        <w:t>” means a certificate, signed and certified as accurate and complete by a senior financial officer of the Borrower, in substantially the form of Exhibit B.</w:t>
      </w:r>
    </w:p>
    <w:p>
      <w:pPr>
        <w:spacing w:after="0" w:line="177" w:lineRule="exact"/>
        <w:rPr>
          <w:sz w:val="20"/>
          <w:szCs w:val="20"/>
          <w:color w:val="auto"/>
        </w:rPr>
      </w:pPr>
    </w:p>
    <w:p>
      <w:pPr>
        <w:ind w:right="10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Value</w:t>
      </w:r>
      <w:r>
        <w:rPr>
          <w:rFonts w:ascii="Arial" w:cs="Arial" w:eastAsia="Arial" w:hAnsi="Arial"/>
          <w:sz w:val="20"/>
          <w:szCs w:val="20"/>
          <w:color w:val="auto"/>
        </w:rPr>
        <w:t xml:space="preserve">” means, with respect to any Borrowing Base Asset as of any date of determination, the product of (x) the Applicable Advance Rate for such Borrowing Base Asset as of such date and, (y) the Designated Valuation Amount of such Borrowing Base Asset as of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Borrowing Base Value of any Borrowing Base Asset shall be recalculated upon a material amendment or extension of the underlying lease or loan of such Borrowing Base Asset, or the execution of a new lease or loan with respect thereto and reflected in an updated BPO or subsequent Monthly Certificate or Borrowing Base Certificate, in each case delivered pursuant to Section 5.1.</w:t>
      </w:r>
    </w:p>
    <w:p>
      <w:pPr>
        <w:spacing w:after="0" w:line="197"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means any Business Day specified by the Borrower as a date on which the Borrower requests the relevant Banks to make Loans hereunder.</w:t>
      </w:r>
    </w:p>
    <w:p>
      <w:pPr>
        <w:spacing w:after="0" w:line="177" w:lineRule="exact"/>
        <w:rPr>
          <w:sz w:val="20"/>
          <w:szCs w:val="20"/>
          <w:color w:val="auto"/>
        </w:rPr>
      </w:pPr>
    </w:p>
    <w:p>
      <w:pPr>
        <w:ind w:right="5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BPO</w:t>
      </w:r>
      <w:r>
        <w:rPr>
          <w:rFonts w:ascii="Arial" w:cs="Arial" w:eastAsia="Arial" w:hAnsi="Arial"/>
          <w:sz w:val="19"/>
          <w:szCs w:val="19"/>
          <w:color w:val="auto"/>
        </w:rPr>
        <w:t>” means as to any Borrowing Base Asset, a broker’s price opinion, determined in accordance with standard market practices and upon reasonable assumptions, with respect to such Borrowing Base Asset provided by a BPO Broker.</w:t>
      </w:r>
    </w:p>
    <w:p>
      <w:pPr>
        <w:spacing w:after="0" w:line="153" w:lineRule="exact"/>
        <w:rPr>
          <w:sz w:val="20"/>
          <w:szCs w:val="20"/>
          <w:color w:val="auto"/>
        </w:rPr>
      </w:pPr>
    </w:p>
    <w:p>
      <w:pPr>
        <w:ind w:right="4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BPO Broker</w:t>
      </w:r>
      <w:r>
        <w:rPr>
          <w:rFonts w:ascii="Arial" w:cs="Arial" w:eastAsia="Arial" w:hAnsi="Arial"/>
          <w:sz w:val="20"/>
          <w:szCs w:val="20"/>
          <w:color w:val="auto"/>
        </w:rPr>
        <w:t>” shall mean HFF, Inc. and its affiliates, or such other broker reasonably acceptable to the Borrower and the Administrative Agent.</w:t>
      </w:r>
    </w:p>
    <w:p>
      <w:pPr>
        <w:spacing w:after="0" w:line="177"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BPO Value</w:t>
      </w:r>
      <w:r>
        <w:rPr>
          <w:rFonts w:ascii="Arial" w:cs="Arial" w:eastAsia="Arial" w:hAnsi="Arial"/>
          <w:sz w:val="20"/>
          <w:szCs w:val="20"/>
          <w:color w:val="auto"/>
        </w:rPr>
        <w:t>” means, as to any Borrowing Base Asset on any date of determination, the valuation of such Borrowing Base Asset at the time of inclusion thereof in the Borrowing Base as determined by the most recent BPO delivered in accordance with Section 5.1(k) with respect to such Borrowing Base Asset as of such date of determination; if the BPO Value of any Borrowing Base Asset is on any date of determination more than 100% of the Book Value of such Borrowing Base Asset, the BPO Value of such Borrowing Base Asset shall be the lower of such BPO Value and 110% of such Book Value.</w:t>
      </w:r>
    </w:p>
    <w:p>
      <w:pPr>
        <w:spacing w:after="0" w:line="195" w:lineRule="exact"/>
        <w:rPr>
          <w:sz w:val="20"/>
          <w:szCs w:val="20"/>
          <w:color w:val="auto"/>
        </w:rPr>
      </w:pPr>
    </w:p>
    <w:p>
      <w:pPr>
        <w:ind w:right="4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except a Saturday, Sunday or other day on which commercial banks in New York City are authorized by law to close.</w:t>
      </w:r>
    </w:p>
    <w:p>
      <w:pPr>
        <w:spacing w:after="0" w:line="177"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Leases</w:t>
      </w:r>
      <w:r>
        <w:rPr>
          <w:rFonts w:ascii="Arial" w:cs="Arial" w:eastAsia="Arial" w:hAnsi="Arial"/>
          <w:sz w:val="19"/>
          <w:szCs w:val="19"/>
          <w:color w:val="auto"/>
        </w:rPr>
        <w:t>” as applied to any Person, means any lease of any property (whether real, personal or mixed) by that Person as lessee which, in conformity with GAAP, is or should be accounted for as a capital lease on the balance sheet of that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595" w:right="299" w:bottom="1440" w:gutter="0" w:footer="0" w:header="0"/>
        </w:sectPr>
      </w:pPr>
    </w:p>
    <w:bookmarkStart w:id="55" w:name="page56"/>
    <w:bookmarkEnd w:id="55"/>
    <w:p>
      <w:pPr>
        <w:ind w:right="20"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or Cash Equivalents</w:t>
      </w:r>
      <w:r>
        <w:rPr>
          <w:rFonts w:ascii="Arial" w:cs="Arial" w:eastAsia="Arial" w:hAnsi="Arial"/>
          <w:sz w:val="18"/>
          <w:szCs w:val="18"/>
          <w:color w:val="auto"/>
        </w:rPr>
        <w:t xml:space="preserve">” means (a) cash; (b) marketable direct obligations issued or unconditionally guaranteed by the United States Government or issued by an agency thereof and backed by the full faith and credit of the United States, in each case maturing within one (1) year after the date of acquisition thereof; (c) marketable direct obligations issued by any state of the United States of America or any political subdivision of any such state or any public instrumentality thereof maturing within ninety (90) days after the date of acquisition thereof and, at the time of acquisition, having one of the two highest ratings obtainable from any two of S&amp;P, Moody’s or Fitch (or, if at any time no two of the foregoing shall be rating such obligations, then from such other nationally recognized rating services acceptable to the Administrative Agent); (d) commercial paper (foreign and domestic) or master notes, other than commercial paper or master notes issued by the Borrower or any of its Affiliates, and, at the time of acquisition, having a long-term rating of at least A or the equivalent from S&amp;P, Moody’s or Fitch and having a short-term rating of at least A-1, P-1 and F-1 from S&amp;P, Moody’s and Fitch, respectively (or, if at any time neither S&amp;P nor Moody’s nor Fitch shall be rating such obligations, then the highest rating from such other nationally recognized rating services acceptable to the Administrative Agent); (e) domestic and foreign certificates of deposit or domestic time deposits or foreign deposits or bankers’ acceptances (foreign or domestic) in Dollars that are issued by a bank (I) which has, at the time of acquisition, a long-term rating of at least A or the equivalent from S&amp;P, Moody’s or Fitch and (II) if a domestic bank, which is a member of the Federal Deposit Insurance Corporation; (f) overnight securities repurchase agreements, or reverse repurchase agreements secured by any of the foregoing types of securities or debt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supporting such repurchase agreements shall have a value not less than 101% of the principal amount of the repurchase agreement plus accrued interest; and (g) money market funds invested in investments substantially all of which consist of the items described in clauses (a) through (f) foregoing.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the occurrence of the event or events set forth in Section 6.1(i) or Section 6.1(j).</w:t>
      </w:r>
    </w:p>
    <w:p>
      <w:pPr>
        <w:spacing w:after="0" w:line="216"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on which the conditions set forth in Section 3.1 shall have been satisfied to the satisfaction of the Administrative Agent.</w:t>
      </w:r>
    </w:p>
    <w:p>
      <w:pPr>
        <w:spacing w:after="0" w:line="177" w:lineRule="exact"/>
        <w:rPr>
          <w:sz w:val="20"/>
          <w:szCs w:val="20"/>
          <w:color w:val="auto"/>
        </w:rPr>
      </w:pPr>
    </w:p>
    <w:p>
      <w:pPr>
        <w:ind w:right="520" w:firstLine="129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and as it may be further amended from time to time, any successor statutes thereto, and applicable U.S. Department of Treasury regulations issued pursuant thereto in temporary or final form.</w:t>
      </w:r>
    </w:p>
    <w:p>
      <w:pPr>
        <w:spacing w:after="0" w:line="83"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at any time, all of the assets of the Borrower upon which a Lien is purported to be created by the Collateral Documents. As the context may require, “Collateral” also refers to Covered Assets. For the avoidance of doubt, no Excluded Asset shall constitute Collateral or a Covered Asset.</w:t>
      </w:r>
    </w:p>
    <w:p>
      <w:pPr>
        <w:spacing w:after="0" w:line="186"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and Covered Assets List</w:t>
      </w:r>
      <w:r>
        <w:rPr>
          <w:rFonts w:ascii="Arial" w:cs="Arial" w:eastAsia="Arial" w:hAnsi="Arial"/>
          <w:sz w:val="20"/>
          <w:szCs w:val="20"/>
          <w:color w:val="auto"/>
        </w:rPr>
        <w:t>” means the list of Collateral and Covered Assets as of the Closing Date and set forth on Schedule 1.1B as such list may be modified from time to time.</w:t>
      </w:r>
    </w:p>
    <w:p>
      <w:pPr>
        <w:spacing w:after="0" w:line="177" w:lineRule="exact"/>
        <w:rPr>
          <w:sz w:val="20"/>
          <w:szCs w:val="20"/>
          <w:color w:val="auto"/>
        </w:rPr>
      </w:pPr>
    </w:p>
    <w:p>
      <w:pPr>
        <w:ind w:right="34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the Security Agreement, the Affiliate Subordination Agreement, the Negative Pledge Agreement and all other similar agreements and security documents hereafter delivered to the Administrative Agent granting a Lien on any property of the Borrower or a Covered Subsidiary to secure the obligations and liabilities of the Borrower under any Loan Document or providing rights and remedies in respect of the Collateral and the Covered Assets.</w:t>
      </w:r>
    </w:p>
    <w:p>
      <w:pPr>
        <w:spacing w:after="0" w:line="192" w:lineRule="exact"/>
        <w:rPr>
          <w:sz w:val="20"/>
          <w:szCs w:val="20"/>
          <w:color w:val="auto"/>
        </w:rPr>
      </w:pPr>
    </w:p>
    <w:p>
      <w:pPr>
        <w:jc w:val="both"/>
        <w:ind w:right="2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with respect to each Bank (x) prior to the Revolving Termination Date, the obligation of such Bank to make Revolving Loans in an aggregate principal amount not to exceed the amount set forth on Schedule 1.1A next to the name of such Bank under the heading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582" w:right="279" w:bottom="1440" w:gutter="0" w:footer="0" w:header="0"/>
        </w:sectPr>
      </w:pPr>
    </w:p>
    <w:bookmarkStart w:id="56" w:name="page57"/>
    <w:bookmarkEnd w:id="56"/>
    <w:p>
      <w:pPr>
        <w:ind w:right="120"/>
        <w:spacing w:after="0" w:line="246" w:lineRule="auto"/>
        <w:rPr>
          <w:sz w:val="20"/>
          <w:szCs w:val="20"/>
          <w:color w:val="auto"/>
        </w:rPr>
      </w:pPr>
      <w:r>
        <w:rPr>
          <w:rFonts w:ascii="Arial" w:cs="Arial" w:eastAsia="Arial" w:hAnsi="Arial"/>
          <w:sz w:val="20"/>
          <w:szCs w:val="20"/>
          <w:color w:val="auto"/>
        </w:rPr>
        <w:t>“Commitment” or in the Assignment and Assumption pursuant to which such Bank became a party hereto and (y) on Revolving Termination Date, subject to Section 2.2 and Section 3.3, the obligation of such Bank to convert all outstanding Revolving Loans made by such Bank as of such date into an equal principal amount of Term Loans and to extend the Maturity Date. The initial amount of the Total Commitments is $250,000,000.</w:t>
      </w:r>
    </w:p>
    <w:p>
      <w:pPr>
        <w:spacing w:after="0" w:line="192" w:lineRule="exact"/>
        <w:rPr>
          <w:sz w:val="20"/>
          <w:szCs w:val="20"/>
          <w:color w:val="auto"/>
        </w:rPr>
      </w:pPr>
    </w:p>
    <w:p>
      <w:pPr>
        <w:ind w:right="40"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xml:space="preserve">” means, for any day, 0.50% per annum; </w:t>
      </w:r>
      <w:r>
        <w:rPr>
          <w:rFonts w:ascii="Arial" w:cs="Arial" w:eastAsia="Arial" w:hAnsi="Arial"/>
          <w:sz w:val="20"/>
          <w:szCs w:val="20"/>
          <w:u w:val="single" w:color="auto"/>
          <w:color w:val="auto"/>
        </w:rPr>
        <w:t>provided</w:t>
      </w:r>
      <w:r>
        <w:rPr>
          <w:rFonts w:ascii="Arial" w:cs="Arial" w:eastAsia="Arial" w:hAnsi="Arial"/>
          <w:sz w:val="20"/>
          <w:szCs w:val="20"/>
          <w:color w:val="auto"/>
        </w:rPr>
        <w:t>, that on and after the date of delivery of the financial statements and certificates required by Section 5.1 for the first full fiscal quarter of the Borrower after the Closing Date, the Commitment Fee Rate will be (a) 0.375% per annum for each fiscal quarter of the Borrower during which the Average Utilization is greater than 50.0% and (b) 0.50% per annum for each fiscal quarter of the Borrower during which the Average Utilization is equal to or less than 50.0%. Changes in the Commitment Fee Rate resulting from changes in Average Utilization shall become effective on the date of delivery of the relevant quarterly financial statements required by Section 5.1, beginning with the date of delivery pursuant to Section 5.1 of financial statements covering the first full fiscal quarter of the Borrower after the Closing Date, and shall remain in effect until the next change to be effected pursuant to this sentence.</w:t>
      </w:r>
    </w:p>
    <w:p>
      <w:pPr>
        <w:spacing w:after="0" w:line="198" w:lineRule="exact"/>
        <w:rPr>
          <w:sz w:val="20"/>
          <w:szCs w:val="20"/>
          <w:color w:val="auto"/>
        </w:rPr>
      </w:pPr>
    </w:p>
    <w:p>
      <w:pPr>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 Flow</w:t>
      </w:r>
      <w:r>
        <w:rPr>
          <w:rFonts w:ascii="Arial" w:cs="Arial" w:eastAsia="Arial" w:hAnsi="Arial"/>
          <w:sz w:val="19"/>
          <w:szCs w:val="19"/>
          <w:color w:val="auto"/>
        </w:rPr>
        <w:t xml:space="preserve">” means as of any date of determination, for the period of four fiscal quarters ended on such date of determination on a consolidated basis in accordance with GAAP, the sum, without duplication, of (a) cash flows from operating activities of the Borrower and its Consolidated Subsidiaries for such period, plus (b) repayments and collections of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net proceeds from the sale/monetization of loans, real estate and other investments of the Borrower and its Consolidated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distributions from other investments of the Borrower and its Consolidated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cash interest payments paid on debt of the Borrower and its Consolidated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Taxes paid in Cash by the Borrower and its Consolidated Subsidiaries for such period, in each case as reflected in the Borrower’s consolidated statements of cash flow for such period in the form delivered pursuant to Section 5.1(a) and (b).</w:t>
      </w:r>
    </w:p>
    <w:p>
      <w:pPr>
        <w:spacing w:after="0" w:line="181"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Coverage Ratio</w:t>
      </w:r>
      <w:r>
        <w:rPr>
          <w:rFonts w:ascii="Arial" w:cs="Arial" w:eastAsia="Arial" w:hAnsi="Arial"/>
          <w:sz w:val="20"/>
          <w:szCs w:val="20"/>
          <w:color w:val="auto"/>
        </w:rPr>
        <w:t>” means, for each date of determination set forth in Section 5.9(a), the ratio of (a) Consolidated Cash Flow as of such date of determination to (b) Consolidated Fixed Charges as of such date of determination.</w:t>
      </w:r>
    </w:p>
    <w:p>
      <w:pPr>
        <w:spacing w:after="0" w:line="177" w:lineRule="exact"/>
        <w:rPr>
          <w:sz w:val="20"/>
          <w:szCs w:val="20"/>
          <w:color w:val="auto"/>
        </w:rPr>
      </w:pPr>
    </w:p>
    <w:p>
      <w:pPr>
        <w:ind w:right="10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means as of any date of determination, for the period of four fiscal quarters ended on such date of determination, the sum of (a) the total cash interest expense (including imputed interest expense attributable to Capital Leases) of the Borrower and its Consolidated Subsidiaries on all outstanding Indebtedness of the Borrower and its Consolidated Subsidiaries for such period (assuming for purposes of determining such interest expense that the Total Commitments have been fully Borrowed hereunder during such period) determined in accordance with GAAP and (b) total cash dividends on preferred units payable by the Borrower during such period.</w:t>
      </w:r>
    </w:p>
    <w:p>
      <w:pPr>
        <w:spacing w:after="0" w:line="165"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Subsidiary</w:t>
      </w:r>
      <w:r>
        <w:rPr>
          <w:rFonts w:ascii="Arial" w:cs="Arial" w:eastAsia="Arial" w:hAnsi="Arial"/>
          <w:sz w:val="20"/>
          <w:szCs w:val="20"/>
          <w:color w:val="auto"/>
        </w:rPr>
        <w:t>” means at any date (i) any Covered Subsidiary and (ii) any other Subsidiary or other entity which is consolidated with the Borrower in accordance with GAAP.</w:t>
      </w:r>
    </w:p>
    <w:p>
      <w:pPr>
        <w:spacing w:after="0" w:line="177" w:lineRule="exact"/>
        <w:rPr>
          <w:sz w:val="20"/>
          <w:szCs w:val="20"/>
          <w:color w:val="auto"/>
        </w:rPr>
      </w:pPr>
    </w:p>
    <w:p>
      <w:pPr>
        <w:ind w:right="6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Tangible Net Worth</w:t>
      </w:r>
      <w:r>
        <w:rPr>
          <w:rFonts w:ascii="Arial" w:cs="Arial" w:eastAsia="Arial" w:hAnsi="Arial"/>
          <w:sz w:val="20"/>
          <w:szCs w:val="20"/>
          <w:color w:val="auto"/>
        </w:rPr>
        <w:t>” means, at any time, the tangible net worth of the Borrower, on a consolidated basis, determined in accordance with GAAP.</w:t>
      </w:r>
    </w:p>
    <w:p>
      <w:pPr>
        <w:spacing w:after="0" w:line="177" w:lineRule="exact"/>
        <w:rPr>
          <w:sz w:val="20"/>
          <w:szCs w:val="20"/>
          <w:color w:val="auto"/>
        </w:rPr>
      </w:pPr>
    </w:p>
    <w:p>
      <w:pPr>
        <w:ind w:right="6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as to any Person means, without duplication, (i) any contingent obligation of such Person required to be shown on such Person’s balance sheet in accordance with GAAP which is not otherwise Indebtedness, and (ii) any obligation required to be disclosed in accordance with GAAP in the footnotes to such Person’s financial statements, guaranteeing partially or in whole any Non-Recourse Indebtedness, lease, dividend or other obligation including guarantees of completion 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582" w:right="27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8"/>
          <w:szCs w:val="18"/>
          <w:color w:val="auto"/>
        </w:rPr>
        <w:t xml:space="preserve">guarantees of representations and warranties,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Contingent Obligations shall not include contractual indemnities (including, without limitation, any indemnity or price-adjustment provision relating to the purchase or sale of securities or other assets) and guarantees of non-monetary obligations (other than as described above) which have not yet been called on or quantified, of such Person or of any other Person. The amount of any Contingent Obligation described in clause (ii) shall be deemed to be (a) with respect to a guaranty of interest or interest and principal, or operating income guaranty, the Net Present Value of the sum of all payments required to be made thereunder (which in the case of an operating income guaranty shall be deemed to be equal to the debt service for the note secured thereby), through (i) in the case of an interest or interest and principal guaranty, the stated date of maturity of the obligation (and commencing on the date interest could first be payable thereunder), or (ii) in the case of an operating income guaranty, the date through which such guaranty will remain in effect, and (b) with respect to all guarantees not covered by the preceding clause (a), an amount equal to the stated or determinable amount of the primary obligation in respect of which such guaranty is made or, if not stated or determinable, the maximum reasonably anticipated liability in respect thereof (assuming such Person is required to perform thereunder) as recorded on the balance sheet and on the footnotes to the most recent financial statements of the Borrower required to be delivered pursuant to Section 5.1 hereof. Notwithstanding anything contained herein to the contrary, guarantees of completion shall not be deemed to be Contingent Obligations unless and until a claim for payment or performance has been made thereunder, at which time any such guaranty of completion shall be deemed to be a Contingent Obligation in an amount equal to any such claim. All matters constituting “Contingent Obligations” shall be calculated without duplication.</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 Notice</w:t>
      </w:r>
      <w:r>
        <w:rPr>
          <w:rFonts w:ascii="Arial" w:cs="Arial" w:eastAsia="Arial" w:hAnsi="Arial"/>
          <w:sz w:val="20"/>
          <w:szCs w:val="20"/>
          <w:color w:val="auto"/>
        </w:rPr>
        <w:t>” has the meaning set forth in Section 2.2(a).</w:t>
      </w:r>
    </w:p>
    <w:p>
      <w:pPr>
        <w:spacing w:after="0" w:line="216" w:lineRule="exact"/>
        <w:rPr>
          <w:sz w:val="20"/>
          <w:szCs w:val="20"/>
          <w:color w:val="auto"/>
        </w:rPr>
      </w:pPr>
    </w:p>
    <w:p>
      <w:pPr>
        <w:jc w:val="both"/>
        <w:ind w:right="4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Assets</w:t>
      </w:r>
      <w:r>
        <w:rPr>
          <w:rFonts w:ascii="Arial" w:cs="Arial" w:eastAsia="Arial" w:hAnsi="Arial"/>
          <w:sz w:val="20"/>
          <w:szCs w:val="20"/>
          <w:color w:val="auto"/>
        </w:rPr>
        <w:t>” means, as of any date of determination, (a) the Loan Assets and the Credit Tenant Lease Assets directly owned by a Pledged Subsidiary and (b) interests in a Pledged Subsidiary owned by the Borrower, in each case listed on the Collateral and Covered Asset List.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means (i) the Borrower and (ii) each Covered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Subsidiary</w:t>
      </w:r>
      <w:r>
        <w:rPr>
          <w:rFonts w:ascii="Arial" w:cs="Arial" w:eastAsia="Arial" w:hAnsi="Arial"/>
          <w:sz w:val="20"/>
          <w:szCs w:val="20"/>
          <w:color w:val="auto"/>
        </w:rPr>
        <w:t>” means each (i) Pledged Subsidiary and (ii) Subsidiary of a Pledged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Ratings</w:t>
      </w:r>
      <w:r>
        <w:rPr>
          <w:rFonts w:ascii="Arial" w:cs="Arial" w:eastAsia="Arial" w:hAnsi="Arial"/>
          <w:sz w:val="20"/>
          <w:szCs w:val="20"/>
          <w:color w:val="auto"/>
        </w:rPr>
        <w:t>” means the Borrower’s corporate rating assigned by the Rating Agencies.</w:t>
      </w:r>
    </w:p>
    <w:p>
      <w:pPr>
        <w:spacing w:after="0" w:line="216" w:lineRule="exact"/>
        <w:rPr>
          <w:sz w:val="20"/>
          <w:szCs w:val="20"/>
          <w:color w:val="auto"/>
        </w:rPr>
      </w:pPr>
    </w:p>
    <w:p>
      <w:pPr>
        <w:ind w:right="260"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Tenant Lease Asset</w:t>
      </w:r>
      <w:r>
        <w:rPr>
          <w:rFonts w:ascii="Arial" w:cs="Arial" w:eastAsia="Arial" w:hAnsi="Arial"/>
          <w:sz w:val="18"/>
          <w:szCs w:val="18"/>
          <w:color w:val="auto"/>
        </w:rPr>
        <w:t>” means (a) for any such assets initially included in the Borrowing Base on the Closing Date, a property owned by the Covered Subsidiaries and identified on the Collateral and Covered Assets List on the Closing Date as a credit tenant lease asset, or (b) for any assets added to the Borrowing Base after the Closing Date, a property owned by a Pledged Subsidiary which is (i) leased to a governmental entity, (ii) leased to a tenant (or guaranteed by a Person) with an Investment Grade Rating, (iii) a property which, if unavailable to a tenant, would materially impair the continued operation of such tenant, including without limitation, a headquarters facility, distribution center, manufacturing facility, or a pool or class of multiple properties leased under a blanket lease or (iv) identified by the Borrower as a credit tenant lease asset in the ordinary course of business and consistent with its past practices.</w:t>
      </w:r>
    </w:p>
    <w:p>
      <w:pPr>
        <w:spacing w:after="0" w:line="169"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condition or event which with the giving of notice or lapse of time or both would, unless cured or waived, become an Event of Default.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has the meaning set forth in Section 2.7(c).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582" w:right="259" w:bottom="1440" w:gutter="0" w:footer="0" w:header="0"/>
        </w:sectPr>
      </w:pPr>
    </w:p>
    <w:bookmarkStart w:id="58" w:name="page59"/>
    <w:bookmarkEnd w:id="5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Bank</w:t>
      </w:r>
      <w:r>
        <w:rPr>
          <w:rFonts w:ascii="Arial" w:cs="Arial" w:eastAsia="Arial" w:hAnsi="Arial"/>
          <w:sz w:val="18"/>
          <w:szCs w:val="18"/>
          <w:color w:val="auto"/>
        </w:rPr>
        <w:t>” means any Bank that (a) has failed, within two Business Days of the date required to be funded or paid, to</w:t>
      </w:r>
    </w:p>
    <w:p>
      <w:pPr>
        <w:spacing w:after="0" w:line="39" w:lineRule="exact"/>
        <w:rPr>
          <w:sz w:val="20"/>
          <w:szCs w:val="20"/>
          <w:color w:val="auto"/>
        </w:rPr>
      </w:pPr>
    </w:p>
    <w:p>
      <w:pPr>
        <w:ind w:right="120" w:firstLine="8"/>
        <w:spacing w:after="0" w:line="269" w:lineRule="auto"/>
        <w:tabs>
          <w:tab w:leader="none" w:pos="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fund any portion of its Loans, or (ii) pay over to the Administrative Agent or the other Banks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(b) has notified the Borrower or the Administrative Agent and the other Banks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the Administrative Agent or applicable Bank, acting in good faith, to provide a certification in writing from an authorized officer of such Bank that it will comply with its obligations (and is financially able to meet such obligations) to fund prospective Loans under this Agreement, provided that such Bank shall cease to be a Defaulting Bank pursuant to this clause (c) upon the Administrative Agent or the applicable Bank’s receipt of such certification in form and substance satisfactory to it and the Administrative Agent, or (d) has become the subject of a Bankruptcy Event.</w:t>
      </w:r>
    </w:p>
    <w:p>
      <w:pPr>
        <w:spacing w:after="0" w:line="171"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Valuation Amount</w:t>
      </w:r>
      <w:r>
        <w:rPr>
          <w:rFonts w:ascii="Arial" w:cs="Arial" w:eastAsia="Arial" w:hAnsi="Arial"/>
          <w:sz w:val="20"/>
          <w:szCs w:val="20"/>
          <w:color w:val="auto"/>
        </w:rPr>
        <w:t xml:space="preserve">” means, as of any date of determination, as to any single asset included as a Borrowing Base Asset, the BPO Value of such Borrowing Base Asset as of such date of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0" w:lineRule="exact"/>
        <w:rPr>
          <w:sz w:val="20"/>
          <w:szCs w:val="20"/>
          <w:color w:val="auto"/>
        </w:rPr>
      </w:pPr>
    </w:p>
    <w:p>
      <w:pPr>
        <w:ind w:left="660" w:right="20" w:firstLine="645"/>
        <w:spacing w:after="0" w:line="274" w:lineRule="auto"/>
        <w:tabs>
          <w:tab w:leader="none" w:pos="2143"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there is a write-down with respect to the Book Value of such asset or a specific reserve is taken with respect to such asset, the Designated Valuation Amount of such asset shall be the lesser of (x) the Book Value of such asset, after giving effect to such write-down or asset specific reserve, and (y) the BPO Value of such asset, after giving effect to such write-down and asset specific reserve;</w:t>
      </w:r>
    </w:p>
    <w:p>
      <w:pPr>
        <w:spacing w:after="0" w:line="192" w:lineRule="exact"/>
        <w:rPr>
          <w:rFonts w:ascii="Arial" w:cs="Arial" w:eastAsia="Arial" w:hAnsi="Arial"/>
          <w:sz w:val="20"/>
          <w:szCs w:val="20"/>
          <w:color w:val="auto"/>
        </w:rPr>
      </w:pPr>
    </w:p>
    <w:p>
      <w:pPr>
        <w:ind w:left="660" w:firstLine="645"/>
        <w:spacing w:after="0" w:line="314" w:lineRule="auto"/>
        <w:tabs>
          <w:tab w:leader="none" w:pos="2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Designated Valuation Amount of a Loan Asset shall be the lesser of (x) the Book Value of such Loan Asset adjusted (but, in no event below zero) to reflect principal payments actually paid or prepaid on account of such Loan Assets as reflected on the most recent Monthly Certificate and (y) the BPO Value of such Loan Asset adjusted (but, in no event below zero) to reflect principal payments actually paid or prepaid on account of such Loan Assets as reflected on the most recent Monthly Certificate;</w:t>
      </w:r>
    </w:p>
    <w:p>
      <w:pPr>
        <w:spacing w:after="0" w:line="159" w:lineRule="exact"/>
        <w:rPr>
          <w:rFonts w:ascii="Arial" w:cs="Arial" w:eastAsia="Arial" w:hAnsi="Arial"/>
          <w:sz w:val="18"/>
          <w:szCs w:val="18"/>
          <w:color w:val="auto"/>
        </w:rPr>
      </w:pPr>
    </w:p>
    <w:p>
      <w:pPr>
        <w:ind w:left="660" w:right="20" w:firstLine="645"/>
        <w:spacing w:after="0" w:line="278" w:lineRule="auto"/>
        <w:tabs>
          <w:tab w:leader="none" w:pos="2253"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Designated Valuation Amount of a Loan Asset that is included as a Borrowing Base Asset after the Closing Date and for which the Look-Through LTV is greater than 70% as of such date shall be reduced such that the Look-Through LTV is not greater than 70% after giving effect to such reduction;</w:t>
      </w:r>
    </w:p>
    <w:p>
      <w:pPr>
        <w:spacing w:after="0" w:line="186" w:lineRule="exact"/>
        <w:rPr>
          <w:rFonts w:ascii="Arial" w:cs="Arial" w:eastAsia="Arial" w:hAnsi="Arial"/>
          <w:sz w:val="20"/>
          <w:szCs w:val="20"/>
          <w:color w:val="auto"/>
        </w:rPr>
      </w:pPr>
    </w:p>
    <w:p>
      <w:pPr>
        <w:ind w:left="660" w:right="140" w:firstLine="645"/>
        <w:spacing w:after="0" w:line="274" w:lineRule="auto"/>
        <w:tabs>
          <w:tab w:leader="none" w:pos="2242"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Designated Valuation Amount of a Borrowing Base Asset during the 90-day grace period during which a BPO is required to be delivered pursuant to Section 5.1(k) shall be the Book Value until such BPO is delivered in accordance with Section 5.1(k);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Designated Valuation Amount of a Borrowing Base Asset for which a BPO has not be delivered within the 90-day period required by Section 5.1(k) shall be zero;</w:t>
      </w:r>
    </w:p>
    <w:p>
      <w:pPr>
        <w:spacing w:after="0" w:line="192" w:lineRule="exact"/>
        <w:rPr>
          <w:rFonts w:ascii="Arial" w:cs="Arial" w:eastAsia="Arial" w:hAnsi="Arial"/>
          <w:sz w:val="20"/>
          <w:szCs w:val="20"/>
          <w:color w:val="auto"/>
        </w:rPr>
      </w:pPr>
    </w:p>
    <w:p>
      <w:pPr>
        <w:ind w:left="2180" w:hanging="875"/>
        <w:spacing w:after="0"/>
        <w:tabs>
          <w:tab w:leader="none" w:pos="2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Designated Valuation Amount of a Loan Asset that becomes a Non-Performing Loan Assets shall be zero;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660" w:hanging="96"/>
        <w:spacing w:after="0"/>
        <w:tabs>
          <w:tab w:leader="none" w:pos="5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582" w:right="239" w:bottom="1440" w:gutter="0" w:footer="0" w:header="0"/>
        </w:sectPr>
      </w:pPr>
    </w:p>
    <w:bookmarkStart w:id="59" w:name="page60"/>
    <w:bookmarkEnd w:id="59"/>
    <w:p>
      <w:pPr>
        <w:ind w:left="2240" w:hanging="935"/>
        <w:spacing w:after="0"/>
        <w:tabs>
          <w:tab w:leader="none" w:pos="2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Designated Valuation Amount of any Borrowing Base Asset that is subject to a Lien that is not a Permitted Lien</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shall be zero;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means the lawful money of the United States.</w:t>
      </w:r>
    </w:p>
    <w:p>
      <w:pPr>
        <w:spacing w:after="0" w:line="216" w:lineRule="exact"/>
        <w:rPr>
          <w:sz w:val="20"/>
          <w:szCs w:val="20"/>
          <w:color w:val="auto"/>
        </w:rPr>
      </w:pPr>
    </w:p>
    <w:p>
      <w:pPr>
        <w:ind w:right="32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Lending Office</w:t>
      </w:r>
      <w:r>
        <w:rPr>
          <w:rFonts w:ascii="Arial" w:cs="Arial" w:eastAsia="Arial" w:hAnsi="Arial"/>
          <w:sz w:val="19"/>
          <w:szCs w:val="19"/>
          <w:color w:val="auto"/>
        </w:rPr>
        <w:t>” means, as to each Bank, its office located at its address in the United States set forth in its Administrative Questionnaire (or identified in its Administrative Questionnaire as its Domestic Lending Office) or such other office as such Bank may hereafter designate as its Domestic Lending Office by notice to the Borrower and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Credit Tenant Lease Asset</w:t>
      </w:r>
      <w:r>
        <w:rPr>
          <w:rFonts w:ascii="Arial" w:cs="Arial" w:eastAsia="Arial" w:hAnsi="Arial"/>
          <w:sz w:val="20"/>
          <w:szCs w:val="20"/>
          <w:color w:val="auto"/>
        </w:rPr>
        <w:t xml:space="preserve">” means the Credit Tenant Lease Assets, </w:t>
      </w:r>
      <w:r>
        <w:rPr>
          <w:rFonts w:ascii="Arial" w:cs="Arial" w:eastAsia="Arial" w:hAnsi="Arial"/>
          <w:sz w:val="20"/>
          <w:szCs w:val="20"/>
          <w:u w:val="single" w:color="auto"/>
          <w:color w:val="auto"/>
        </w:rPr>
        <w:t>provided that</w:t>
      </w:r>
      <w:r>
        <w:rPr>
          <w:rFonts w:ascii="Arial" w:cs="Arial" w:eastAsia="Arial" w:hAnsi="Arial"/>
          <w:sz w:val="20"/>
          <w:szCs w:val="20"/>
          <w:color w:val="auto"/>
        </w:rPr>
        <w:t>:</w:t>
      </w:r>
    </w:p>
    <w:p>
      <w:pPr>
        <w:spacing w:after="0" w:line="229" w:lineRule="exact"/>
        <w:rPr>
          <w:sz w:val="20"/>
          <w:szCs w:val="20"/>
          <w:color w:val="auto"/>
        </w:rPr>
      </w:pPr>
    </w:p>
    <w:p>
      <w:pPr>
        <w:ind w:right="80" w:firstLine="1305"/>
        <w:spacing w:after="0" w:line="272" w:lineRule="auto"/>
        <w:tabs>
          <w:tab w:leader="none" w:pos="2164"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such Credit Tenant Lease Asset shall (i) as to any Credit Tenant Lease Asset added as a Covered Asset after the Closing Date, be wholly-owned by a Pledged Subsidiary and the underlying real property in respect of such Credit Tenant Lease Asset shall be owned in fee simple by such Pledged Subsidiary, (ii) have a vacancy rate of less than 20% as of the date such Credit Tenant Lease Asset is added as a Borrowing Base Asset, and (iii) as to any Credit Tenant Lease Asset added as a Covered Asset after the Closing Date, have one or more leases with a weighted average remaining lease term of not less than five (5) years as of the date such Credit Tenant Lease Asset is added as a Borrowing Base Asset;</w:t>
      </w:r>
    </w:p>
    <w:p>
      <w:pPr>
        <w:spacing w:after="0" w:line="191" w:lineRule="exact"/>
        <w:rPr>
          <w:rFonts w:ascii="Arial" w:cs="Arial" w:eastAsia="Arial" w:hAnsi="Arial"/>
          <w:sz w:val="20"/>
          <w:szCs w:val="20"/>
          <w:color w:val="auto"/>
        </w:rPr>
      </w:pPr>
    </w:p>
    <w:p>
      <w:pPr>
        <w:ind w:left="2180" w:hanging="875"/>
        <w:spacing w:after="0"/>
        <w:tabs>
          <w:tab w:leader="none" w:pos="21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real property underlying any such Credit Tenant Lease Asset shall not be subject to a Mortgage and</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Credit Tenant Lease Asset shall have been added to the Covered Assets in accordance with Section 2.18.</w:t>
      </w:r>
    </w:p>
    <w:p>
      <w:pPr>
        <w:spacing w:after="0" w:line="252" w:lineRule="exact"/>
        <w:rPr>
          <w:sz w:val="20"/>
          <w:szCs w:val="20"/>
          <w:color w:val="auto"/>
        </w:rPr>
      </w:pPr>
    </w:p>
    <w:p>
      <w:pPr>
        <w:ind w:right="4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Loan Assets</w:t>
      </w:r>
      <w:r>
        <w:rPr>
          <w:rFonts w:ascii="Arial" w:cs="Arial" w:eastAsia="Arial" w:hAnsi="Arial"/>
          <w:sz w:val="20"/>
          <w:szCs w:val="20"/>
          <w:color w:val="auto"/>
        </w:rPr>
        <w:t xml:space="preserve">” means the Loan Assets of any Pledged Subsidiary, including without limitation, Loan Assets with respect to hospitality and healthcare related stabilized assets, </w:t>
      </w:r>
      <w:r>
        <w:rPr>
          <w:rFonts w:ascii="Arial" w:cs="Arial" w:eastAsia="Arial" w:hAnsi="Arial"/>
          <w:sz w:val="20"/>
          <w:szCs w:val="20"/>
          <w:u w:val="single" w:color="auto"/>
          <w:color w:val="auto"/>
        </w:rPr>
        <w:t>provided t</w:t>
      </w:r>
      <w:r>
        <w:rPr>
          <w:rFonts w:ascii="Arial" w:cs="Arial" w:eastAsia="Arial" w:hAnsi="Arial"/>
          <w:sz w:val="20"/>
          <w:szCs w:val="20"/>
          <w:color w:val="auto"/>
        </w:rPr>
        <w:t>hat:</w:t>
      </w:r>
    </w:p>
    <w:p>
      <w:pPr>
        <w:spacing w:after="0" w:line="190" w:lineRule="exact"/>
        <w:rPr>
          <w:sz w:val="20"/>
          <w:szCs w:val="20"/>
          <w:color w:val="auto"/>
        </w:rPr>
      </w:pPr>
    </w:p>
    <w:p>
      <w:pPr>
        <w:ind w:left="2180" w:hanging="875"/>
        <w:spacing w:after="0"/>
        <w:tabs>
          <w:tab w:leader="none" w:pos="2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such Loan Asset shall be wholly-owned by a Pledged Subsidiary;</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such Loan Asset shall not be in respect of undeveloped land or transitional properties, or constitute construction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and development loans;</w:t>
      </w:r>
    </w:p>
    <w:p>
      <w:pPr>
        <w:spacing w:after="0" w:line="242" w:lineRule="exact"/>
        <w:rPr>
          <w:rFonts w:ascii="Arial" w:cs="Arial" w:eastAsia="Arial" w:hAnsi="Arial"/>
          <w:sz w:val="16"/>
          <w:szCs w:val="16"/>
          <w:color w:val="auto"/>
        </w:rPr>
      </w:pPr>
    </w:p>
    <w:p>
      <w:pPr>
        <w:jc w:val="both"/>
        <w:ind w:firstLine="1305"/>
        <w:spacing w:after="0" w:line="278" w:lineRule="auto"/>
        <w:tabs>
          <w:tab w:leader="none" w:pos="2143"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any such Loan Asset shall not be contractually or structurally junior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any other loans, or secured by Mortgages that are junior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Mortgages securing other loans encumbering shared collateral, unless such senior or </w:t>
      </w:r>
      <w:r>
        <w:rPr>
          <w:rFonts w:ascii="Arial" w:cs="Arial" w:eastAsia="Arial" w:hAnsi="Arial"/>
          <w:sz w:val="20"/>
          <w:szCs w:val="20"/>
          <w:i w:val="1"/>
          <w:iCs w:val="1"/>
          <w:color w:val="auto"/>
        </w:rPr>
        <w:t>pari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passu </w:t>
      </w:r>
      <w:r>
        <w:rPr>
          <w:rFonts w:ascii="Arial" w:cs="Arial" w:eastAsia="Arial" w:hAnsi="Arial"/>
          <w:sz w:val="20"/>
          <w:szCs w:val="20"/>
          <w:color w:val="auto"/>
        </w:rPr>
        <w:t>loan is also a Borrowing Base Asset; and</w:t>
      </w:r>
    </w:p>
    <w:p>
      <w:pPr>
        <w:spacing w:after="0" w:line="186" w:lineRule="exact"/>
        <w:rPr>
          <w:rFonts w:ascii="Arial" w:cs="Arial" w:eastAsia="Arial" w:hAnsi="Arial"/>
          <w:sz w:val="20"/>
          <w:szCs w:val="20"/>
          <w:color w:val="auto"/>
        </w:rPr>
      </w:pPr>
    </w:p>
    <w:p>
      <w:pPr>
        <w:ind w:left="2180" w:hanging="875"/>
        <w:spacing w:after="0"/>
        <w:tabs>
          <w:tab w:leader="none" w:pos="21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such Loan Assets shall have been added to the Covered Assets in accordance with Section 2.18.</w:t>
      </w:r>
    </w:p>
    <w:p>
      <w:pPr>
        <w:spacing w:after="0" w:line="229" w:lineRule="exact"/>
        <w:rPr>
          <w:sz w:val="20"/>
          <w:szCs w:val="20"/>
          <w:color w:val="auto"/>
        </w:rPr>
      </w:pPr>
    </w:p>
    <w:p>
      <w:pPr>
        <w:ind w:right="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Affiliate</w:t>
      </w:r>
      <w:r>
        <w:rPr>
          <w:rFonts w:ascii="Arial" w:cs="Arial" w:eastAsia="Arial" w:hAnsi="Arial"/>
          <w:sz w:val="20"/>
          <w:szCs w:val="20"/>
          <w:color w:val="auto"/>
        </w:rPr>
        <w:t>” means any partnership, joint venture, trust or corporation in which an equity interest is owned directly or indirectly by the Borrower and, as a result of the ownership of such equity interest, the Borrower may become subject to liability for Environmental Claims against such partnership, joint venture, trust or corporation (or the property thereof).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595" w:right="259" w:bottom="1440" w:gutter="0" w:footer="0" w:header="0"/>
        </w:sectPr>
      </w:pPr>
    </w:p>
    <w:bookmarkStart w:id="60" w:name="page61"/>
    <w:bookmarkEnd w:id="60"/>
    <w:p>
      <w:pPr>
        <w:ind w:right="40"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w:t>
      </w:r>
      <w:r>
        <w:rPr>
          <w:rFonts w:ascii="Arial" w:cs="Arial" w:eastAsia="Arial" w:hAnsi="Arial"/>
          <w:sz w:val="19"/>
          <w:szCs w:val="19"/>
          <w:color w:val="auto"/>
        </w:rPr>
        <w:t>” means, with respect to any Person, any notice, claim, demand or similar communication (written or oral) by any other Person alleging potential liability of such Person for investigatory costs, cleanup costs, governmental response costs, natural resources damage, property damages, personal injuries, fines or penalties arising out of, based on or resulting, directly or indirectly, from (i) the presence, or release into the environment, of any Materials of Environmental Concern at any location, whether or not owned by such Person or (ii) circumstances forming the basis of any violation, or alleged violation, of any Environmental Law.</w:t>
      </w:r>
    </w:p>
    <w:p>
      <w:pPr>
        <w:spacing w:after="0" w:line="181" w:lineRule="exact"/>
        <w:rPr>
          <w:sz w:val="20"/>
          <w:szCs w:val="20"/>
          <w:color w:val="auto"/>
        </w:rPr>
      </w:pPr>
    </w:p>
    <w:p>
      <w:pPr>
        <w:ind w:right="3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and local statutes, laws (including common law), judicial decisions, regulations, ordinances, rules, judgments, orders, decrees, plans, injunctions, permits, concessions, grants, licenses, agreements and other governmental restrictions relating to protection of the environment or of human health or safety (as affected by exposure to harmful or deleterious substances).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or any successor statute.</w:t>
      </w:r>
    </w:p>
    <w:p>
      <w:pPr>
        <w:spacing w:after="0" w:line="216" w:lineRule="exact"/>
        <w:rPr>
          <w:sz w:val="20"/>
          <w:szCs w:val="20"/>
          <w:color w:val="auto"/>
        </w:rPr>
      </w:pPr>
    </w:p>
    <w:p>
      <w:pPr>
        <w:ind w:right="10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Group</w:t>
      </w:r>
      <w:r>
        <w:rPr>
          <w:rFonts w:ascii="Arial" w:cs="Arial" w:eastAsia="Arial" w:hAnsi="Arial"/>
          <w:sz w:val="20"/>
          <w:szCs w:val="20"/>
          <w:color w:val="auto"/>
        </w:rPr>
        <w:t>” means the Borrower, any Subsidiary, and all members of a controlled group of corporations and all trades or businesses (whether or not incorporated) under common control and all members of an “affiliated service group” which, together with the Borrower, or any Subsidiary, are treated as a single employer under Section 414 of the Code or Section 4001(b)(1) of ERISA. Any former member of the ERISA Group shall continue to be considered a member of the ERISA Group within the meaning of this definition with respect to the period such entity was a member of the ERISA Group.</w:t>
      </w:r>
    </w:p>
    <w:p>
      <w:pPr>
        <w:spacing w:after="0" w:line="195" w:lineRule="exact"/>
        <w:rPr>
          <w:sz w:val="20"/>
          <w:szCs w:val="20"/>
          <w:color w:val="auto"/>
        </w:rPr>
      </w:pPr>
    </w:p>
    <w:p>
      <w:pPr>
        <w:ind w:right="20"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Reserve Percentage</w:t>
      </w:r>
      <w:r>
        <w:rPr>
          <w:rFonts w:ascii="Arial" w:cs="Arial" w:eastAsia="Arial" w:hAnsi="Arial"/>
          <w:sz w:val="19"/>
          <w:szCs w:val="19"/>
          <w:color w:val="auto"/>
        </w:rPr>
        <w:t>” means, for any day as applied to a Eurodollar Loan, the aggregate (without duplication) of the maximum rates (expressed as a decimal fraction) of reserve requirements in effect on such day (including basic, supplemental, marginal and emergency reserves) under any regulations of the Federal Reserve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Borrowing</w:t>
      </w:r>
      <w:r>
        <w:rPr>
          <w:rFonts w:ascii="Arial" w:cs="Arial" w:eastAsia="Arial" w:hAnsi="Arial"/>
          <w:sz w:val="20"/>
          <w:szCs w:val="20"/>
          <w:color w:val="auto"/>
        </w:rPr>
        <w:t>” has the meaning set forth in Section 1.3.</w:t>
      </w:r>
    </w:p>
    <w:p>
      <w:pPr>
        <w:spacing w:after="0" w:line="216"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Business Day</w:t>
      </w:r>
      <w:r>
        <w:rPr>
          <w:rFonts w:ascii="Arial" w:cs="Arial" w:eastAsia="Arial" w:hAnsi="Arial"/>
          <w:sz w:val="20"/>
          <w:szCs w:val="20"/>
          <w:color w:val="auto"/>
        </w:rPr>
        <w:t>” means any Business Day on which banks are open for dealings in deposits in Dollars in the London interbank market.</w:t>
      </w:r>
    </w:p>
    <w:p>
      <w:pPr>
        <w:spacing w:after="0" w:line="177" w:lineRule="exact"/>
        <w:rPr>
          <w:sz w:val="20"/>
          <w:szCs w:val="20"/>
          <w:color w:val="auto"/>
        </w:rPr>
      </w:pPr>
    </w:p>
    <w:p>
      <w:pPr>
        <w:ind w:right="2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as to each Bank, its office, branch or affiliate located at its address set forth in its Administrative Questionnaire (or identified in its Administrative Questionnaire as its Eurodollar Lending Office) or such other office, branch or affiliate of such Bank as it may hereafter designate as its Eurodollar Lending Office by notice to the Borrower and the Administrative Agent.</w:t>
      </w:r>
    </w:p>
    <w:p>
      <w:pPr>
        <w:spacing w:after="0" w:line="152"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Loan</w:t>
      </w:r>
      <w:r>
        <w:rPr>
          <w:rFonts w:ascii="Arial" w:cs="Arial" w:eastAsia="Arial" w:hAnsi="Arial"/>
          <w:sz w:val="20"/>
          <w:szCs w:val="20"/>
          <w:color w:val="auto"/>
        </w:rPr>
        <w:t>” means a Loan in Dollars, the interest on which is calculated by reference to the Eurodollar Rate, made or to be made by a Bank in accordance with the applicable Notice of Borrowing.</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 with respect to each day during each Interest Period pertaining to a Eurodollar Loan, a rate per annum determined for such day in accordance with the following formula: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582" w:right="239" w:bottom="1440" w:gutter="0" w:footer="0" w:header="0"/>
        </w:sectPr>
      </w:pPr>
    </w:p>
    <w:bookmarkStart w:id="61" w:name="page62"/>
    <w:bookmarkEnd w:id="61"/>
    <w:p>
      <w:pPr>
        <w:ind w:left="4860"/>
        <w:spacing w:after="0"/>
        <w:rPr>
          <w:sz w:val="20"/>
          <w:szCs w:val="20"/>
          <w:color w:val="auto"/>
        </w:rPr>
      </w:pPr>
      <w:r>
        <w:rPr>
          <w:rFonts w:ascii="Arial" w:cs="Arial" w:eastAsia="Arial" w:hAnsi="Arial"/>
          <w:sz w:val="20"/>
          <w:szCs w:val="20"/>
          <w:color w:val="auto"/>
        </w:rPr>
        <w:t>Base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27305</wp:posOffset>
            </wp:positionV>
            <wp:extent cx="3524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47"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1.00 - Eurocurrency Reserve Percentage</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set forth in Section 6.1.</w:t>
      </w:r>
    </w:p>
    <w:p>
      <w:pPr>
        <w:spacing w:after="0" w:line="216"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the assets owned by the Covered Subsidiaries as of the Closing Date identified on Schedule 1.1D, none of which shall be included as a Borrowing Base Asset or constitute a Covered Asset.</w:t>
      </w:r>
    </w:p>
    <w:p>
      <w:pPr>
        <w:spacing w:after="0" w:line="177" w:lineRule="exact"/>
        <w:rPr>
          <w:sz w:val="20"/>
          <w:szCs w:val="20"/>
          <w:color w:val="auto"/>
        </w:rPr>
      </w:pPr>
    </w:p>
    <w:p>
      <w:pPr>
        <w:ind w:right="60"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Collateral Cash Flow</w:t>
      </w:r>
      <w:r>
        <w:rPr>
          <w:rFonts w:ascii="Arial" w:cs="Arial" w:eastAsia="Arial" w:hAnsi="Arial"/>
          <w:sz w:val="19"/>
          <w:szCs w:val="19"/>
          <w:color w:val="auto"/>
        </w:rPr>
        <w:t xml:space="preserve">” means, for any date of determination, the regularly scheduled amortization, interest and rent income from the Borrowing Base Assets included in the Borrowing Base as of the date of determination for the period of four fiscal quarters ended as of such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Credit Tenant Lease Asset that was added as a Borrowing Base Asset since the end of such period and that has a lease term that begins on or after such date of determination, the Facility Collateral Cash Flow with respect to such Borrowing Base Asset shall equal, on a pro forma basis, the projected rental income therefrom for the period of four fiscal quarters commencing on such date of determination (or for each date of determination for the subsequent three quarters, for the three quarter, two quarter and one quarter period, respectively, after such date of determination).</w:t>
      </w:r>
    </w:p>
    <w:p>
      <w:pPr>
        <w:spacing w:after="0" w:line="179" w:lineRule="exact"/>
        <w:rPr>
          <w:sz w:val="20"/>
          <w:szCs w:val="20"/>
          <w:color w:val="auto"/>
        </w:rPr>
      </w:pPr>
    </w:p>
    <w:p>
      <w:pPr>
        <w:ind w:right="2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Collateral Coverage Ratio”</w:t>
      </w:r>
      <w:r>
        <w:rPr>
          <w:rFonts w:ascii="Arial" w:cs="Arial" w:eastAsia="Arial" w:hAnsi="Arial"/>
          <w:sz w:val="19"/>
          <w:szCs w:val="19"/>
          <w:color w:val="auto"/>
        </w:rPr>
        <w:t xml:space="preserve"> means, for each date of determination set forth in Section 5.9(b), the ratio of (a) Facility Collateral Cash Flow as of such date of determination to (b) Facility Interest Expense as of such date of determination.</w:t>
      </w:r>
    </w:p>
    <w:p>
      <w:pPr>
        <w:spacing w:after="0" w:line="153"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Interest Expense</w:t>
      </w:r>
      <w:r>
        <w:rPr>
          <w:rFonts w:ascii="Arial" w:cs="Arial" w:eastAsia="Arial" w:hAnsi="Arial"/>
          <w:sz w:val="20"/>
          <w:szCs w:val="20"/>
          <w:color w:val="auto"/>
        </w:rPr>
        <w:t>” means, for any date of determination, the total cash interest expense (including Commitment Fees) of the Borrower payable with respect to the Loans for the period of four fiscal quarters ended as of such date of determination (assuming for purposes of determining such interest expense that the Total Commitments have been fully Borrowed hereunder during such period) determined in accordance with GAAP.</w:t>
      </w:r>
    </w:p>
    <w:p>
      <w:pPr>
        <w:spacing w:after="0" w:line="192" w:lineRule="exact"/>
        <w:rPr>
          <w:sz w:val="20"/>
          <w:szCs w:val="20"/>
          <w:color w:val="auto"/>
        </w:rPr>
      </w:pPr>
    </w:p>
    <w:p>
      <w:pPr>
        <w:jc w:val="both"/>
        <w:ind w:right="5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186"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JPMorgan Chase Bank, N.A. from three federal funds brokers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shall be less than zero, such rate shall be deemed to be zero for purposes of this Agreement.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as constituted from time to time.</w:t>
      </w:r>
    </w:p>
    <w:p>
      <w:pPr>
        <w:spacing w:after="0" w:line="239"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Date</w:t>
      </w:r>
      <w:r>
        <w:rPr>
          <w:rFonts w:ascii="Arial" w:cs="Arial" w:eastAsia="Arial" w:hAnsi="Arial"/>
          <w:sz w:val="20"/>
          <w:szCs w:val="20"/>
          <w:color w:val="auto"/>
        </w:rPr>
        <w:t>” means (a) the first Business Day of each January, April, July and October and (b) the last day of the Revolving Commitment Period.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 Fiscal Year.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Borrower.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744" w:right="239" w:bottom="1440" w:gutter="0" w:footer="0" w:header="0"/>
        </w:sectPr>
      </w:pPr>
    </w:p>
    <w:bookmarkStart w:id="62" w:name="page63"/>
    <w:bookmarkEnd w:id="62"/>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Investor Services, Inc., or any successor thereto.</w:t>
      </w:r>
    </w:p>
    <w:p>
      <w:pPr>
        <w:spacing w:after="0" w:line="216" w:lineRule="exact"/>
        <w:rPr>
          <w:sz w:val="20"/>
          <w:szCs w:val="20"/>
          <w:color w:val="auto"/>
        </w:rPr>
      </w:pPr>
    </w:p>
    <w:p>
      <w:pPr>
        <w:ind w:firstLine="1297"/>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as in effect from time to time, except that for purposes of Section 5.1, GAAP shall be determined on the basis of such principles in effect on the date hereof and consistent with those used in the preparation of the most recent audited financial statements referred to in Section 5.1(a). In the event that any “</w:t>
      </w:r>
      <w:r>
        <w:rPr>
          <w:rFonts w:ascii="Arial" w:cs="Arial" w:eastAsia="Arial" w:hAnsi="Arial"/>
          <w:sz w:val="16"/>
          <w:szCs w:val="16"/>
          <w:u w:val="single" w:color="auto"/>
          <w:color w:val="auto"/>
        </w:rPr>
        <w:t>Accounting Change</w:t>
      </w:r>
      <w:r>
        <w:rPr>
          <w:rFonts w:ascii="Arial" w:cs="Arial" w:eastAsia="Arial" w:hAnsi="Arial"/>
          <w:sz w:val="16"/>
          <w:szCs w:val="16"/>
          <w:color w:val="auto"/>
        </w:rPr>
        <w:t>”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Banks, all financial covenants, standards and terms in this Agreement shall continue to be calculated or construed as if such Accounting Changes had not occurred. “Accounting Changes” refers to changes in accounting principles required by the promulgation of any rule, regulation, pronouncement or opinion by the Financial Accounting Standards Board of the American Institute of Certified Public Accountants or, if applicable, the SEC.</w:t>
      </w:r>
    </w:p>
    <w:p>
      <w:pPr>
        <w:spacing w:after="0" w:line="380" w:lineRule="exact"/>
        <w:rPr>
          <w:sz w:val="20"/>
          <w:szCs w:val="20"/>
          <w:color w:val="auto"/>
        </w:rPr>
      </w:pPr>
    </w:p>
    <w:p>
      <w:pPr>
        <w:ind w:right="2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of Loans</w:t>
      </w:r>
      <w:r>
        <w:rPr>
          <w:rFonts w:ascii="Arial" w:cs="Arial" w:eastAsia="Arial" w:hAnsi="Arial"/>
          <w:sz w:val="18"/>
          <w:szCs w:val="18"/>
          <w:color w:val="auto"/>
        </w:rPr>
        <w:t>” means, at any time, a group of Loans consisting of (i) all Loans which are Base Rate Loans at such time, or</w:t>
      </w:r>
    </w:p>
    <w:p>
      <w:pPr>
        <w:spacing w:after="0" w:line="39" w:lineRule="exact"/>
        <w:rPr>
          <w:sz w:val="20"/>
          <w:szCs w:val="20"/>
          <w:color w:val="auto"/>
        </w:rPr>
      </w:pPr>
    </w:p>
    <w:p>
      <w:pPr>
        <w:ind w:firstLine="8"/>
        <w:spacing w:after="0" w:line="241" w:lineRule="auto"/>
        <w:tabs>
          <w:tab w:leader="none" w:pos="291"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all Eurodollar Loans having the same Interest Period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Loan of any particular Bank is converted to or made as a Base Rate Loan pursuant to Section 8.2 or Section 8.5, such Loan shall be included in the same Group or Groups of Loans from time to time as it would have been in if it had not been so converted or made.</w:t>
      </w:r>
    </w:p>
    <w:p>
      <w:pPr>
        <w:spacing w:after="0" w:line="196" w:lineRule="exact"/>
        <w:rPr>
          <w:sz w:val="20"/>
          <w:szCs w:val="20"/>
          <w:color w:val="auto"/>
        </w:rPr>
      </w:pPr>
    </w:p>
    <w:p>
      <w:pPr>
        <w:ind w:right="60"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applied to any Person, means, at any time, without duplication, (a) all indebtedness, obligations or other liabilities of such Person (i) for borrowed money (including construction loans) or evidenced by debt securities, debentures, acceptances, notes or other similar instruments, and any accrued interest, fees and charges relating thereto, (ii) under profit payment agreements or in respect of obligations to redeem, repurchase or exchange any Securities of such Person or to pay dividends in respect of any stock, (iii) with respect to letters of credit issued for such Person’s account, (iv) to pay the deferred purchase price of property or services, except accounts payable and accrued expenses arising in the ordinary course of business, (v) in respect of Capital Leases, (vi) which are Contingent Obligations or (vii) under warranties and indemnities; (b) all indebtedness, obligations or other liabilities of such Person or others secured by a Lien on any property of such Person, whether or not such indebtedness, obligations or liabilities are assumed by such Person, all as of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value of such indebtedness, obligations or liabilities shall be limited to the lesser of (x) the amount of such indebtedness, obligations or liabilities assumed by such Person and (y) the undepreciated book value of the property subject to such Lien, determined in accordance with GAAP, and less any impairment charge; (c) all indebtedness, obligations or other liabilities of such Person in respect of Interest Rate Contracts and foreign exchange contracts, net of liabilities owed to such Person by the counterparties thereon; (d) all preferred stock subject (upon the occurrence of any contingency or otherwise) to mandatory redemption; and (e) all contingent contractual obligations with respect to any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set forth in Section 9.3(b).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582" w:right="259" w:bottom="1440" w:gutter="0" w:footer="0" w:header="0"/>
        </w:sectPr>
      </w:pPr>
    </w:p>
    <w:bookmarkStart w:id="63" w:name="page64"/>
    <w:bookmarkEnd w:id="63"/>
    <w:p>
      <w:pPr>
        <w:ind w:right="2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w:t>
      </w:r>
      <w:r>
        <w:rPr>
          <w:rFonts w:ascii="Arial" w:cs="Arial" w:eastAsia="Arial" w:hAnsi="Arial"/>
          <w:sz w:val="20"/>
          <w:szCs w:val="20"/>
          <w:color w:val="auto"/>
        </w:rPr>
        <w:t>” means with respect to any Multiemployer Plan, the condition that such plan is insolvent within the meaning of Section 4245 of ERISA.</w:t>
      </w:r>
    </w:p>
    <w:p>
      <w:pPr>
        <w:spacing w:after="0" w:line="177" w:lineRule="exact"/>
        <w:rPr>
          <w:sz w:val="20"/>
          <w:szCs w:val="20"/>
          <w:color w:val="auto"/>
        </w:rPr>
      </w:pPr>
    </w:p>
    <w:p>
      <w:pPr>
        <w:jc w:val="both"/>
        <w:ind w:right="10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each Eurodollar Borrowing, the period commencing on the date of such Borrowing specified in the Notice of Borrowing or on the date specified in the applicable Notice of Interest Rate Election and ending 1, 2, 3 or 6 months (or, if available to all Banks, one week) thereafter as the Borrower may elect in the applicable Notice of Interest Rate Election;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52" w:lineRule="exact"/>
        <w:rPr>
          <w:sz w:val="20"/>
          <w:szCs w:val="20"/>
          <w:color w:val="auto"/>
        </w:rPr>
      </w:pPr>
    </w:p>
    <w:p>
      <w:pPr>
        <w:ind w:left="660" w:right="60" w:firstLine="645"/>
        <w:spacing w:after="0" w:line="250" w:lineRule="auto"/>
        <w:tabs>
          <w:tab w:leader="none" w:pos="1726"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Interest Period which would otherwise end on a day which is not a Eurodollar Business Day shall be extended to the next succeeding Eurodollar Business Day unless such Eurodollar Business Day falls in another calendar month, in which case such Interest Period shall end on the immediately preceding Eurodollar Business Day;</w:t>
      </w:r>
    </w:p>
    <w:p>
      <w:pPr>
        <w:spacing w:after="0" w:line="186" w:lineRule="exact"/>
        <w:rPr>
          <w:rFonts w:ascii="Arial" w:cs="Arial" w:eastAsia="Arial" w:hAnsi="Arial"/>
          <w:sz w:val="20"/>
          <w:szCs w:val="20"/>
          <w:color w:val="auto"/>
        </w:rPr>
      </w:pPr>
    </w:p>
    <w:p>
      <w:pPr>
        <w:ind w:left="660" w:right="60" w:firstLine="645"/>
        <w:spacing w:after="0" w:line="250" w:lineRule="auto"/>
        <w:tabs>
          <w:tab w:leader="none" w:pos="1737"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Interest Period which begins on the last Eurodollar Business Day of a calendar month (or on a day for which there is no numerically corresponding day in the calendar month at the end of such Interest Period) shall end on the last Eurodollar Business Day of a calendar month; and</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Interest Period may end later than the Maturity Date.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Contracts</w:t>
      </w:r>
      <w:r>
        <w:rPr>
          <w:rFonts w:ascii="Arial" w:cs="Arial" w:eastAsia="Arial" w:hAnsi="Arial"/>
          <w:sz w:val="18"/>
          <w:szCs w:val="18"/>
          <w:color w:val="auto"/>
        </w:rPr>
        <w:t>” means, collectively, interest rate swap, collar, cap or similar agreements providing interest rate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protection.</w:t>
      </w:r>
    </w:p>
    <w:p>
      <w:pPr>
        <w:spacing w:after="0" w:line="200"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Affiliate</w:t>
      </w:r>
      <w:r>
        <w:rPr>
          <w:rFonts w:ascii="Arial" w:cs="Arial" w:eastAsia="Arial" w:hAnsi="Arial"/>
          <w:sz w:val="20"/>
          <w:szCs w:val="20"/>
          <w:color w:val="auto"/>
        </w:rPr>
        <w:t>” means any joint venture or Subsidiary, whose financial results are not consolidated under GAAP with the financial results of the Borrower on the consolidated financial statements of the Borrower.</w:t>
      </w:r>
    </w:p>
    <w:p>
      <w:pPr>
        <w:spacing w:after="0" w:line="177" w:lineRule="exact"/>
        <w:rPr>
          <w:sz w:val="20"/>
          <w:szCs w:val="20"/>
          <w:color w:val="auto"/>
        </w:rPr>
      </w:pPr>
    </w:p>
    <w:p>
      <w:pPr>
        <w:jc w:val="both"/>
        <w:ind w:right="12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for a Person’s senior long-term unsecured debt of BBB- or better from S&amp;P or of Baa3 or better from Moody’s. In the event that the Borrower receives Credit Ratings from S&amp;P and Moody’s, and such Credit Ratings are not equivalent, the lower of such two (2) Credit Ratings shall be used to determine whether an Investment Grade Rating was achieved.</w:t>
      </w:r>
    </w:p>
    <w:p>
      <w:pPr>
        <w:spacing w:after="0" w:line="152" w:lineRule="exact"/>
        <w:rPr>
          <w:sz w:val="20"/>
          <w:szCs w:val="20"/>
          <w:color w:val="auto"/>
        </w:rPr>
      </w:pPr>
    </w:p>
    <w:p>
      <w:pPr>
        <w:ind w:right="20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asset, any mortgage, lien, pledge, charge, security interest or encumbrance of any kind, or any other type of preferential arrangement, in each case that has the effect of creating a security interest in respect of such asset. For the purposes of this Agreement, the Borrower or any Consolidated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195" w:lineRule="exact"/>
        <w:rPr>
          <w:sz w:val="20"/>
          <w:szCs w:val="20"/>
          <w:color w:val="auto"/>
        </w:rPr>
      </w:pPr>
    </w:p>
    <w:p>
      <w:pPr>
        <w:jc w:val="both"/>
        <w:ind w:right="1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Term Credit Tenant Lease Asset</w:t>
      </w:r>
      <w:r>
        <w:rPr>
          <w:rFonts w:ascii="Arial" w:cs="Arial" w:eastAsia="Arial" w:hAnsi="Arial"/>
          <w:sz w:val="20"/>
          <w:szCs w:val="20"/>
          <w:color w:val="auto"/>
        </w:rPr>
        <w:t>” means a Credit Tenant Lease Asset that is added as a Borrowing Base Asset after the Closing Date and for which the weighted average remaining lease term is greater than five (5) years but less than eight (8) years from the date such Credit Tenant Lease Asset is added.</w:t>
      </w:r>
    </w:p>
    <w:p>
      <w:pPr>
        <w:spacing w:after="0" w:line="18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the Revolving Loans until such time that such Loans are converted into Term Loans pursuant to Section 2.2 and Section 3.3 and the Term Loans.</w:t>
      </w:r>
    </w:p>
    <w:p>
      <w:pPr>
        <w:spacing w:after="0" w:line="177"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Assets</w:t>
      </w:r>
      <w:r>
        <w:rPr>
          <w:rFonts w:ascii="Arial" w:cs="Arial" w:eastAsia="Arial" w:hAnsi="Arial"/>
          <w:sz w:val="20"/>
          <w:szCs w:val="20"/>
          <w:color w:val="auto"/>
        </w:rPr>
        <w:t>” means senior or subordinated loans that may be either fixed or variable rate, including, without limitation, first mortgages, second mortgages, mezzanine loans, repurchase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40"/>
          </w:cols>
          <w:pgMar w:left="240" w:top="582"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agreements, participations in loans, interim facilities, corporate loans, debt securities, “B” notes and collateralized mortgage-backed securities.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any Notes and each Collateral Document.</w:t>
      </w:r>
    </w:p>
    <w:p>
      <w:pPr>
        <w:spacing w:after="0" w:line="216" w:lineRule="exact"/>
        <w:rPr>
          <w:sz w:val="20"/>
          <w:szCs w:val="20"/>
          <w:color w:val="auto"/>
        </w:rPr>
      </w:pPr>
    </w:p>
    <w:p>
      <w:pPr>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Look-Through LTV</w:t>
      </w:r>
      <w:r>
        <w:rPr>
          <w:rFonts w:ascii="Arial" w:cs="Arial" w:eastAsia="Arial" w:hAnsi="Arial"/>
          <w:sz w:val="19"/>
          <w:szCs w:val="19"/>
          <w:color w:val="auto"/>
        </w:rPr>
        <w:t xml:space="preserve">” means, as to any Loan Asset as of any determination date, the ratio of (x) the sum of the principal amount of such Loan Asset (including all capitalized interest) plus the outstanding principal amount of all other loans (including all capitalized interest) that are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senior in right of payment (whether structurally or contractually) to such Loan Asset, or that are secured by </w:t>
      </w:r>
      <w:r>
        <w:rPr>
          <w:rFonts w:ascii="Arial" w:cs="Arial" w:eastAsia="Arial" w:hAnsi="Arial"/>
          <w:sz w:val="19"/>
          <w:szCs w:val="19"/>
          <w:i w:val="1"/>
          <w:iCs w:val="1"/>
          <w:color w:val="auto"/>
        </w:rPr>
        <w:t>pari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passu </w:t>
      </w:r>
      <w:r>
        <w:rPr>
          <w:rFonts w:ascii="Arial" w:cs="Arial" w:eastAsia="Arial" w:hAnsi="Arial"/>
          <w:sz w:val="19"/>
          <w:szCs w:val="19"/>
          <w:color w:val="auto"/>
        </w:rPr>
        <w:t>or senior Mortgages with respect to common collateral to (y) the value of the common collateral as determined in good faith by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in accordance with its customary underwriting standards consistently applied at the end of the most recently ended fiscal quarter as of such date of determination in accordance with GAAP, consistently applied.</w:t>
      </w:r>
    </w:p>
    <w:p>
      <w:pPr>
        <w:spacing w:after="0" w:line="179" w:lineRule="exact"/>
        <w:rPr>
          <w:sz w:val="20"/>
          <w:szCs w:val="20"/>
          <w:color w:val="auto"/>
        </w:rPr>
      </w:pPr>
    </w:p>
    <w:p>
      <w:pPr>
        <w:ind w:right="120" w:firstLine="1297"/>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 effect resulting from any circumstance or event or series of circumstances or events, of whatever nature (but excluding general economic conditions), which does or could reasonably be expected to, materially and adversely impair</w:t>
      </w:r>
    </w:p>
    <w:p>
      <w:pPr>
        <w:spacing w:after="0" w:line="1" w:lineRule="exact"/>
        <w:rPr>
          <w:sz w:val="20"/>
          <w:szCs w:val="20"/>
          <w:color w:val="auto"/>
        </w:rPr>
      </w:pPr>
    </w:p>
    <w:p>
      <w:pPr>
        <w:ind w:right="180" w:firstLine="8"/>
        <w:spacing w:after="0" w:line="244" w:lineRule="auto"/>
        <w:tabs>
          <w:tab w:leader="none" w:pos="23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ability of the Covered Parties, taken as a whole, to perform their respective obligations under the Loan Documents, or (ii) the ability of the Administrative Agent or the Banks to enforce the Loan Documents.</w:t>
      </w:r>
    </w:p>
    <w:p>
      <w:pPr>
        <w:spacing w:after="0" w:line="192" w:lineRule="exact"/>
        <w:rPr>
          <w:sz w:val="20"/>
          <w:szCs w:val="20"/>
          <w:color w:val="auto"/>
        </w:rPr>
      </w:pPr>
    </w:p>
    <w:p>
      <w:pPr>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Default</w:t>
      </w:r>
      <w:r>
        <w:rPr>
          <w:rFonts w:ascii="Arial" w:cs="Arial" w:eastAsia="Arial" w:hAnsi="Arial"/>
          <w:sz w:val="19"/>
          <w:szCs w:val="19"/>
          <w:color w:val="auto"/>
        </w:rPr>
        <w:t>” means (i) any Payment Default, (ii) any Default resulting from the Borrower’s failure to be in compliance with any covenant contained in Section 5.1(a), (b), (c) , (d)(i)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officer of the Borrower that, in such case, has obtained knowledge of the applicable Default or Event of Default is any of the president, chief executive officer, chief financial officer or chief operating officer of the Borrower or any officer performing the customary duties of any such position), (i), (j) or (k), 5.8, 5.9, 5.10, 5.11, 5.15 or 5.18 or (iii) any other material Default as to which the Borrower shall have received written notice.</w:t>
      </w:r>
    </w:p>
    <w:p>
      <w:pPr>
        <w:spacing w:after="0" w:line="181" w:lineRule="exact"/>
        <w:rPr>
          <w:sz w:val="20"/>
          <w:szCs w:val="20"/>
          <w:color w:val="auto"/>
        </w:rPr>
      </w:pPr>
    </w:p>
    <w:p>
      <w:pPr>
        <w:ind w:right="1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Materials of Environmental Concern</w:t>
      </w:r>
      <w:r>
        <w:rPr>
          <w:rFonts w:ascii="Arial" w:cs="Arial" w:eastAsia="Arial" w:hAnsi="Arial"/>
          <w:sz w:val="20"/>
          <w:szCs w:val="20"/>
          <w:color w:val="auto"/>
        </w:rPr>
        <w:t>” means and includes any pollutants, contaminants, hazardous wastes, toxic and hazardous substances, asbestos, lead, petroleum and petroleum by-products, and any other substances regulated pursuant to, or that could give rise to liability under, Environmental Law.</w:t>
      </w:r>
    </w:p>
    <w:p>
      <w:pPr>
        <w:spacing w:after="0" w:line="186" w:lineRule="exact"/>
        <w:rPr>
          <w:sz w:val="20"/>
          <w:szCs w:val="20"/>
          <w:color w:val="auto"/>
        </w:rPr>
      </w:pPr>
    </w:p>
    <w:p>
      <w:pPr>
        <w:ind w:right="3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the date when all Obligations hereunder shall be due and payable, which shall be the Revolving Termination Date or, if the Revolving Loans are converted into Terms Loans subject to Sections 2.2 and 3.3, the Term Loan Maturity Date, unless in either case otherwise accelerated pursuant to the terms 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Monthly Certificate</w:t>
      </w:r>
      <w:r>
        <w:rPr>
          <w:rFonts w:ascii="Arial" w:cs="Arial" w:eastAsia="Arial" w:hAnsi="Arial"/>
          <w:sz w:val="20"/>
          <w:szCs w:val="20"/>
          <w:color w:val="auto"/>
        </w:rPr>
        <w:t>” has the meaning set forth in Section 5.1(j).</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Services, Inc. or any successor thereto.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a mortgage, deed of trust, deed to secured debt or similar security interest.</w:t>
      </w:r>
    </w:p>
    <w:p>
      <w:pPr>
        <w:spacing w:after="0" w:line="216"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at any time an employee pension benefit plan within the meaning of Section 4001(a)(3) of ERISA to which any member of the ERISA Group is then making or accruing an obligation to make contributions or has at any time after September 25, 1980 made contributions or has been required to make contributions (for these purposes any Person which ceased to be a member of the ERISA Group after September 25, 1980 will be treated as a member of the ERISA Group).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582" w:right="259" w:bottom="1440" w:gutter="0" w:footer="0" w:header="0"/>
        </w:sectPr>
      </w:pPr>
    </w:p>
    <w:bookmarkStart w:id="65" w:name="page66"/>
    <w:bookmarkEnd w:id="65"/>
    <w:p>
      <w:pPr>
        <w:ind w:right="1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Negative Pledge Agreement</w:t>
      </w:r>
      <w:r>
        <w:rPr>
          <w:rFonts w:ascii="Arial" w:cs="Arial" w:eastAsia="Arial" w:hAnsi="Arial"/>
          <w:sz w:val="20"/>
          <w:szCs w:val="20"/>
          <w:color w:val="auto"/>
        </w:rPr>
        <w:t>” means the Negative Pledge Agreement, dated the date hereof, among the Covered Subsidiaries and the Administrative Agent, substantially in the form of Exhibit C, as the same may be amended, modified or supplemented from time to time.</w:t>
      </w:r>
    </w:p>
    <w:p>
      <w:pPr>
        <w:spacing w:after="0" w:line="186"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Present Value</w:t>
      </w:r>
      <w:r>
        <w:rPr>
          <w:rFonts w:ascii="Arial" w:cs="Arial" w:eastAsia="Arial" w:hAnsi="Arial"/>
          <w:sz w:val="20"/>
          <w:szCs w:val="20"/>
          <w:color w:val="auto"/>
        </w:rPr>
        <w:t>” means, as to a specified or ascertainable Dollar amount, the present value, as of the date of calculation of any such amount using a discount rate equal to the Base Rate in effect as of the date of such calculation.</w:t>
      </w:r>
    </w:p>
    <w:p>
      <w:pPr>
        <w:spacing w:after="0" w:line="177" w:lineRule="exact"/>
        <w:rPr>
          <w:sz w:val="20"/>
          <w:szCs w:val="20"/>
          <w:color w:val="auto"/>
        </w:rPr>
      </w:pPr>
    </w:p>
    <w:p>
      <w:pPr>
        <w:ind w:right="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Non-Cash Flow Credit Tenant Lease Asset</w:t>
      </w:r>
      <w:r>
        <w:rPr>
          <w:rFonts w:ascii="Arial" w:cs="Arial" w:eastAsia="Arial" w:hAnsi="Arial"/>
          <w:sz w:val="20"/>
          <w:szCs w:val="20"/>
          <w:color w:val="auto"/>
        </w:rPr>
        <w:t>” means, as of any date of determination, a Credit Tenant Lease Asset for which no income is being generated as of such date of determination and no income has been generated for a period of six months or longer as of such date of determination.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has the meaning set forth in Section 8.4(a).</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Non-Performing Loan Assets</w:t>
      </w:r>
      <w:r>
        <w:rPr>
          <w:rFonts w:ascii="Arial" w:cs="Arial" w:eastAsia="Arial" w:hAnsi="Arial"/>
          <w:sz w:val="20"/>
          <w:szCs w:val="20"/>
          <w:color w:val="auto"/>
        </w:rPr>
        <w:t>” means any Loan Asset classified as non-performing in accordance with the Borrower’s internal procedures, consistent with past practice.</w:t>
      </w:r>
    </w:p>
    <w:p>
      <w:pPr>
        <w:spacing w:after="0" w:line="177" w:lineRule="exact"/>
        <w:rPr>
          <w:sz w:val="20"/>
          <w:szCs w:val="20"/>
          <w:color w:val="auto"/>
        </w:rPr>
      </w:pPr>
    </w:p>
    <w:p>
      <w:pPr>
        <w:ind w:right="60"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Indebtedness</w:t>
      </w:r>
      <w:r>
        <w:rPr>
          <w:rFonts w:ascii="Arial" w:cs="Arial" w:eastAsia="Arial" w:hAnsi="Arial"/>
          <w:sz w:val="19"/>
          <w:szCs w:val="19"/>
          <w:color w:val="auto"/>
        </w:rPr>
        <w:t>” means Indebtedness with respect to which recourse for payment is limited to (i) specific assets related to a particular Property or group of Properties encumbered by a Lien securing such Indebtedness or (ii) for all purposes other than Section 6.1(e) hereof,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Subsidiary is a partnership, there is no recourse to the Borrower as a general partner of such partnership);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portion of Indebtedness is so limited, then such portion shall constitute Non-Recourse Indebtedness and only the remainder of such Indebtedness shall constitute Recourse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personal recourse of the Borrower for any such Indebtedness for fraud, misrepresentation, misapplication of cash, waste, Environmental Claims and liabilities and other circumstances customarily excluded by institutional lenders from exculpation provisions and/or included in separate indemnification agreements in non-recourse financing of real estate shall not, by itself, prevent such Indebtedness from being characterized as Non-Recourse Indebtedness.</w:t>
      </w:r>
    </w:p>
    <w:p>
      <w:pPr>
        <w:spacing w:after="0" w:line="185"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any promissory notes of the Borrower, substantially in the form of Exhibit D hereto, evidencing the obligation of the Borrower to repay the Loans, and “Note” means any one of such promissory notes issued hereunder.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means a notice from the Borrower in accordance with Section 2.3 and substantially in the form attached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Exhibit 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Interest Rate Election</w:t>
      </w:r>
      <w:r>
        <w:rPr>
          <w:rFonts w:ascii="Arial" w:cs="Arial" w:eastAsia="Arial" w:hAnsi="Arial"/>
          <w:sz w:val="20"/>
          <w:szCs w:val="20"/>
          <w:color w:val="auto"/>
        </w:rPr>
        <w:t>” has the meaning set forth in Section 2.6.</w:t>
      </w:r>
    </w:p>
    <w:p>
      <w:pPr>
        <w:spacing w:after="0" w:line="216" w:lineRule="exact"/>
        <w:rPr>
          <w:sz w:val="20"/>
          <w:szCs w:val="20"/>
          <w:color w:val="auto"/>
        </w:rPr>
      </w:pPr>
    </w:p>
    <w:p>
      <w:pPr>
        <w:ind w:right="8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all obligations, liabilities, indemnity obligations and Indebtedness of every nature of the Borrower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from time to time owing to the Administrative Agent, any other Agent or any Bank under or in connection with the Loans under this Agreement or any other Loan Document.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has the meaning set forth in Section 8.4(b).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with respect to any Bank, any Person controlling such Bank.</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set forth in Section 9.6(b).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582" w:right="259" w:bottom="1440" w:gutter="0" w:footer="0" w:header="0"/>
        </w:sectPr>
      </w:pPr>
    </w:p>
    <w:bookmarkStart w:id="66" w:name="page67"/>
    <w:bookmarkEnd w:id="66"/>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set forth in Section 9.6(b).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has the meaning set forth in Section 9.15.</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Date</w:t>
      </w:r>
      <w:r>
        <w:rPr>
          <w:rFonts w:ascii="Arial" w:cs="Arial" w:eastAsia="Arial" w:hAnsi="Arial"/>
          <w:sz w:val="20"/>
          <w:szCs w:val="20"/>
          <w:color w:val="auto"/>
        </w:rPr>
        <w:t>” means (a) the first Business Day of each January, April, July and October and (b) the last day of the Revolving Commitment Period.</w:t>
      </w:r>
    </w:p>
    <w:p>
      <w:pPr>
        <w:spacing w:after="0" w:line="177" w:lineRule="exact"/>
        <w:rPr>
          <w:sz w:val="20"/>
          <w:szCs w:val="20"/>
          <w:color w:val="auto"/>
        </w:rPr>
      </w:pPr>
    </w:p>
    <w:p>
      <w:pPr>
        <w:ind w:right="56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Default</w:t>
      </w:r>
      <w:r>
        <w:rPr>
          <w:rFonts w:ascii="Arial" w:cs="Arial" w:eastAsia="Arial" w:hAnsi="Arial"/>
          <w:sz w:val="18"/>
          <w:szCs w:val="18"/>
          <w:color w:val="auto"/>
        </w:rPr>
        <w:t>” means any Default resulting from the Borrower’s failure to pay any principal of any Loan hereunder, including any mandatory prepayment hereunder, or any interest due on any Loan or any fees or other amount payable hereunder.</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entity succeeding to any or all of its functions under ERISA.</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6" w:lineRule="exact"/>
        <w:rPr>
          <w:sz w:val="20"/>
          <w:szCs w:val="20"/>
          <w:color w:val="auto"/>
        </w:rPr>
      </w:pPr>
    </w:p>
    <w:p>
      <w:pPr>
        <w:ind w:left="660" w:right="80" w:firstLine="645"/>
        <w:spacing w:after="0" w:line="287" w:lineRule="auto"/>
        <w:tabs>
          <w:tab w:leader="none" w:pos="1726" w:val="left"/>
        </w:tabs>
        <w:numPr>
          <w:ilvl w:val="0"/>
          <w:numId w:val="43"/>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not yet delinquent or which are being contested in good faith by appropriate proceedings promptly instituted and diligently conducted in accordance with the terms hereof;</w:t>
      </w:r>
    </w:p>
    <w:p>
      <w:pPr>
        <w:spacing w:after="0" w:line="152" w:lineRule="exact"/>
        <w:rPr>
          <w:rFonts w:ascii="Arial" w:cs="Arial" w:eastAsia="Arial" w:hAnsi="Arial"/>
          <w:sz w:val="19"/>
          <w:szCs w:val="19"/>
          <w:color w:val="auto"/>
        </w:rPr>
      </w:pPr>
    </w:p>
    <w:p>
      <w:pPr>
        <w:ind w:left="660" w:right="280" w:firstLine="645"/>
        <w:spacing w:after="0" w:line="250" w:lineRule="auto"/>
        <w:tabs>
          <w:tab w:leader="none" w:pos="1737" w:val="left"/>
        </w:tabs>
        <w:numPr>
          <w:ilvl w:val="0"/>
          <w:numId w:val="43"/>
        </w:numPr>
        <w:rPr>
          <w:rFonts w:ascii="Arial" w:cs="Arial" w:eastAsia="Arial" w:hAnsi="Arial"/>
          <w:sz w:val="20"/>
          <w:szCs w:val="20"/>
          <w:color w:val="auto"/>
        </w:rPr>
      </w:pPr>
      <w:r>
        <w:rPr>
          <w:rFonts w:ascii="Arial" w:cs="Arial" w:eastAsia="Arial" w:hAnsi="Arial"/>
          <w:sz w:val="20"/>
          <w:szCs w:val="20"/>
          <w:color w:val="auto"/>
        </w:rPr>
        <w:t>statutory liens of carriers, warehousemen, mechanics, materialmen and other similar liens imposed by law, which are incurred in the ordinary course of business for sums not more than ninety (90) days delinquent or which are being contested in good faith in accordance with the terms hereof;</w:t>
      </w:r>
    </w:p>
    <w:p>
      <w:pPr>
        <w:spacing w:after="0" w:line="186" w:lineRule="exact"/>
        <w:rPr>
          <w:rFonts w:ascii="Arial" w:cs="Arial" w:eastAsia="Arial" w:hAnsi="Arial"/>
          <w:sz w:val="20"/>
          <w:szCs w:val="20"/>
          <w:color w:val="auto"/>
        </w:rPr>
      </w:pPr>
    </w:p>
    <w:p>
      <w:pPr>
        <w:ind w:left="660" w:right="200" w:firstLine="645"/>
        <w:spacing w:after="0" w:line="250" w:lineRule="auto"/>
        <w:tabs>
          <w:tab w:leader="none" w:pos="1726" w:val="left"/>
        </w:tabs>
        <w:numPr>
          <w:ilvl w:val="0"/>
          <w:numId w:val="43"/>
        </w:numPr>
        <w:rPr>
          <w:rFonts w:ascii="Arial" w:cs="Arial" w:eastAsia="Arial" w:hAnsi="Arial"/>
          <w:sz w:val="20"/>
          <w:szCs w:val="20"/>
          <w:color w:val="auto"/>
        </w:rPr>
      </w:pPr>
      <w:r>
        <w:rPr>
          <w:rFonts w:ascii="Arial" w:cs="Arial" w:eastAsia="Arial" w:hAnsi="Arial"/>
          <w:sz w:val="20"/>
          <w:szCs w:val="20"/>
          <w:color w:val="auto"/>
        </w:rPr>
        <w:t>utility deposits and other deposits or pledges to secure the performance of bids, trade contracts (other than for borrowed money), leases, purchase contracts, construction contracts, governmental contracts, statutory obligations, surety bonds, performance bonds and other obligations of a like nature incurred in the ordinary course of business;</w:t>
      </w:r>
    </w:p>
    <w:p>
      <w:pPr>
        <w:spacing w:after="0" w:line="186" w:lineRule="exact"/>
        <w:rPr>
          <w:rFonts w:ascii="Arial" w:cs="Arial" w:eastAsia="Arial" w:hAnsi="Arial"/>
          <w:sz w:val="20"/>
          <w:szCs w:val="20"/>
          <w:color w:val="auto"/>
        </w:rPr>
      </w:pPr>
    </w:p>
    <w:p>
      <w:pPr>
        <w:ind w:left="660" w:right="120" w:firstLine="645"/>
        <w:spacing w:after="0" w:line="243" w:lineRule="auto"/>
        <w:tabs>
          <w:tab w:leader="none" w:pos="1737" w:val="left"/>
        </w:tabs>
        <w:numPr>
          <w:ilvl w:val="0"/>
          <w:numId w:val="43"/>
        </w:numPr>
        <w:rPr>
          <w:rFonts w:ascii="Arial" w:cs="Arial" w:eastAsia="Arial" w:hAnsi="Arial"/>
          <w:sz w:val="20"/>
          <w:szCs w:val="20"/>
          <w:color w:val="auto"/>
        </w:rPr>
      </w:pPr>
      <w:r>
        <w:rPr>
          <w:rFonts w:ascii="Arial" w:cs="Arial" w:eastAsia="Arial" w:hAnsi="Arial"/>
          <w:sz w:val="20"/>
          <w:szCs w:val="20"/>
          <w:color w:val="auto"/>
        </w:rPr>
        <w:t>easements (including reciprocal easement agreements and utility agreements), rights-of-way, zoning restrictions, other covenants, reservations, encroachments, leases, licenses or similar charges or encumbrances (whether or not recorded) and all other items listed on any Schedule B to the Borrower’s owner’s title insurance policies, except in connection with any Indebtedness, for any of the Borrower’s Real Property Assets, so long as the foregoing do not interfere in any material respect with the use or ordinary conduct of the business of the Borrower and do not diminish in any material respect the value of the property to which such Permitted Lien is attached;</w:t>
      </w:r>
    </w:p>
    <w:p>
      <w:pPr>
        <w:spacing w:after="0" w:line="196" w:lineRule="exact"/>
        <w:rPr>
          <w:rFonts w:ascii="Arial" w:cs="Arial" w:eastAsia="Arial" w:hAnsi="Arial"/>
          <w:sz w:val="20"/>
          <w:szCs w:val="20"/>
          <w:color w:val="auto"/>
        </w:rPr>
      </w:pPr>
    </w:p>
    <w:p>
      <w:pPr>
        <w:ind w:left="660" w:right="20" w:firstLine="645"/>
        <w:spacing w:after="0" w:line="244" w:lineRule="auto"/>
        <w:tabs>
          <w:tab w:leader="none" w:pos="1726"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Liens and judgments which have been or will be bonded (and the Lien on any cash or securities serving as security for such bond) or released of record within forty-five (45) days after the date such Lien or judgment is entered or filed against the Borrower, or any other Covered Party, or (II) Liens which are being contested in good faith by appropriate proceedings for review and in respect of which there shall have been secured a subsisting stay of execution pending such appeal or proceedings and as to which the subject asset is not at risk of forfeiture; and</w:t>
      </w:r>
    </w:p>
    <w:p>
      <w:pPr>
        <w:spacing w:after="0" w:line="194" w:lineRule="exact"/>
        <w:rPr>
          <w:rFonts w:ascii="Arial" w:cs="Arial" w:eastAsia="Arial" w:hAnsi="Arial"/>
          <w:sz w:val="20"/>
          <w:szCs w:val="20"/>
          <w:color w:val="auto"/>
        </w:rPr>
      </w:pPr>
    </w:p>
    <w:p>
      <w:pPr>
        <w:ind w:left="1700" w:hanging="395"/>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created pursuant to the Collateral Documents in favor of the Administrative Agent for the benefit of the Secured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Parties.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620" w:hanging="101"/>
        <w:spacing w:after="0"/>
        <w:tabs>
          <w:tab w:leader="none" w:pos="5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582" w:right="259" w:bottom="1440" w:gutter="0" w:footer="0" w:header="0"/>
        </w:sectPr>
      </w:pPr>
    </w:p>
    <w:bookmarkStart w:id="67" w:name="page68"/>
    <w:bookmarkEnd w:id="67"/>
    <w:p>
      <w:pPr>
        <w:ind w:right="44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without limitation, a government or political subdivision or an agency or instrumentality thereof.</w:t>
      </w:r>
    </w:p>
    <w:p>
      <w:pPr>
        <w:spacing w:after="0" w:line="130" w:lineRule="exact"/>
        <w:rPr>
          <w:sz w:val="20"/>
          <w:szCs w:val="20"/>
          <w:color w:val="auto"/>
        </w:rPr>
      </w:pPr>
    </w:p>
    <w:p>
      <w:pPr>
        <w:ind w:right="8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any time an employee pension benefit plan (other than a Multiemployer Plan) which is covered by Title IV of ERISA or subject to the minimum funding standards under Section 412 of the Code and either (i) is maintained, or contributed to, by any member of the ERISA Group for employees of any member of the ERISA Group, (ii) has at any time within the preceding five years been maintained, or contributed to, by any Person which was at such time a member of the ERISA Group for employees of any Person which was at such time a member of the ERISA Group or (iii) to which any member of the ERISA Group has had liability within the previous five years.</w:t>
      </w:r>
    </w:p>
    <w:p>
      <w:pPr>
        <w:spacing w:after="0" w:line="165"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Subsidiary</w:t>
      </w:r>
      <w:r>
        <w:rPr>
          <w:rFonts w:ascii="Arial" w:cs="Arial" w:eastAsia="Arial" w:hAnsi="Arial"/>
          <w:sz w:val="20"/>
          <w:szCs w:val="20"/>
          <w:color w:val="auto"/>
        </w:rPr>
        <w:t>” means any Subsidiary of the Borrower the equity or other interests in which constitute Collateral pledged pursuant to the Collateral Documents and that owns, directly or indirectly, Covered Assets or any other Subsidiary that owns, directly or indirectly, Covered Assets.</w:t>
      </w:r>
    </w:p>
    <w:p>
      <w:pPr>
        <w:spacing w:after="0" w:line="186" w:lineRule="exact"/>
        <w:rPr>
          <w:sz w:val="20"/>
          <w:szCs w:val="20"/>
          <w:color w:val="auto"/>
        </w:rPr>
      </w:pPr>
    </w:p>
    <w:p>
      <w:pPr>
        <w:ind w:right="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the rate of interest per annum publicly announced from time to time by JPMorgan Chase Bank, N.A. as its prime rate in effect at its principal office in New York City (the Prime Rate not being intended to be the lowest rate of interest charged by JPMorgan Chase Bank, N.A. in connection with extensions of credit to debtors).</w:t>
      </w:r>
    </w:p>
    <w:p>
      <w:pPr>
        <w:spacing w:after="0" w:line="186"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means, for any Bank at any time, a fraction (expressed as a percentage), the numerator of which shall be the amount of such Bank’s Commitment and the denominator of which shall be the Total Commitments.</w:t>
      </w:r>
    </w:p>
    <w:p>
      <w:pPr>
        <w:spacing w:after="0" w:line="177"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means the projected cash flows of the Borrower and its Consolidated Subsidiaries, substantially in the form of Exhibit F hereto.</w:t>
      </w:r>
    </w:p>
    <w:p>
      <w:pPr>
        <w:spacing w:after="0" w:line="177"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with respect to any Person, any real or personal property, building, facility, structure, equipment or unit, or other asset owned by such Person.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Agencies</w:t>
      </w:r>
      <w:r>
        <w:rPr>
          <w:rFonts w:ascii="Arial" w:cs="Arial" w:eastAsia="Arial" w:hAnsi="Arial"/>
          <w:sz w:val="20"/>
          <w:szCs w:val="20"/>
          <w:color w:val="auto"/>
        </w:rPr>
        <w:t>” means, collectively, S&amp;P and Moody’s.</w:t>
      </w:r>
    </w:p>
    <w:p>
      <w:pPr>
        <w:spacing w:after="0" w:line="21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 Assets</w:t>
      </w:r>
      <w:r>
        <w:rPr>
          <w:rFonts w:ascii="Arial" w:cs="Arial" w:eastAsia="Arial" w:hAnsi="Arial"/>
          <w:sz w:val="20"/>
          <w:szCs w:val="20"/>
          <w:color w:val="auto"/>
        </w:rPr>
        <w:t>” means as to any Person as of any time, the real property assets (including, without limitation, interests in participating mortgages in which such Person’s interest therein is characterized as equity according to GAAP) owned directly or indirectly by such Person at such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Recourse Debt</w:t>
      </w:r>
      <w:r>
        <w:rPr>
          <w:rFonts w:ascii="Arial" w:cs="Arial" w:eastAsia="Arial" w:hAnsi="Arial"/>
          <w:sz w:val="20"/>
          <w:szCs w:val="20"/>
          <w:color w:val="auto"/>
        </w:rPr>
        <w:t>” means Indebtedness other than Non-Recourse Indebtedness.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REIT</w:t>
      </w:r>
      <w:r>
        <w:rPr>
          <w:rFonts w:ascii="Arial" w:cs="Arial" w:eastAsia="Arial" w:hAnsi="Arial"/>
          <w:sz w:val="20"/>
          <w:szCs w:val="20"/>
          <w:color w:val="auto"/>
        </w:rPr>
        <w:t>” means a real estate investment trust, as defined under Section 856 of the Code.</w:t>
      </w:r>
    </w:p>
    <w:p>
      <w:pPr>
        <w:spacing w:after="0" w:line="216"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Reorganization</w:t>
      </w:r>
      <w:r>
        <w:rPr>
          <w:rFonts w:ascii="Arial" w:cs="Arial" w:eastAsia="Arial" w:hAnsi="Arial"/>
          <w:sz w:val="20"/>
          <w:szCs w:val="20"/>
          <w:color w:val="auto"/>
        </w:rPr>
        <w:t>” means with respect to any Multiemployer Plan, the condition that such plan is in reorganization within the meaning of Section 4241 of ERISA.</w:t>
      </w:r>
    </w:p>
    <w:p>
      <w:pPr>
        <w:spacing w:after="0" w:line="177"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Banks</w:t>
      </w:r>
      <w:r>
        <w:rPr>
          <w:rFonts w:ascii="Arial" w:cs="Arial" w:eastAsia="Arial" w:hAnsi="Arial"/>
          <w:sz w:val="20"/>
          <w:szCs w:val="20"/>
          <w:color w:val="auto"/>
        </w:rPr>
        <w:t>” means at any time Banks having or holding more than 50% of (i) prior to the conversion of the Revolving Loans into Term Loans in accordance with Section 2.2 and Section 3.3, the aggregate amount of the Total Commitments then in effect, and (ii) on or after such conversion, or any termination of the Total Commitments, the aggregate unpaid principal amount of the Loans then outstanding hereunder.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582" w:right="239" w:bottom="144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Period</w:t>
      </w:r>
      <w:r>
        <w:rPr>
          <w:rFonts w:ascii="Arial" w:cs="Arial" w:eastAsia="Arial" w:hAnsi="Arial"/>
          <w:sz w:val="18"/>
          <w:szCs w:val="18"/>
          <w:color w:val="auto"/>
        </w:rPr>
        <w:t>” means the period from and including the Closing Date to the Revolving Termination Date.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has the meaning set forth in Section 2.1(a).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Termination Date</w:t>
      </w:r>
      <w:r>
        <w:rPr>
          <w:rFonts w:ascii="Arial" w:cs="Arial" w:eastAsia="Arial" w:hAnsi="Arial"/>
          <w:sz w:val="20"/>
          <w:szCs w:val="20"/>
          <w:color w:val="auto"/>
        </w:rPr>
        <w:t>” means March 27, 2018.</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or any successor thereto.</w:t>
      </w:r>
    </w:p>
    <w:p>
      <w:pPr>
        <w:spacing w:after="0" w:line="239"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or territory which is itself the subject or target of any Sanctions (at the time of this Agreement, Cuba, Iran, North Korea, Sudan and Syria).</w:t>
      </w:r>
    </w:p>
    <w:p>
      <w:pPr>
        <w:spacing w:after="0" w:line="177"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the Office of Foreign Assets Control of the U.S. Department of the Treasury or the U.S. Department of State or by the United Nations Security Council, (b) any Person operating, organized or resident in a Sanctioned Country or (c) any Person owned or controlled by any such Person or Persons.</w:t>
      </w:r>
    </w:p>
    <w:p>
      <w:pPr>
        <w:spacing w:after="0" w:line="192"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set forth in the Security Agreement.</w:t>
      </w:r>
    </w:p>
    <w:p>
      <w:pPr>
        <w:spacing w:after="0" w:line="216" w:lineRule="exact"/>
        <w:rPr>
          <w:sz w:val="20"/>
          <w:szCs w:val="20"/>
          <w:color w:val="auto"/>
        </w:rPr>
      </w:pPr>
    </w:p>
    <w:p>
      <w:pPr>
        <w:ind w:right="8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w:t>
      </w:r>
      <w:r>
        <w:rPr>
          <w:rFonts w:ascii="Arial" w:cs="Arial" w:eastAsia="Arial" w:hAnsi="Arial"/>
          <w:sz w:val="20"/>
          <w:szCs w:val="20"/>
          <w:color w:val="auto"/>
        </w:rPr>
        <w:t>” means any stock, partnership interests, shares, shares of beneficial interest, voting trust certificates,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and shall include Indebtedness which would be required to be included on the liabilities side of the balance sheet of the Borrower in accordance with GAAP, but shall not include any Cash or Cash Equivalents or any evidence of the Obligations.</w:t>
      </w:r>
    </w:p>
    <w:p>
      <w:pPr>
        <w:spacing w:after="0" w:line="196" w:lineRule="exact"/>
        <w:rPr>
          <w:sz w:val="20"/>
          <w:szCs w:val="20"/>
          <w:color w:val="auto"/>
        </w:rPr>
      </w:pPr>
    </w:p>
    <w:p>
      <w:pPr>
        <w:ind w:right="56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Security Agreement, dated the date hereof, made by the Borrower in favor of the Administrative Agent, substantially in the form of Exhibit G, as the same may be amended, modified or supplemented from time to time.</w:t>
      </w:r>
    </w:p>
    <w:p>
      <w:pPr>
        <w:spacing w:after="0" w:line="130" w:lineRule="exact"/>
        <w:rPr>
          <w:sz w:val="20"/>
          <w:szCs w:val="20"/>
          <w:color w:val="auto"/>
        </w:rPr>
      </w:pPr>
    </w:p>
    <w:p>
      <w:pPr>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that,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582" w:right="239" w:bottom="1440" w:gutter="0" w:footer="0" w:header="0"/>
        </w:sectPr>
      </w:pPr>
    </w:p>
    <w:bookmarkStart w:id="69" w:name="page70"/>
    <w:bookmarkEnd w:id="69"/>
    <w:p>
      <w:pPr>
        <w:ind w:right="280"/>
        <w:spacing w:after="0" w:line="260" w:lineRule="auto"/>
        <w:rPr>
          <w:sz w:val="20"/>
          <w:szCs w:val="20"/>
          <w:color w:val="auto"/>
        </w:rPr>
      </w:pPr>
      <w:r>
        <w:rPr>
          <w:rFonts w:ascii="Arial" w:cs="Arial" w:eastAsia="Arial" w:hAnsi="Arial"/>
          <w:sz w:val="20"/>
          <w:szCs w:val="20"/>
          <w:color w:val="auto"/>
        </w:rPr>
        <w:t>rise to a right to payment, whether or not such right to an equitable remedy is reduced to judgment, fixed, contingent, matured or unmatured, disputed, undisputed, secured or unsecured.</w:t>
      </w:r>
    </w:p>
    <w:p>
      <w:pPr>
        <w:spacing w:after="0" w:line="177" w:lineRule="exact"/>
        <w:rPr>
          <w:sz w:val="20"/>
          <w:szCs w:val="20"/>
          <w:color w:val="auto"/>
        </w:rPr>
      </w:pPr>
    </w:p>
    <w:p>
      <w:pPr>
        <w:jc w:val="both"/>
        <w:ind w:right="4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corporation, trust or other entity of which securities or other ownership interests having ordinary voting power to elect a majority of the board of directors or other persons performing similar functions are at the time directly or indirectly owned by the Borrower.</w:t>
      </w:r>
    </w:p>
    <w:p>
      <w:pPr>
        <w:spacing w:after="0" w:line="186"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Super Majority Banks</w:t>
      </w:r>
      <w:r>
        <w:rPr>
          <w:rFonts w:ascii="Arial" w:cs="Arial" w:eastAsia="Arial" w:hAnsi="Arial"/>
          <w:sz w:val="20"/>
          <w:szCs w:val="20"/>
          <w:color w:val="auto"/>
        </w:rPr>
        <w:t>” means at any time Banks having or holding more than 66 2/3% of (i) prior to the conversion of the Revolving Loans into Term Loans in accordance with Section 2.2 and Section 3.3, the aggregate amount of the Total Commitments then in effect, and (ii) on or after such conversion or any termination of the Total Commitments, if applicable, the aggregate unpaid principal amount of the Loans then outstanding hereunder.</w:t>
      </w:r>
    </w:p>
    <w:p>
      <w:pPr>
        <w:spacing w:after="0" w:line="192" w:lineRule="exact"/>
        <w:rPr>
          <w:sz w:val="20"/>
          <w:szCs w:val="20"/>
          <w:color w:val="auto"/>
        </w:rPr>
      </w:pPr>
    </w:p>
    <w:p>
      <w:pPr>
        <w:ind w:right="3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Maturity Date</w:t>
      </w:r>
      <w:r>
        <w:rPr>
          <w:rFonts w:ascii="Arial" w:cs="Arial" w:eastAsia="Arial" w:hAnsi="Arial"/>
          <w:sz w:val="20"/>
          <w:szCs w:val="20"/>
          <w:color w:val="auto"/>
        </w:rPr>
        <w:t>” means March 27, 2019.</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has the meaning set forth in Section 2.2(a).</w:t>
      </w:r>
    </w:p>
    <w:p>
      <w:pPr>
        <w:spacing w:after="0" w:line="216" w:lineRule="exact"/>
        <w:rPr>
          <w:sz w:val="20"/>
          <w:szCs w:val="20"/>
          <w:color w:val="auto"/>
        </w:rPr>
      </w:pPr>
    </w:p>
    <w:p>
      <w:pPr>
        <w:ind w:right="20" w:firstLine="1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(i) a “reportable event”, as such term is described in Section 4043 of ERISA (other than a “reportable event” not subject to the provision for 30-day notice to the PBGC), or an event described in Section 4062(e) of ERISA, (ii) the withdrawal by any member of the ERISA Group from a Multiemployer Plan during a plan year in which it is a “substantial employer” (as defined in Section 4001(a)(2) of ERISA), or the incurrence of liability by any member of the ERISA Group under Section 4064 of ERISA upon the termination of a Multiemployer Plan, (iii) the filing of a notice of intent to terminate any Plan under Section 4041 of ERISA, other than in a standard termination within the meaning of Section 4041 of ERISA, or the treatment of a Plan amendment as a distress termination under Section 4041 of ERISA, (iv) the institution by the PBGC of proceedings to terminate, impose liability (other than for premiums under Section 4007 of ERISA) in respect of, or cause a trustee to be appointed to administer, any Plan, (v) any failure to make by its due date any required installment under Section 430(j) of the Code with respect to any Plan, any failure by the Borrower or any member of the ERISA Group to make any required contribution to any Multiemployer Plan, or any failure to satisfy the minimum funding standards (within the meaning of Section 302 of ERISA or Section 412 of the Code), whether or not waived, shall exist with respect to any Plan, any Lien in favor of the PBGC, a Plan, or a Multiemployer Plan shall arise on the assets of the Borrower or any member of the ERISA Group, or there shall be any determination that any Plan is or is expected to be in “at risk” status (within the meaning of Section 430 of the Code or Section 303 of ERISA), (vi) ) the Borrower or any member of the ERISA Group shall, or in the reasonable opinion of the Required Banks is likely to, incur any liability in connection with a withdrawal from any Plan in which it was a substantial employer, or the withdrawal from, termination, Insolvency or Reorganization of, or “endangered” or “critical” status (within the meaning of Section 432 of the Code or Section 305 of ERISA) of, a Multiemployer Plan, (vi) a proceeding shall be instituted by a fiduciary of any Multiemployer Plan against any member of the ERISA Group, to enforce Section 515 or 4219(c)(5) of ERISA and such proceeding shall not have been dismissed within 30 days thereafter, (vii) the provision by the administrator of any Plan pursuant to Section 4041(a)(2) of ERISA of a notice of intent to terminate such plan in a distress termination described in Section 4041(c) of ERISA, (viii) the withdrawal by the Borrower or any member of the ERISA Group from any Plan with two or more contributing sponsors or the termination of any such Plan resulting in liability to any member of the ERISA Group pursuant to Section 4063 or 4064 of ERISA, (ix) receipt from the Internal Revenue Service of notice of the failure of any Plan (or any other employee benefit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582" w:right="239" w:bottom="1440" w:gutter="0" w:footer="0" w:header="0"/>
        </w:sectPr>
      </w:pPr>
    </w:p>
    <w:bookmarkStart w:id="70" w:name="page71"/>
    <w:bookmarkEnd w:id="70"/>
    <w:p>
      <w:pPr>
        <w:ind w:right="40"/>
        <w:spacing w:after="0" w:line="278" w:lineRule="auto"/>
        <w:rPr>
          <w:sz w:val="20"/>
          <w:szCs w:val="20"/>
          <w:color w:val="auto"/>
        </w:rPr>
      </w:pPr>
      <w:r>
        <w:rPr>
          <w:rFonts w:ascii="Arial" w:cs="Arial" w:eastAsia="Arial" w:hAnsi="Arial"/>
          <w:sz w:val="18"/>
          <w:szCs w:val="18"/>
          <w:color w:val="auto"/>
        </w:rPr>
        <w:t>sponsored by the Borrower or any of its Subsidiaries which is intended to be qualified under Section 401(a) of the Internal Revenue Code) to qualify under Section 401(a) of the Internal Revenue Code, or the failure of any trust forming part of any such employee benefit plan to qualify for exemption from taxation under Section 501(a) of the Internal Revenue Code or (x) any other event or condition that might reasonably constitute grounds for the termination of, or the appointment of a trustee to administer, any Plan or the imposition of any liability or encumbrance or Lien on the Real Property Assets or any member of the ERISA Group under ERISA or the Code.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Commitments</w:t>
      </w:r>
      <w:r>
        <w:rPr>
          <w:rFonts w:ascii="Arial" w:cs="Arial" w:eastAsia="Arial" w:hAnsi="Arial"/>
          <w:sz w:val="20"/>
          <w:szCs w:val="20"/>
          <w:color w:val="auto"/>
        </w:rPr>
        <w:t>” means at any time, the aggregate amount of the Commitments then in effect.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Loans</w:t>
      </w:r>
      <w:r>
        <w:rPr>
          <w:rFonts w:ascii="Arial" w:cs="Arial" w:eastAsia="Arial" w:hAnsi="Arial"/>
          <w:sz w:val="19"/>
          <w:szCs w:val="19"/>
          <w:color w:val="auto"/>
        </w:rPr>
        <w:t>” means at any time, the aggregate amount of the Revolving Loans outstanding at such time.</w:t>
      </w:r>
    </w:p>
    <w:p>
      <w:pPr>
        <w:spacing w:after="0" w:line="227"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 including the fifty states and the District of Columbia.</w:t>
      </w:r>
    </w:p>
    <w:p>
      <w:pPr>
        <w:spacing w:after="0" w:line="216" w:lineRule="exact"/>
        <w:rPr>
          <w:sz w:val="20"/>
          <w:szCs w:val="20"/>
          <w:color w:val="auto"/>
        </w:rPr>
      </w:pPr>
    </w:p>
    <w:p>
      <w:pPr>
        <w:ind w:right="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CTL Lease Term</w:t>
      </w:r>
      <w:r>
        <w:rPr>
          <w:rFonts w:ascii="Arial" w:cs="Arial" w:eastAsia="Arial" w:hAnsi="Arial"/>
          <w:sz w:val="20"/>
          <w:szCs w:val="20"/>
          <w:color w:val="auto"/>
        </w:rPr>
        <w:t>” means, as of any date of determination, the weighted average remaining lease term as of such date of determination for all Credit Tenant Lease Assets that are Borrowing Base Assets as of such date based on the Borrowing Base Value of such Credit Tenant Lease Assets.</w:t>
      </w:r>
    </w:p>
    <w:p>
      <w:pPr>
        <w:spacing w:after="0" w:line="200" w:lineRule="exact"/>
        <w:rPr>
          <w:sz w:val="20"/>
          <w:szCs w:val="20"/>
          <w:color w:val="auto"/>
        </w:rPr>
      </w:pPr>
    </w:p>
    <w:p>
      <w:pPr>
        <w:ind w:firstLine="648"/>
        <w:spacing w:after="0" w:line="27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Accounting Terms and Determinations</w:t>
      </w:r>
      <w:r>
        <w:rPr>
          <w:rFonts w:ascii="Arial" w:cs="Arial" w:eastAsia="Arial" w:hAnsi="Arial"/>
          <w:sz w:val="20"/>
          <w:szCs w:val="20"/>
          <w:color w:val="auto"/>
        </w:rPr>
        <w:t>. As used herein and in the other Loan Documents, and any certificate or other document made or delivered pursuant hereto or thereto, accounting terms relating to to the Borrower and its Consolidated Subsidairies not defined in Section 1.1 and accounting terms partly defined in Section 1.1, to the extent not defined, shall have the respective meanings given to them under GAAP (provided that all terms of an accounting or financial nature used herein shall be construed, and all computations of amounts and ratios referred to herein shall be made,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w:t>
      </w:r>
    </w:p>
    <w:p>
      <w:pPr>
        <w:spacing w:after="0" w:line="199" w:lineRule="exact"/>
        <w:rPr>
          <w:sz w:val="20"/>
          <w:szCs w:val="20"/>
          <w:color w:val="auto"/>
        </w:rPr>
      </w:pPr>
    </w:p>
    <w:p>
      <w:pPr>
        <w:jc w:val="both"/>
        <w:ind w:right="60" w:firstLine="648"/>
        <w:spacing w:after="0" w:line="278"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Types of Borrowings</w:t>
      </w:r>
      <w:r>
        <w:rPr>
          <w:rFonts w:ascii="Arial" w:cs="Arial" w:eastAsia="Arial" w:hAnsi="Arial"/>
          <w:sz w:val="20"/>
          <w:szCs w:val="20"/>
          <w:color w:val="auto"/>
        </w:rPr>
        <w:t>. The term “Borrowing” denotes the aggregation of Loans of one or more Banks to be made to the Borrower pursuant to Article II on the applicable Borrowing Date, all of which Loans are of the same type (subject to Article VIII) and, except in the case of Base Rate Loans, have the same Interest Period.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THE LOANS</w:t>
      </w:r>
    </w:p>
    <w:p>
      <w:pPr>
        <w:spacing w:after="0" w:line="229" w:lineRule="exact"/>
        <w:rPr>
          <w:sz w:val="20"/>
          <w:szCs w:val="20"/>
          <w:color w:val="auto"/>
        </w:rPr>
      </w:pPr>
    </w:p>
    <w:p>
      <w:pPr>
        <w:ind w:right="160" w:firstLine="648"/>
        <w:spacing w:after="0" w:line="274"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xml:space="preserve"> . (a) Each Bank severally agrees, on the terms and conditions set forth in this Agreement, to make revolving credit loans (“</w:t>
      </w:r>
      <w:r>
        <w:rPr>
          <w:rFonts w:ascii="Arial" w:cs="Arial" w:eastAsia="Arial" w:hAnsi="Arial"/>
          <w:sz w:val="20"/>
          <w:szCs w:val="20"/>
          <w:u w:val="single" w:color="auto"/>
          <w:color w:val="auto"/>
        </w:rPr>
        <w:t>Revolving Loans</w:t>
      </w:r>
      <w:r>
        <w:rPr>
          <w:rFonts w:ascii="Arial" w:cs="Arial" w:eastAsia="Arial" w:hAnsi="Arial"/>
          <w:sz w:val="20"/>
          <w:szCs w:val="20"/>
          <w:color w:val="auto"/>
        </w:rPr>
        <w:t>”) in Dollars to the Borrower from time to time during the Revolving Commitment Period in an aggregate principal amount at any one time outstanding which would not result in either (i) the Revolving Loans of such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582" w:right="259" w:bottom="1440" w:gutter="0" w:footer="0" w:header="0"/>
        </w:sectPr>
      </w:pPr>
    </w:p>
    <w:bookmarkStart w:id="71" w:name="page72"/>
    <w:bookmarkEnd w:id="71"/>
    <w:p>
      <w:pPr>
        <w:jc w:val="both"/>
        <w:ind w:right="140"/>
        <w:spacing w:after="0" w:line="322" w:lineRule="auto"/>
        <w:rPr>
          <w:sz w:val="20"/>
          <w:szCs w:val="20"/>
          <w:color w:val="auto"/>
        </w:rPr>
      </w:pPr>
      <w:r>
        <w:rPr>
          <w:rFonts w:ascii="Arial" w:cs="Arial" w:eastAsia="Arial" w:hAnsi="Arial"/>
          <w:sz w:val="18"/>
          <w:szCs w:val="18"/>
          <w:color w:val="auto"/>
        </w:rPr>
        <w:t>Bank exceeding the amount of such Bank’s Commitment or (ii) the Total Revolving Loans exceeding the lesser of (x) the Total Commitments and (y) the Borrowing Base. During the Revolving Commitment Period the Borrower may use the Commitments by borrowing, prepaying the Revolving Loans in whole or in part, and reborrowing, all in accordance with the terms and conditions hereof.</w:t>
      </w:r>
    </w:p>
    <w:p>
      <w:pPr>
        <w:spacing w:after="0" w:line="153" w:lineRule="exact"/>
        <w:rPr>
          <w:sz w:val="20"/>
          <w:szCs w:val="20"/>
          <w:color w:val="auto"/>
        </w:rPr>
      </w:pPr>
    </w:p>
    <w:p>
      <w:pPr>
        <w:ind w:right="140" w:firstLine="1305"/>
        <w:spacing w:after="0" w:line="347" w:lineRule="auto"/>
        <w:tabs>
          <w:tab w:leader="none" w:pos="2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Revolving Loans may from time to time be (i) Eurodollar Loans or (ii) Base Rate Loans or (iii) a combination thereof, as determined by the Borrower and notified to the Administrative Agent in accordance with Section 2.3 and Section 2.5.</w:t>
      </w:r>
    </w:p>
    <w:p>
      <w:pPr>
        <w:spacing w:after="0" w:line="130" w:lineRule="exact"/>
        <w:rPr>
          <w:rFonts w:ascii="Arial" w:cs="Arial" w:eastAsia="Arial" w:hAnsi="Arial"/>
          <w:sz w:val="18"/>
          <w:szCs w:val="18"/>
          <w:color w:val="auto"/>
        </w:rPr>
      </w:pPr>
    </w:p>
    <w:p>
      <w:pPr>
        <w:ind w:right="200" w:firstLine="1305"/>
        <w:spacing w:after="0" w:line="347" w:lineRule="auto"/>
        <w:tabs>
          <w:tab w:leader="none" w:pos="21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Revolving Commitments shall terminate, and, subject to the right of the Borrower set forth in Section 2.2 and the conditions set forth in Section 3.3, the Borrower shall repay all outstanding Revolving Loans, on the Revolving Termination Date.</w:t>
      </w:r>
    </w:p>
    <w:p>
      <w:pPr>
        <w:spacing w:after="0" w:line="131"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Term Commitments</w:t>
      </w:r>
      <w:r>
        <w:rPr>
          <w:rFonts w:ascii="Arial" w:cs="Arial" w:eastAsia="Arial" w:hAnsi="Arial"/>
          <w:sz w:val="20"/>
          <w:szCs w:val="20"/>
          <w:color w:val="auto"/>
        </w:rPr>
        <w:t>. (a) The Borrower may request that all Revolving Loans outstanding on the Revolving Termination Date be converted into an equal principal amount of term loans (“</w:t>
      </w:r>
      <w:r>
        <w:rPr>
          <w:rFonts w:ascii="Arial" w:cs="Arial" w:eastAsia="Arial" w:hAnsi="Arial"/>
          <w:sz w:val="20"/>
          <w:szCs w:val="20"/>
          <w:u w:val="single" w:color="auto"/>
          <w:color w:val="auto"/>
        </w:rPr>
        <w:t>Term Loans</w:t>
      </w:r>
      <w:r>
        <w:rPr>
          <w:rFonts w:ascii="Arial" w:cs="Arial" w:eastAsia="Arial" w:hAnsi="Arial"/>
          <w:sz w:val="20"/>
          <w:szCs w:val="20"/>
          <w:color w:val="auto"/>
        </w:rPr>
        <w:t>”) on the Revolving Termination Date by delivering the Administrative Agent notice of such conversion no later than 10:00 a.m. five (5) Business Days prior to the Revolving Termination Date (the “</w:t>
      </w:r>
      <w:r>
        <w:rPr>
          <w:rFonts w:ascii="Arial" w:cs="Arial" w:eastAsia="Arial" w:hAnsi="Arial"/>
          <w:sz w:val="20"/>
          <w:szCs w:val="20"/>
          <w:u w:val="single" w:color="auto"/>
          <w:color w:val="auto"/>
        </w:rPr>
        <w:t>Conversion Notice</w:t>
      </w:r>
      <w:r>
        <w:rPr>
          <w:rFonts w:ascii="Arial" w:cs="Arial" w:eastAsia="Arial" w:hAnsi="Arial"/>
          <w:sz w:val="20"/>
          <w:szCs w:val="20"/>
          <w:color w:val="auto"/>
        </w:rPr>
        <w:t>”).</w:t>
      </w:r>
    </w:p>
    <w:p>
      <w:pPr>
        <w:spacing w:after="0" w:line="192" w:lineRule="exact"/>
        <w:rPr>
          <w:sz w:val="20"/>
          <w:szCs w:val="20"/>
          <w:color w:val="auto"/>
        </w:rPr>
      </w:pPr>
    </w:p>
    <w:p>
      <w:pPr>
        <w:ind w:right="80" w:firstLine="1305"/>
        <w:spacing w:after="0" w:line="274" w:lineRule="auto"/>
        <w:tabs>
          <w:tab w:leader="none" w:pos="2175"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 the event that Administrative Agent receives a timely Conversion Notice, each Bank severally agrees, on the terms and conditions set forth in this Agreement and without further action by any of the Banks, to convert such Bank’s outstanding Revolving Loans into an equal principal amount of Term Loans on the Revolving Termination Date and to extend the Maturity Date from the Revolving Termination Date to the Term Loan Maturity Date.</w:t>
      </w:r>
    </w:p>
    <w:p>
      <w:pPr>
        <w:spacing w:after="0" w:line="192" w:lineRule="exact"/>
        <w:rPr>
          <w:rFonts w:ascii="Arial" w:cs="Arial" w:eastAsia="Arial" w:hAnsi="Arial"/>
          <w:sz w:val="20"/>
          <w:szCs w:val="20"/>
          <w:color w:val="auto"/>
        </w:rPr>
      </w:pPr>
    </w:p>
    <w:p>
      <w:pPr>
        <w:ind w:right="560" w:firstLine="1305"/>
        <w:spacing w:after="0" w:line="347" w:lineRule="auto"/>
        <w:tabs>
          <w:tab w:leader="none" w:pos="21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Loans may from time to time be (i) Eurodollar Loans or (ii) Base Rate Loans or (iii) a combination thereof, as determined by the Borrower and notified to the Administrative Agent in accordance with Section 2.3 and Section 2.5</w:t>
      </w:r>
    </w:p>
    <w:p>
      <w:pPr>
        <w:spacing w:after="0" w:line="130" w:lineRule="exact"/>
        <w:rPr>
          <w:rFonts w:ascii="Arial" w:cs="Arial" w:eastAsia="Arial" w:hAnsi="Arial"/>
          <w:sz w:val="18"/>
          <w:szCs w:val="18"/>
          <w:color w:val="auto"/>
        </w:rPr>
      </w:pPr>
    </w:p>
    <w:p>
      <w:pPr>
        <w:ind w:right="220" w:firstLine="1305"/>
        <w:spacing w:after="0" w:line="278" w:lineRule="auto"/>
        <w:tabs>
          <w:tab w:leader="none" w:pos="2175"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Term Loans shall be repaid in equal quarterly installments of 25% of the original principal amount of Term Loans, payable at the end of each calendar quarter, commencing with the first such quarter ending after the Revolving Termination Date with the last such payment payable on the Term Loan Maturity Date.</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Procedures for Revolving Loan Borrowing</w:t>
      </w:r>
      <w:r>
        <w:rPr>
          <w:rFonts w:ascii="Arial" w:cs="Arial" w:eastAsia="Arial" w:hAnsi="Arial"/>
          <w:sz w:val="19"/>
          <w:szCs w:val="19"/>
          <w:color w:val="auto"/>
        </w:rPr>
        <w:t>. (a) The Borrower may borrow under the Commitments during the Revolving Commitment Period on any Business Day, provided that the Borrower shall give the Administrative Agent a Notice of Borrowing (which Notice of Borrowing must be received by the Administrative Agent prior to 10:00 a.m., New York City time, one (1) Business Day (in the case of Base Rate Loans) and three (3) Eurodollar Business Days’ notice (in the case of Eurodollar Loans) prior to the requested Borrowing Date) requesting that the Banks make the Loans on the requested Borrowing Date and specifying:</w:t>
      </w:r>
    </w:p>
    <w:p>
      <w:pPr>
        <w:spacing w:after="0" w:line="179" w:lineRule="exact"/>
        <w:rPr>
          <w:sz w:val="20"/>
          <w:szCs w:val="20"/>
          <w:color w:val="auto"/>
        </w:rPr>
      </w:pPr>
    </w:p>
    <w:p>
      <w:pPr>
        <w:ind w:left="2140" w:hanging="835"/>
        <w:spacing w:after="0"/>
        <w:tabs>
          <w:tab w:leader="none" w:pos="2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amount of Revolving Loans to be borrowed;</w:t>
      </w:r>
    </w:p>
    <w:p>
      <w:pPr>
        <w:spacing w:after="0" w:line="242" w:lineRule="exact"/>
        <w:rPr>
          <w:rFonts w:ascii="Arial" w:cs="Arial" w:eastAsia="Arial" w:hAnsi="Arial"/>
          <w:sz w:val="20"/>
          <w:szCs w:val="20"/>
          <w:color w:val="auto"/>
        </w:rPr>
      </w:pPr>
    </w:p>
    <w:p>
      <w:pPr>
        <w:ind w:left="2200" w:hanging="895"/>
        <w:spacing w:after="0"/>
        <w:tabs>
          <w:tab w:leader="none" w:pos="22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requested Borrowing Date;</w:t>
      </w:r>
    </w:p>
    <w:p>
      <w:pPr>
        <w:spacing w:after="0" w:line="242" w:lineRule="exact"/>
        <w:rPr>
          <w:rFonts w:ascii="Arial" w:cs="Arial" w:eastAsia="Arial" w:hAnsi="Arial"/>
          <w:sz w:val="20"/>
          <w:szCs w:val="20"/>
          <w:color w:val="auto"/>
        </w:rPr>
      </w:pPr>
    </w:p>
    <w:p>
      <w:pPr>
        <w:ind w:left="2240" w:hanging="935"/>
        <w:spacing w:after="0"/>
        <w:tabs>
          <w:tab w:leader="none" w:pos="22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whether the Revolving Loans comprising such Borrowing are to be Base Rate Loans or Eurodollar Loans;</w:t>
      </w:r>
    </w:p>
    <w:p>
      <w:pPr>
        <w:spacing w:after="0" w:line="254" w:lineRule="exact"/>
        <w:rPr>
          <w:rFonts w:ascii="Arial" w:cs="Arial" w:eastAsia="Arial" w:hAnsi="Arial"/>
          <w:sz w:val="19"/>
          <w:szCs w:val="19"/>
          <w:color w:val="auto"/>
        </w:rPr>
      </w:pPr>
    </w:p>
    <w:p>
      <w:pPr>
        <w:ind w:left="660" w:right="800" w:firstLine="645"/>
        <w:spacing w:after="0" w:line="289" w:lineRule="auto"/>
        <w:tabs>
          <w:tab w:leader="none" w:pos="2242"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case of a Eurodollar Borrowing, the duration of the Interest Period applicable thereto, subject to the provisions of the definition of Interest Period;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5620" w:hanging="101"/>
        <w:spacing w:after="0"/>
        <w:tabs>
          <w:tab w:leader="none" w:pos="5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595" w:right="259" w:bottom="1440" w:gutter="0" w:footer="0" w:header="0"/>
        </w:sectPr>
      </w:pPr>
    </w:p>
    <w:bookmarkStart w:id="72" w:name="page73"/>
    <w:bookmarkEnd w:id="72"/>
    <w:p>
      <w:pPr>
        <w:ind w:left="1520" w:hanging="875"/>
        <w:spacing w:after="0"/>
        <w:tabs>
          <w:tab w:leader="none" w:pos="15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payment instructions for delivery of such Borrowing; and</w:t>
      </w:r>
    </w:p>
    <w:p>
      <w:pPr>
        <w:spacing w:after="0" w:line="242" w:lineRule="exact"/>
        <w:rPr>
          <w:rFonts w:ascii="Arial" w:cs="Arial" w:eastAsia="Arial" w:hAnsi="Arial"/>
          <w:sz w:val="20"/>
          <w:szCs w:val="20"/>
          <w:color w:val="auto"/>
        </w:rPr>
      </w:pPr>
    </w:p>
    <w:p>
      <w:pPr>
        <w:ind w:left="1580" w:hanging="935"/>
        <w:spacing w:after="0"/>
        <w:tabs>
          <w:tab w:leader="none" w:pos="15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that no Default or Event of Default has occurred or is continuing.</w:t>
      </w:r>
    </w:p>
    <w:p>
      <w:pPr>
        <w:spacing w:after="0" w:line="243" w:lineRule="exact"/>
        <w:rPr>
          <w:sz w:val="20"/>
          <w:szCs w:val="20"/>
          <w:color w:val="auto"/>
        </w:rPr>
      </w:pPr>
    </w:p>
    <w:p>
      <w:pPr>
        <w:jc w:val="both"/>
        <w:ind w:left="-660" w:right="140" w:firstLine="1305"/>
        <w:spacing w:after="0" w:line="278" w:lineRule="auto"/>
        <w:tabs>
          <w:tab w:leader="none" w:pos="1515" w:val="left"/>
        </w:tabs>
        <w:numPr>
          <w:ilvl w:val="0"/>
          <w:numId w:val="48"/>
        </w:numPr>
        <w:rPr>
          <w:rFonts w:ascii="Arial" w:cs="Arial" w:eastAsia="Arial" w:hAnsi="Arial"/>
          <w:sz w:val="20"/>
          <w:szCs w:val="20"/>
          <w:color w:val="auto"/>
        </w:rPr>
      </w:pPr>
      <w:r>
        <w:rPr>
          <w:rFonts w:ascii="Arial" w:cs="Arial" w:eastAsia="Arial" w:hAnsi="Arial"/>
          <w:sz w:val="20"/>
          <w:szCs w:val="20"/>
          <w:color w:val="auto"/>
        </w:rPr>
        <w:t>Each Borrowing of Revolving Loans shall be in an amount equal to (x) in the case of Base Rate Loans, $1,000,000 or a whole multiple thereof (or, if the then aggregate Available Commitments are less than $1,000,000, such lesser amount) and (y) in the case of Eurodollar Loans, $5,000,000 or a whole multiple of $1,000,000 in excess thereof.</w:t>
      </w:r>
    </w:p>
    <w:p>
      <w:pPr>
        <w:spacing w:after="0" w:line="187" w:lineRule="exact"/>
        <w:rPr>
          <w:sz w:val="20"/>
          <w:szCs w:val="20"/>
          <w:color w:val="auto"/>
        </w:rPr>
      </w:pPr>
    </w:p>
    <w:p>
      <w:pPr>
        <w:spacing w:after="0"/>
        <w:tabs>
          <w:tab w:leader="none" w:pos="222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Notice to Banks; Funding of Revolving Loans</w:t>
      </w:r>
      <w:r>
        <w:rPr>
          <w:rFonts w:ascii="Arial" w:cs="Arial" w:eastAsia="Arial" w:hAnsi="Arial"/>
          <w:sz w:val="18"/>
          <w:szCs w:val="18"/>
          <w:color w:val="auto"/>
        </w:rPr>
        <w:t>.</w:t>
      </w:r>
    </w:p>
    <w:p>
      <w:pPr>
        <w:spacing w:after="0" w:line="243" w:lineRule="exact"/>
        <w:rPr>
          <w:sz w:val="20"/>
          <w:szCs w:val="20"/>
          <w:color w:val="auto"/>
        </w:rPr>
      </w:pPr>
    </w:p>
    <w:p>
      <w:pPr>
        <w:jc w:val="both"/>
        <w:ind w:left="-660" w:right="20" w:firstLine="1305"/>
        <w:spacing w:after="0" w:line="314" w:lineRule="auto"/>
        <w:tabs>
          <w:tab w:leader="none" w:pos="1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receipt of a Notice of Borrowing from the Borrower in accordance with Section 2.3 hereof, the Administrative Agent shall, on the date such Notice of Borrowing is received by the Administrative Agent, notify each applicable Bank of the contents thereof and of such Bank’s Pro Rata Share of such Borrowing and of the interest rate applicable thereto and such Notice of Borrowing shall not thereafter be revocable by the Borrower, unless the Borrower shall pay any applicable expenses pursuant to Section 2.14.</w:t>
      </w:r>
    </w:p>
    <w:p>
      <w:pPr>
        <w:spacing w:after="0" w:line="159" w:lineRule="exact"/>
        <w:rPr>
          <w:rFonts w:ascii="Arial" w:cs="Arial" w:eastAsia="Arial" w:hAnsi="Arial"/>
          <w:sz w:val="18"/>
          <w:szCs w:val="18"/>
          <w:color w:val="auto"/>
        </w:rPr>
      </w:pPr>
    </w:p>
    <w:p>
      <w:pPr>
        <w:ind w:left="-660" w:right="200" w:firstLine="1305"/>
        <w:spacing w:after="0" w:line="278" w:lineRule="auto"/>
        <w:tabs>
          <w:tab w:leader="none" w:pos="1515" w:val="left"/>
        </w:tabs>
        <w:numPr>
          <w:ilvl w:val="0"/>
          <w:numId w:val="49"/>
        </w:numPr>
        <w:rPr>
          <w:rFonts w:ascii="Arial" w:cs="Arial" w:eastAsia="Arial" w:hAnsi="Arial"/>
          <w:sz w:val="20"/>
          <w:szCs w:val="20"/>
          <w:color w:val="auto"/>
        </w:rPr>
      </w:pPr>
      <w:r>
        <w:rPr>
          <w:rFonts w:ascii="Arial" w:cs="Arial" w:eastAsia="Arial" w:hAnsi="Arial"/>
          <w:sz w:val="20"/>
          <w:szCs w:val="20"/>
          <w:color w:val="auto"/>
        </w:rPr>
        <w:t>Not later than 12:00 p.m. (New York City time) on the requested Borrowing Date, each Bank shall (except as provided in subsection (c) of this Section 2.4) make available its Pro Rata Share of such Borrowing in Federal funds immediately available in New York, New York, to the Administrative Agent at its address referred to in Section 9.1.</w:t>
      </w:r>
    </w:p>
    <w:p>
      <w:pPr>
        <w:spacing w:after="0" w:line="186" w:lineRule="exact"/>
        <w:rPr>
          <w:rFonts w:ascii="Arial" w:cs="Arial" w:eastAsia="Arial" w:hAnsi="Arial"/>
          <w:sz w:val="20"/>
          <w:szCs w:val="20"/>
          <w:color w:val="auto"/>
        </w:rPr>
      </w:pPr>
    </w:p>
    <w:p>
      <w:pPr>
        <w:ind w:left="-660" w:firstLine="1305"/>
        <w:spacing w:after="0" w:line="300" w:lineRule="auto"/>
        <w:tabs>
          <w:tab w:leader="none" w:pos="1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Bank prior to the requested Borrowing Date that such Bank will not make available to the Administrative Agent such Bank’s share of a Borrowing, the Administrative Agent may assume that such Bank has made such share available to the Administrative Agent on the requested Borrowing Date in accordance with this Section 2.4 and the Administrative Agent may, in reliance upon such assumption, but shall not be obligated to, make available to the Borrower on such date a corresponding amount on behalf of such Bank. If and to the extent that such Bank shall not have so made such share available to the Administrative Agent, such Bank agrees to repay to the Administrative Agent forthwith on demand such corresponding amount together with interest thereon, at the Federal Funds Rate, for each day from the date such amount is made available to the Borrower until the date such amount is repaid to the Administrative Agent. If such Bank shall repay to the Administrative Agent such corresponding amount, such amount so repaid shall constitute such Bank’s Loan included in such Borrowing for purposes of this Agreement. If such Bank shall not pay to the Administrative Agent such corresponding amount after reasonable attempts are made by the Administrative Agent to collect such amounts from such Bank, the Borrower agrees to repay to the Administrative Agent forthwith on demand such corresponding amounts together with interest thereto, for each day from the date such amount is made available to the Borrower until the date such amount is repaid to the Administrative Agent, at the interest rate applicable thereto one (1) Business Day after demand. Nothing contained in this Section 2.4(c) shall be deemed to reduce the Commitment of any Bank or in any way affect the rights of the Borrower with respect to a Defaulting Bank or the Administrative Agent. The failure of any Bank to make available to the Administrative Agent such Bank’s share of any Borrowing in accordance with Section 2.4(b) hereof shall not relieve any other Bank of its obligations to fund its Commitment, in accordance with the provisions hereof.</w:t>
      </w:r>
    </w:p>
    <w:p>
      <w:pPr>
        <w:spacing w:after="0" w:line="181" w:lineRule="exact"/>
        <w:rPr>
          <w:rFonts w:ascii="Arial" w:cs="Arial" w:eastAsia="Arial" w:hAnsi="Arial"/>
          <w:sz w:val="18"/>
          <w:szCs w:val="18"/>
          <w:color w:val="auto"/>
        </w:rPr>
      </w:pPr>
    </w:p>
    <w:p>
      <w:pPr>
        <w:ind w:left="-660" w:right="120" w:firstLine="1305"/>
        <w:spacing w:after="0" w:line="316" w:lineRule="auto"/>
        <w:tabs>
          <w:tab w:leader="none" w:pos="1515"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Subject to the provisions hereof, the Administrative Agent shall make available each Borrowing to the Borrower in Federal funds immediately available in accordance with, and on the date set forth in, the applicable Notice of Borrowing.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4960" w:hanging="101"/>
        <w:spacing w:after="0"/>
        <w:tabs>
          <w:tab w:leader="none" w:pos="4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760"/>
          </w:cols>
          <w:pgMar w:left="900" w:top="595" w:right="239" w:bottom="1440" w:gutter="0" w:footer="0" w:header="0"/>
        </w:sectPr>
      </w:pPr>
    </w:p>
    <w:bookmarkStart w:id="73" w:name="page74"/>
    <w:bookmarkEnd w:id="73"/>
    <w:p>
      <w:pPr>
        <w:ind w:left="660"/>
        <w:spacing w:after="0"/>
        <w:tabs>
          <w:tab w:leader="none" w:pos="288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6"/>
          <w:szCs w:val="16"/>
          <w:u w:val="single" w:color="auto"/>
          <w:color w:val="auto"/>
        </w:rPr>
        <w:t>Notes</w:t>
      </w:r>
      <w:r>
        <w:rPr>
          <w:rFonts w:ascii="Arial" w:cs="Arial" w:eastAsia="Arial" w:hAnsi="Arial"/>
          <w:sz w:val="16"/>
          <w:szCs w:val="16"/>
          <w:color w:val="auto"/>
        </w:rPr>
        <w:t>.</w:t>
      </w:r>
    </w:p>
    <w:p>
      <w:pPr>
        <w:spacing w:after="0" w:line="243" w:lineRule="exact"/>
        <w:rPr>
          <w:sz w:val="20"/>
          <w:szCs w:val="20"/>
          <w:color w:val="auto"/>
        </w:rPr>
      </w:pPr>
    </w:p>
    <w:p>
      <w:pPr>
        <w:ind w:right="200" w:firstLine="1305"/>
        <w:spacing w:after="0" w:line="293" w:lineRule="auto"/>
        <w:tabs>
          <w:tab w:leader="none" w:pos="2164"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Bank may, by notice to the Borrower and the Administrative Agent, request that each of its Loans be evidenced by a Note substantially the form of Exhibit D hereto. Upon the execution and delivery of any such Note, any existing Note payable to such Bank shall be returned to the Borrower and replaced or modified accordingly. Each reference in this Agreement to the “Note” of such Bank shall be deemed to refer to and include any or all of such Notes, as the context may require.</w:t>
      </w:r>
    </w:p>
    <w:p>
      <w:pPr>
        <w:spacing w:after="0" w:line="175" w:lineRule="exact"/>
        <w:rPr>
          <w:rFonts w:ascii="Arial" w:cs="Arial" w:eastAsia="Arial" w:hAnsi="Arial"/>
          <w:sz w:val="19"/>
          <w:szCs w:val="19"/>
          <w:color w:val="auto"/>
        </w:rPr>
      </w:pPr>
    </w:p>
    <w:p>
      <w:pPr>
        <w:ind w:right="20" w:firstLine="1305"/>
        <w:spacing w:after="0" w:line="287" w:lineRule="auto"/>
        <w:tabs>
          <w:tab w:leader="none" w:pos="2175"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Upon receipt of any Bank’s Note pursuant to Section 3.1(a), the Administrative Agent shall forward such Note to such Bank. Such Bank shall record the date, amount, currency, type and maturity of each Loan made by it and the date and amount of each payment of principal made by the Borrower, with respect thereto, and may, if such Bank so elects in connection with any transfer or enforcement of its Note, endorse on the appropriate schedule appropriate notations to evidence the foregoing information with respect to each such Loan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such Bank to make any such recordation or endorsement shall not affect the obligations of the Borrower hereunder or under the Notes. Each Bank is hereby irrevocably authorized by the Borrower so to endorse its Note and to attach to and make a part of its Note a continuation of any such schedule as and when required.</w:t>
      </w:r>
    </w:p>
    <w:p>
      <w:pPr>
        <w:spacing w:after="0" w:line="183" w:lineRule="exact"/>
        <w:rPr>
          <w:rFonts w:ascii="Arial" w:cs="Arial" w:eastAsia="Arial" w:hAnsi="Arial"/>
          <w:sz w:val="19"/>
          <w:szCs w:val="19"/>
          <w:color w:val="auto"/>
        </w:rPr>
      </w:pPr>
    </w:p>
    <w:p>
      <w:pPr>
        <w:ind w:left="2180" w:hanging="875"/>
        <w:spacing w:after="0"/>
        <w:tabs>
          <w:tab w:leader="none" w:pos="21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There shall be no more than fifteen (15) Eurodollar Group of Loans outstanding at any one time.</w:t>
      </w:r>
    </w:p>
    <w:p>
      <w:pPr>
        <w:spacing w:after="0" w:line="243" w:lineRule="exact"/>
        <w:rPr>
          <w:sz w:val="20"/>
          <w:szCs w:val="20"/>
          <w:color w:val="auto"/>
        </w:rPr>
      </w:pPr>
    </w:p>
    <w:p>
      <w:pPr>
        <w:ind w:right="100" w:firstLine="648"/>
        <w:spacing w:after="0" w:line="299"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Method of Electing Interest Rates</w:t>
      </w:r>
      <w:r>
        <w:rPr>
          <w:rFonts w:ascii="Arial" w:cs="Arial" w:eastAsia="Arial" w:hAnsi="Arial"/>
          <w:sz w:val="19"/>
          <w:szCs w:val="19"/>
          <w:color w:val="auto"/>
        </w:rPr>
        <w:t>. (a) The Loans included in each Borrowing shall bear interest initially at the type of rate specified by the Borrower in the applicable Notice of Borrowing. Thereafter, the Borrower may from time to time elect to change or continue the type of interest rate borne by each Group of Loans (subject in each case to the provisions of Article VIII), as follows:</w:t>
      </w:r>
    </w:p>
    <w:p>
      <w:pPr>
        <w:spacing w:after="0" w:line="169" w:lineRule="exact"/>
        <w:rPr>
          <w:sz w:val="20"/>
          <w:szCs w:val="20"/>
          <w:color w:val="auto"/>
        </w:rPr>
      </w:pPr>
    </w:p>
    <w:p>
      <w:pPr>
        <w:ind w:left="660" w:right="60" w:firstLine="645"/>
        <w:spacing w:after="0" w:line="289" w:lineRule="auto"/>
        <w:tabs>
          <w:tab w:leader="none" w:pos="2143"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such Loans are Base Rate Loans, the Borrower may elect to convert all or any portion of such Loans to Eurodollar Loans as of any Eurodollar Business Day;</w:t>
      </w:r>
    </w:p>
    <w:p>
      <w:pPr>
        <w:spacing w:after="0" w:line="175" w:lineRule="exact"/>
        <w:rPr>
          <w:rFonts w:ascii="Arial" w:cs="Arial" w:eastAsia="Arial" w:hAnsi="Arial"/>
          <w:sz w:val="20"/>
          <w:szCs w:val="20"/>
          <w:color w:val="auto"/>
        </w:rPr>
      </w:pPr>
    </w:p>
    <w:p>
      <w:pPr>
        <w:ind w:left="660" w:firstLine="645"/>
        <w:spacing w:after="0" w:line="273" w:lineRule="auto"/>
        <w:tabs>
          <w:tab w:leader="none" w:pos="2198"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if such Loans are Eurodollar Loans, the Borrower may elect to convert all or any portion of such Loans to Base Rate Loans and/or elect to continue all or any portion of such Loans as Eurodollar Loans for an additional Interest Period or additional Interest Periods, in each case effective on the last day of the then current Interest Period applicable to such Loans, or on such other date designated by the Borrower in the Notice of Interest Rate Election,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Borrower shall pay any losses pursuant to Section 2.14.</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Each such election shall be made by delivering a notice (a “</w:t>
      </w:r>
      <w:r>
        <w:rPr>
          <w:rFonts w:ascii="Arial" w:cs="Arial" w:eastAsia="Arial" w:hAnsi="Arial"/>
          <w:sz w:val="19"/>
          <w:szCs w:val="19"/>
          <w:u w:val="single" w:color="auto"/>
          <w:color w:val="auto"/>
        </w:rPr>
        <w:t>Notice of Interest Rate Election</w:t>
      </w:r>
      <w:r>
        <w:rPr>
          <w:rFonts w:ascii="Arial" w:cs="Arial" w:eastAsia="Arial" w:hAnsi="Arial"/>
          <w:sz w:val="19"/>
          <w:szCs w:val="19"/>
          <w:color w:val="auto"/>
        </w:rPr>
        <w:t xml:space="preserve">”) to the Administrative Agent at least three (3) Eurodollar Business Days prior to, but excluding, the effective date of the conversion or continuation selected in such notice. A Notice of Interest Rate Election may, if it so specifies, apply to only a portion of the aggregate principal amount of the relevant Group of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portion is allocated ratably among the Loans comprising such Group of Loans, (ii) the portion to which such Notice of Interest Rate Election applies, and the remaining portion to which it does not apply, are each in the minimum amounts required hereby, (iii) no Loan may be continued as, or converted into, a Eurodollar Loan when any Event of Default has occurred and is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and for so long as the Borrower shall have an Investment Grade Rating from S&amp;P and Moody’s, if the Borrower shall so request and the Required Banks shall so elect, then a Loan may be continued as, or converted into, a Eurodollar Loan when any Event of Default has occurred and is continuing, and (iv) no Interest Period shall extend beyond the Maturity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595" w:right="239" w:bottom="1440" w:gutter="0" w:footer="0" w:header="0"/>
        </w:sectPr>
      </w:pPr>
    </w:p>
    <w:bookmarkStart w:id="74" w:name="page75"/>
    <w:bookmarkEnd w:id="74"/>
    <w:p>
      <w:pPr>
        <w:ind w:left="2180" w:hanging="875"/>
        <w:spacing w:after="0"/>
        <w:tabs>
          <w:tab w:leader="none" w:pos="21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Each Notice of Interest Rate Election shall specify:</w:t>
      </w:r>
    </w:p>
    <w:p>
      <w:pPr>
        <w:spacing w:after="0" w:line="243" w:lineRule="exact"/>
        <w:rPr>
          <w:sz w:val="20"/>
          <w:szCs w:val="20"/>
          <w:color w:val="auto"/>
        </w:rPr>
      </w:pPr>
    </w:p>
    <w:p>
      <w:pPr>
        <w:ind w:left="2140" w:hanging="835"/>
        <w:spacing w:after="0"/>
        <w:tabs>
          <w:tab w:leader="none" w:pos="21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Group of Loans (or portion thereof) to which such notice applies;</w:t>
      </w:r>
    </w:p>
    <w:p>
      <w:pPr>
        <w:spacing w:after="0" w:line="242" w:lineRule="exact"/>
        <w:rPr>
          <w:rFonts w:ascii="Arial" w:cs="Arial" w:eastAsia="Arial" w:hAnsi="Arial"/>
          <w:sz w:val="20"/>
          <w:szCs w:val="20"/>
          <w:color w:val="auto"/>
        </w:rPr>
      </w:pPr>
    </w:p>
    <w:p>
      <w:pPr>
        <w:ind w:left="660" w:right="100" w:firstLine="645"/>
        <w:spacing w:after="0" w:line="289" w:lineRule="auto"/>
        <w:tabs>
          <w:tab w:leader="none" w:pos="219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date on which the conversion or continuation selected in such notice is to be effective, which shall comply with the applicable clause of subsection (a) above;</w:t>
      </w:r>
    </w:p>
    <w:p>
      <w:pPr>
        <w:spacing w:after="0" w:line="175" w:lineRule="exact"/>
        <w:rPr>
          <w:rFonts w:ascii="Arial" w:cs="Arial" w:eastAsia="Arial" w:hAnsi="Arial"/>
          <w:sz w:val="20"/>
          <w:szCs w:val="20"/>
          <w:color w:val="auto"/>
        </w:rPr>
      </w:pPr>
    </w:p>
    <w:p>
      <w:pPr>
        <w:ind w:left="660" w:right="260" w:firstLine="645"/>
        <w:spacing w:after="0" w:line="289" w:lineRule="auto"/>
        <w:tabs>
          <w:tab w:leader="none" w:pos="2253"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the Loans comprising such Group of Loans are to be converted, the new type of Loans and, if such new Loans are Eurodollar Loans, the duration of the initial Interest Period applicable thereto; and</w:t>
      </w:r>
    </w:p>
    <w:p>
      <w:pPr>
        <w:spacing w:after="0" w:line="175" w:lineRule="exact"/>
        <w:rPr>
          <w:rFonts w:ascii="Arial" w:cs="Arial" w:eastAsia="Arial" w:hAnsi="Arial"/>
          <w:sz w:val="20"/>
          <w:szCs w:val="20"/>
          <w:color w:val="auto"/>
        </w:rPr>
      </w:pPr>
    </w:p>
    <w:p>
      <w:pPr>
        <w:ind w:left="660" w:right="640" w:firstLine="645"/>
        <w:spacing w:after="0" w:line="289" w:lineRule="auto"/>
        <w:tabs>
          <w:tab w:leader="none" w:pos="22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such Loans are to be continued as Eurodollar Loans for an additional Interest Period, the duration of such additional Interest Period.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Each Interest Period specified in a Notice of Interest Rate Election shall comply with the provisions of the definition of Interest Period.</w:t>
      </w:r>
    </w:p>
    <w:p>
      <w:pPr>
        <w:spacing w:after="0" w:line="241" w:lineRule="exact"/>
        <w:rPr>
          <w:sz w:val="20"/>
          <w:szCs w:val="20"/>
          <w:color w:val="auto"/>
        </w:rPr>
      </w:pPr>
    </w:p>
    <w:p>
      <w:pPr>
        <w:ind w:right="120" w:firstLine="1305"/>
        <w:spacing w:after="0" w:line="310" w:lineRule="auto"/>
        <w:tabs>
          <w:tab w:leader="none" w:pos="21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receipt of a Notice of Interest Rate Election from the Borrower pursuant to subsection (a) above, the Administrative Agent shall notify each Bank with Loans affected thereby the same day as it receives such Notice of Interest Rate Election of the contents thereof and the interest rates determined pursuant thereto and such notice shall not thereafter be revocable by the Borrower. If the Borrower fails to deliver a timely Notice of Interest Rate Election to the Administrative Agent for any Group of Eurodollar Loans, such Loans shall be converted into Base Rate Loans on the last day of the then current Interest Period applicable thereto.</w:t>
      </w:r>
    </w:p>
    <w:p>
      <w:pPr>
        <w:spacing w:after="0" w:line="162"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6"/>
          <w:szCs w:val="16"/>
          <w:u w:val="single" w:color="auto"/>
          <w:color w:val="auto"/>
        </w:rPr>
        <w:t>Interest Rates</w:t>
      </w:r>
      <w:r>
        <w:rPr>
          <w:rFonts w:ascii="Arial" w:cs="Arial" w:eastAsia="Arial" w:hAnsi="Arial"/>
          <w:sz w:val="16"/>
          <w:szCs w:val="16"/>
          <w:color w:val="auto"/>
        </w:rPr>
        <w:t>.</w:t>
      </w:r>
    </w:p>
    <w:p>
      <w:pPr>
        <w:spacing w:after="0" w:line="243" w:lineRule="exact"/>
        <w:rPr>
          <w:sz w:val="20"/>
          <w:szCs w:val="20"/>
          <w:color w:val="auto"/>
        </w:rPr>
      </w:pPr>
    </w:p>
    <w:p>
      <w:pPr>
        <w:ind w:firstLine="1305"/>
        <w:spacing w:after="0" w:line="278" w:lineRule="auto"/>
        <w:tabs>
          <w:tab w:leader="none" w:pos="2164"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Each Base Rate Loan shall bear interest on the outstanding principal amount thereof, for each day from the date such Loan is made until the date it is repaid or converted into a Eurodollar Loan pursuant to Section 2.6, at a rate per annum equal to the sum of the Base Rate plus the Applicable Margin for Base Rate Loans for such day.</w:t>
      </w:r>
    </w:p>
    <w:p>
      <w:pPr>
        <w:spacing w:after="0" w:line="186" w:lineRule="exact"/>
        <w:rPr>
          <w:rFonts w:ascii="Arial" w:cs="Arial" w:eastAsia="Arial" w:hAnsi="Arial"/>
          <w:sz w:val="20"/>
          <w:szCs w:val="20"/>
          <w:color w:val="auto"/>
        </w:rPr>
      </w:pPr>
    </w:p>
    <w:p>
      <w:pPr>
        <w:ind w:right="340" w:firstLine="1305"/>
        <w:spacing w:after="0" w:line="278" w:lineRule="auto"/>
        <w:tabs>
          <w:tab w:leader="none" w:pos="2175"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Each Eurodollar Loan shall bear interest on the outstanding principal amount thereof, for each day during the Interest Period applicable thereto, at a rate per annum equal to the sum of the Applicable Margin for Eurodollar Loans for such day plus the Eurodollar Rate applicable to such Interest Period.</w:t>
      </w:r>
    </w:p>
    <w:p>
      <w:pPr>
        <w:spacing w:after="0" w:line="186" w:lineRule="exact"/>
        <w:rPr>
          <w:rFonts w:ascii="Arial" w:cs="Arial" w:eastAsia="Arial" w:hAnsi="Arial"/>
          <w:sz w:val="20"/>
          <w:szCs w:val="20"/>
          <w:color w:val="auto"/>
        </w:rPr>
      </w:pPr>
    </w:p>
    <w:p>
      <w:pPr>
        <w:ind w:right="120" w:firstLine="1305"/>
        <w:spacing w:after="0" w:line="310" w:lineRule="auto"/>
        <w:tabs>
          <w:tab w:leader="none" w:pos="21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that, and for so long as, any Event of Default shall have occurred and be continuing, any overdue principal amount of the Loans and, to the extent permitted under applicable law, overdue interest and fees in respect of all Loans, shall bear interest at the annual rate equal to the sum of the Base Rate and the Applicable Margin for Base Rate Loans and two percent (2%), or, if any Loan shall have been continued as, or converted into, a Eurodollar Loan, then, as to such Loan only, the sum of the Eurodollar Rate applicable to such Loan and the Applicable Margin for Eurodollar Loans, and two percent (2%) (collectively,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right="120" w:firstLine="1305"/>
        <w:spacing w:after="0" w:line="278" w:lineRule="auto"/>
        <w:tabs>
          <w:tab w:leader="none" w:pos="2175"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Administrative Agent shall determine each interest rate applicable to the Loans hereunder. The Administrative Agent shall give prompt notice to the Borrower and the Banks of each rate of interest so determined, and its determination thereof shall be conclusive in the absence of demonstrable error.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20" w:hanging="101"/>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00"/>
          </w:cols>
          <w:pgMar w:left="240" w:top="595" w:right="259" w:bottom="1440" w:gutter="0" w:footer="0" w:header="0"/>
        </w:sectPr>
      </w:pPr>
    </w:p>
    <w:bookmarkStart w:id="75" w:name="page76"/>
    <w:bookmarkEnd w:id="75"/>
    <w:p>
      <w:pPr>
        <w:ind w:firstLine="1305"/>
        <w:spacing w:after="0" w:line="314" w:lineRule="auto"/>
        <w:tabs>
          <w:tab w:leader="none" w:pos="21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 on all Loans bearing interest at the Base Rate shall be payable in arrears on each Payment Date. Interest on all Loans bearing interest based on the Eurodollar Rate shall be payable in arrears on the last day of the applicable Interest Period as to any such Loan having an Interest Period of three months or less and, as to any such Loan having an Interest Period longer than three months, each day that is three months, or a whole multiple thereof, after the first day of such Interest Period and the last day of such Interest Period.</w:t>
      </w:r>
    </w:p>
    <w:p>
      <w:pPr>
        <w:spacing w:after="0" w:line="15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43" w:lineRule="exact"/>
        <w:rPr>
          <w:sz w:val="20"/>
          <w:szCs w:val="20"/>
          <w:color w:val="auto"/>
        </w:rPr>
      </w:pPr>
    </w:p>
    <w:p>
      <w:pPr>
        <w:ind w:right="160" w:firstLine="1305"/>
        <w:spacing w:after="0" w:line="314" w:lineRule="auto"/>
        <w:tabs>
          <w:tab w:leader="none" w:pos="216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 The Borrower agrees to pay to the Administrative Agent for the account of each Bank a commitment fee for the period from and including the date hereof to the last day of the Revolving Commitment Period, computed at the Commitment Fee Rate on the average daily amount of the Available Commitment of such Bank during the period for which payment is made, payable quarterly in arrears on each Payment Date, commencing on the first such date to occur after the date hereof.</w:t>
      </w:r>
    </w:p>
    <w:p>
      <w:pPr>
        <w:spacing w:after="0" w:line="159" w:lineRule="exact"/>
        <w:rPr>
          <w:rFonts w:ascii="Arial" w:cs="Arial" w:eastAsia="Arial" w:hAnsi="Arial"/>
          <w:sz w:val="18"/>
          <w:szCs w:val="18"/>
          <w:color w:val="auto"/>
        </w:rPr>
      </w:pPr>
    </w:p>
    <w:p>
      <w:pPr>
        <w:ind w:right="60" w:firstLine="1305"/>
        <w:spacing w:after="0" w:line="274" w:lineRule="auto"/>
        <w:tabs>
          <w:tab w:leader="none" w:pos="2175"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Upfront Fee; Other Fees</w:t>
      </w:r>
      <w:r>
        <w:rPr>
          <w:rFonts w:ascii="Arial" w:cs="Arial" w:eastAsia="Arial" w:hAnsi="Arial"/>
          <w:sz w:val="20"/>
          <w:szCs w:val="20"/>
          <w:color w:val="auto"/>
        </w:rPr>
        <w:t>. The Borrower agrees to pay to the Administrative Agent, for the account of each Bank, an upfront fee equal to 0.25% of the Commitment of such Bank, payable on the Closing Date. The Borrower agrees to pay to the Administrative Agent for its own account and the account of the Agents such fees as may from time to time be separately agreed upon among the Borrower and such Agents.</w:t>
      </w:r>
    </w:p>
    <w:p>
      <w:pPr>
        <w:spacing w:after="0" w:line="192" w:lineRule="exact"/>
        <w:rPr>
          <w:rFonts w:ascii="Arial" w:cs="Arial" w:eastAsia="Arial" w:hAnsi="Arial"/>
          <w:sz w:val="20"/>
          <w:szCs w:val="20"/>
          <w:color w:val="auto"/>
        </w:rPr>
      </w:pPr>
    </w:p>
    <w:p>
      <w:pPr>
        <w:ind w:right="20" w:firstLine="1305"/>
        <w:spacing w:after="0" w:line="274" w:lineRule="auto"/>
        <w:tabs>
          <w:tab w:leader="none" w:pos="216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Fees Non-Refundable</w:t>
      </w:r>
      <w:r>
        <w:rPr>
          <w:rFonts w:ascii="Arial" w:cs="Arial" w:eastAsia="Arial" w:hAnsi="Arial"/>
          <w:sz w:val="20"/>
          <w:szCs w:val="20"/>
          <w:color w:val="auto"/>
        </w:rPr>
        <w:t>. All fees set forth in this Section 2.8 shall be deemed to have been earned on the date payment is due in accordance with the provisions hereof and shall be non-refundable. The obligation of the Borrower to pay such fees in accordance with the provisions hereof shall be binding upon the Borrower and shall inure to the benefit of the Administrative Agent and the Banks regardless of whether any Loans are actually made.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ind w:left="660"/>
              <w:spacing w:after="0"/>
              <w:rPr>
                <w:sz w:val="20"/>
                <w:szCs w:val="20"/>
                <w:color w:val="auto"/>
              </w:rPr>
            </w:pPr>
            <w:r>
              <w:rPr>
                <w:rFonts w:ascii="Arial" w:cs="Arial" w:eastAsia="Arial" w:hAnsi="Arial"/>
                <w:sz w:val="20"/>
                <w:szCs w:val="20"/>
                <w:color w:val="auto"/>
              </w:rPr>
              <w:t>Section 2.9.</w:t>
            </w:r>
          </w:p>
        </w:tc>
        <w:tc>
          <w:tcPr>
            <w:tcW w:w="8760" w:type="dxa"/>
            <w:vAlign w:val="bottom"/>
            <w:gridSpan w:val="5"/>
          </w:tcPr>
          <w:p>
            <w:pPr>
              <w:ind w:left="260"/>
              <w:spacing w:after="0"/>
              <w:rPr>
                <w:sz w:val="20"/>
                <w:szCs w:val="20"/>
                <w:color w:val="auto"/>
              </w:rPr>
            </w:pPr>
            <w:r>
              <w:rPr>
                <w:rFonts w:ascii="Arial" w:cs="Arial" w:eastAsia="Arial" w:hAnsi="Arial"/>
                <w:sz w:val="20"/>
                <w:szCs w:val="20"/>
                <w:color w:val="auto"/>
                <w:w w:val="90"/>
              </w:rPr>
              <w:t>Maturity Date. All Loans (together with accrued interest thereon and all other Obligations) shall be due and</w:t>
            </w:r>
          </w:p>
        </w:tc>
      </w:tr>
      <w:tr>
        <w:trPr>
          <w:trHeight w:val="281"/>
        </w:trPr>
        <w:tc>
          <w:tcPr>
            <w:tcW w:w="2640" w:type="dxa"/>
            <w:vAlign w:val="bottom"/>
          </w:tcPr>
          <w:p>
            <w:pPr>
              <w:spacing w:after="0"/>
              <w:rPr>
                <w:sz w:val="20"/>
                <w:szCs w:val="20"/>
                <w:color w:val="auto"/>
              </w:rPr>
            </w:pPr>
            <w:r>
              <w:rPr>
                <w:rFonts w:ascii="Arial" w:cs="Arial" w:eastAsia="Arial" w:hAnsi="Arial"/>
                <w:sz w:val="20"/>
                <w:szCs w:val="20"/>
                <w:color w:val="auto"/>
              </w:rPr>
              <w:t>payable on the Maturity Date.</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28"/>
        </w:trPr>
        <w:tc>
          <w:tcPr>
            <w:tcW w:w="2640" w:type="dxa"/>
            <w:vAlign w:val="bottom"/>
          </w:tcPr>
          <w:p>
            <w:pPr>
              <w:ind w:left="660"/>
              <w:spacing w:after="0"/>
              <w:rPr>
                <w:sz w:val="20"/>
                <w:szCs w:val="20"/>
                <w:color w:val="auto"/>
              </w:rPr>
            </w:pPr>
            <w:r>
              <w:rPr>
                <w:rFonts w:ascii="Arial" w:cs="Arial" w:eastAsia="Arial" w:hAnsi="Arial"/>
                <w:sz w:val="20"/>
                <w:szCs w:val="20"/>
                <w:color w:val="auto"/>
              </w:rPr>
              <w:t>Section 2.10.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Arial" w:cs="Arial" w:eastAsia="Arial" w:hAnsi="Arial"/>
                <w:sz w:val="20"/>
                <w:szCs w:val="20"/>
                <w:color w:val="auto"/>
              </w:rPr>
              <w:t>Optional Prepayments; Termination or Reduction of Commitments.</w:t>
            </w:r>
          </w:p>
        </w:tc>
      </w:tr>
      <w:tr>
        <w:trPr>
          <w:trHeight w:val="20"/>
        </w:trPr>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53" w:lineRule="exact"/>
        <w:rPr>
          <w:sz w:val="20"/>
          <w:szCs w:val="20"/>
          <w:color w:val="auto"/>
        </w:rPr>
      </w:pPr>
    </w:p>
    <w:p>
      <w:pPr>
        <w:ind w:right="80" w:firstLine="1305"/>
        <w:spacing w:after="0" w:line="273" w:lineRule="auto"/>
        <w:tabs>
          <w:tab w:leader="none" w:pos="2164"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Borrower may, upon at least one (1) Business Day’s notice to the Administrative Agent (which notice shall be substantially in the form of Exhibit I hereto), prepay any Group of Base Rate Loans, in whole at any time, or from time to time in part in amounts aggregating $1,000,000 or more, by paying the principal amount to be prepaid together with accrued interest thereon to the date of prepayment. Each such optional prepayment shall be applied to prepay ratably the Loans of the several Banks included in such Group of Loans or Borrowing.</w:t>
      </w:r>
    </w:p>
    <w:p>
      <w:pPr>
        <w:spacing w:after="0" w:line="191" w:lineRule="exact"/>
        <w:rPr>
          <w:rFonts w:ascii="Arial" w:cs="Arial" w:eastAsia="Arial" w:hAnsi="Arial"/>
          <w:sz w:val="20"/>
          <w:szCs w:val="20"/>
          <w:color w:val="auto"/>
        </w:rPr>
      </w:pPr>
    </w:p>
    <w:p>
      <w:pPr>
        <w:ind w:right="20" w:firstLine="1305"/>
        <w:spacing w:after="0" w:line="261" w:lineRule="auto"/>
        <w:tabs>
          <w:tab w:leader="none" w:pos="2175"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Borrower may, upon at least three (3) Eurodollar Business Days’ notice to the Administrative Agent, given no later than 12:00 Noon (New York City time) (which notice shall be substantially in the form of Exhibit I hereto), prepay all, or from time to time in part in amounts aggregating $5,000,000 or more, any Group of Eurodollar Loans as of the last day of the Interest Period applicable thereto. Except as provided in Article VIII, the Borrower may not prepay all or any portion of the principal amount of any Eurodollar Loan prior to the end of the Interest Period applicable thereto unless the Borrower shall also pay any applicable expenses pursuant to Section 2.14. Any such prepayment notice shall be given on or prior to the third (3</w:t>
      </w:r>
      <w:r>
        <w:rPr>
          <w:rFonts w:ascii="Arial" w:cs="Arial" w:eastAsia="Arial" w:hAnsi="Arial"/>
          <w:sz w:val="25"/>
          <w:szCs w:val="25"/>
          <w:color w:val="auto"/>
          <w:vertAlign w:val="superscript"/>
        </w:rPr>
        <w:t>rd</w:t>
      </w:r>
      <w:r>
        <w:rPr>
          <w:rFonts w:ascii="Arial" w:cs="Arial" w:eastAsia="Arial" w:hAnsi="Arial"/>
          <w:sz w:val="20"/>
          <w:szCs w:val="20"/>
          <w:color w:val="auto"/>
        </w:rPr>
        <w:t>) Eurodollar Business Day prior to, but excluding, the date of prepayment to the Administrative Agent. Each such optional prepayment shall be applied to prepay ratably the Loans of the Banks included in any Group of Eurodollar Loans.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ind w:left="5620" w:hanging="101"/>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20"/>
          </w:cols>
          <w:pgMar w:left="240" w:top="595" w:right="239" w:bottom="1440" w:gutter="0" w:footer="0" w:header="0"/>
        </w:sectPr>
      </w:pPr>
    </w:p>
    <w:bookmarkStart w:id="76" w:name="page77"/>
    <w:bookmarkEnd w:id="76"/>
    <w:p>
      <w:pPr>
        <w:ind w:left="-8" w:right="200" w:firstLine="1305"/>
        <w:spacing w:after="0" w:line="297" w:lineRule="auto"/>
        <w:tabs>
          <w:tab w:leader="none" w:pos="21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amount of Revolving Loans so prepaid pursuant to Section 2.10(a) or (b) may be reborrowed during the Revolving Commitment Period subject to the terms of this Agreement. Any amounts of Term Loans so prepaid pursuant to Section 2.10(a) or</w:t>
      </w:r>
    </w:p>
    <w:p>
      <w:pPr>
        <w:jc w:val="both"/>
        <w:ind w:left="-8" w:right="160" w:firstLine="8"/>
        <w:spacing w:after="0" w:line="299" w:lineRule="auto"/>
        <w:tabs>
          <w:tab w:leader="none" w:pos="272" w:val="left"/>
        </w:tabs>
        <w:numPr>
          <w:ilvl w:val="0"/>
          <w:numId w:val="60"/>
        </w:numPr>
        <w:rPr>
          <w:rFonts w:ascii="Arial" w:cs="Arial" w:eastAsia="Arial" w:hAnsi="Arial"/>
          <w:sz w:val="19"/>
          <w:szCs w:val="19"/>
          <w:color w:val="auto"/>
        </w:rPr>
      </w:pPr>
      <w:r>
        <w:rPr>
          <w:rFonts w:ascii="Arial" w:cs="Arial" w:eastAsia="Arial" w:hAnsi="Arial"/>
          <w:sz w:val="19"/>
          <w:szCs w:val="19"/>
          <w:color w:val="auto"/>
        </w:rPr>
        <w:t>may not be borrowed or reborrowed and the amount of each such prepayment of Term Loans shall be applied to reduce the then remaining installments of Term Loans described in Section 2.2(d) in direct order of maturity. Each prepayment of the Loans under this Section 2.10 shall be accompanied by accrued and unpaid interest thereon to the date of such prepayment on the amount so prepaid.</w:t>
      </w:r>
    </w:p>
    <w:p>
      <w:pPr>
        <w:spacing w:after="0" w:line="169" w:lineRule="exact"/>
        <w:rPr>
          <w:rFonts w:ascii="Arial" w:cs="Arial" w:eastAsia="Arial" w:hAnsi="Arial"/>
          <w:sz w:val="19"/>
          <w:szCs w:val="19"/>
          <w:color w:val="auto"/>
        </w:rPr>
      </w:pPr>
    </w:p>
    <w:p>
      <w:pPr>
        <w:ind w:left="-8" w:right="80" w:firstLine="1305"/>
        <w:spacing w:after="0" w:line="310" w:lineRule="auto"/>
        <w:tabs>
          <w:tab w:leader="none" w:pos="216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Borrower shall have the right, upon not less than three (3) Business Days’ notice to the Administrative Agent, to terminate the Commitments or, from time to time, to reduce the amount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Commitments shall be permitted if, after giving effect thereto and to any prepayments of the Revolving Loans made on the effective date thereof, the Total Revolving Loan would exceed the lesser of the Total Commitments and the Borrowing Base. Any such reduction shall be in an amount equal to $5,000,000, or a whole multiple thereof, and shall reduce permanently the Commitments then in effect.</w:t>
      </w:r>
    </w:p>
    <w:p>
      <w:pPr>
        <w:spacing w:after="0" w:line="162" w:lineRule="exact"/>
        <w:rPr>
          <w:sz w:val="20"/>
          <w:szCs w:val="20"/>
          <w:color w:val="auto"/>
        </w:rPr>
      </w:pPr>
    </w:p>
    <w:p>
      <w:pPr>
        <w:ind w:left="652"/>
        <w:spacing w:after="0"/>
        <w:tabs>
          <w:tab w:leader="none" w:pos="2952"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Mandatory Prepayments of Loans</w:t>
      </w:r>
      <w:r>
        <w:rPr>
          <w:rFonts w:ascii="Arial" w:cs="Arial" w:eastAsia="Arial" w:hAnsi="Arial"/>
          <w:sz w:val="16"/>
          <w:szCs w:val="16"/>
          <w:color w:val="auto"/>
        </w:rPr>
        <w:t>.</w:t>
      </w:r>
    </w:p>
    <w:p>
      <w:pPr>
        <w:spacing w:after="0" w:line="243" w:lineRule="exact"/>
        <w:rPr>
          <w:sz w:val="20"/>
          <w:szCs w:val="20"/>
          <w:color w:val="auto"/>
        </w:rPr>
      </w:pPr>
    </w:p>
    <w:p>
      <w:pPr>
        <w:ind w:left="-8" w:right="60" w:firstLine="1305"/>
        <w:spacing w:after="0" w:line="310" w:lineRule="auto"/>
        <w:tabs>
          <w:tab w:leader="none" w:pos="21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and on such occasion (whether upon delivery of a Borrowing Base Certificate pursuant to Section 5.1(i), a Monthly Certificate pursuant to Section 5.1(j) or a BPO pursuant to Section 5.1(k) or any other circumstance) that (i) the Total Revolving Loans exceed the Total Commitments or (ii) the aggregate principal amount of the Loans exceed the Borrowing Base, the Borrower shall within 30 days after such occasion prepay the Loans in an aggregate amount equal to such excess or cause one or more additional Eligible Credit Tenant Lease Assets or Eligible Loan Assets to become Covered Assets in accordance with Section 2.18.</w:t>
      </w:r>
    </w:p>
    <w:p>
      <w:pPr>
        <w:spacing w:after="0" w:line="162" w:lineRule="exact"/>
        <w:rPr>
          <w:rFonts w:ascii="Arial" w:cs="Arial" w:eastAsia="Arial" w:hAnsi="Arial"/>
          <w:sz w:val="18"/>
          <w:szCs w:val="18"/>
          <w:color w:val="auto"/>
        </w:rPr>
      </w:pPr>
    </w:p>
    <w:p>
      <w:pPr>
        <w:ind w:left="-8" w:firstLine="1305"/>
        <w:spacing w:after="0" w:line="303" w:lineRule="auto"/>
        <w:tabs>
          <w:tab w:leader="none" w:pos="21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prepayment of Loans pursuant to this Section 2.11 shall be made upon notice (which shall be irrevocable unless otherwise agreed by the Administrative Agent) delivered to the Administrative Agent no later than 12:00 Noon (New York City time), three (3) Eurodollar Business Days prior thereto, in the case of Eurodollar Loans, and no later than 12:00 Noon (New York City time), one (1) Business Day prior thereto, in the case of Base Loans, which notice shall specify the date and amount of prepayment and whether the prepayment is of Eurodollar Loans or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Eurodollar Loan is prepaid on any day other than the last day of the Interest Period applicable thereto, the Borrower shall also pay any amounts owing pursuant to Section 2.14. Upon receipt of any such notice the Administrative Agent shall promptly notify each Bank thereof. If any such notice is given, the amount specified in such notice shall be due and payable on the date specified therein. The application of any mandatory prepayment pursuant to this Section 2.11 shall be made,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Base Rate Loans, and </w:t>
      </w:r>
      <w:r>
        <w:rPr>
          <w:rFonts w:ascii="Arial" w:cs="Arial" w:eastAsia="Arial" w:hAnsi="Arial"/>
          <w:sz w:val="18"/>
          <w:szCs w:val="18"/>
          <w:u w:val="single" w:color="auto"/>
          <w:color w:val="auto"/>
        </w:rPr>
        <w:t>second</w:t>
      </w:r>
      <w:r>
        <w:rPr>
          <w:rFonts w:ascii="Arial" w:cs="Arial" w:eastAsia="Arial" w:hAnsi="Arial"/>
          <w:sz w:val="18"/>
          <w:szCs w:val="18"/>
          <w:color w:val="auto"/>
        </w:rPr>
        <w:t>, to Eurodollar Loans. Each prepayment of the Loans under this Section 2.11 shall be accompanied by accrued and unpaid interest thereon to the date of such prepayment on the amount so prepaid.</w:t>
      </w:r>
    </w:p>
    <w:p>
      <w:pPr>
        <w:spacing w:after="0" w:line="169" w:lineRule="exact"/>
        <w:rPr>
          <w:sz w:val="20"/>
          <w:szCs w:val="20"/>
          <w:color w:val="auto"/>
        </w:rPr>
      </w:pPr>
    </w:p>
    <w:p>
      <w:pPr>
        <w:ind w:left="652"/>
        <w:spacing w:after="0"/>
        <w:tabs>
          <w:tab w:leader="none" w:pos="2972"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General Provisions as to Payments</w:t>
      </w:r>
      <w:r>
        <w:rPr>
          <w:rFonts w:ascii="Arial" w:cs="Arial" w:eastAsia="Arial" w:hAnsi="Arial"/>
          <w:sz w:val="16"/>
          <w:szCs w:val="16"/>
          <w:color w:val="auto"/>
        </w:rPr>
        <w:t>.</w:t>
      </w:r>
    </w:p>
    <w:p>
      <w:pPr>
        <w:spacing w:after="0" w:line="243" w:lineRule="exact"/>
        <w:rPr>
          <w:sz w:val="20"/>
          <w:szCs w:val="20"/>
          <w:color w:val="auto"/>
        </w:rPr>
      </w:pPr>
    </w:p>
    <w:p>
      <w:pPr>
        <w:ind w:left="-8" w:right="300" w:firstLine="1305"/>
        <w:spacing w:after="0" w:line="305" w:lineRule="auto"/>
        <w:tabs>
          <w:tab w:leader="none" w:pos="21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shall make each payment of the principal of and interest on the Loans and fees hereunder, without set-off or counterclaim, by initiating a wire transfer not later than 12:00 Noon (New York City time) on the date when due, of Federal funds immediately available in New York, New York, to the Administrative Agent at its address referred to in Section 9.1, it being understood that written or facsimile notice by the Borrower to the Administrative Agent to make a payment from the funds in the Borrower’s account maintained at the Administrative Agent shall constitute the making of such payment to the extent of such funds held in such account. The Administrative Agent will promptly (and in any event within one (1) Business Day after receipt thereof) distribute to each Bank its ratable share in accordance with the amount of such Bank’s relevant outstanding Loans, of each such payment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12" w:hanging="101"/>
        <w:spacing w:after="0"/>
        <w:tabs>
          <w:tab w:leader="none" w:pos="56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12"/>
          </w:cols>
          <w:pgMar w:left="248" w:top="595" w:right="239" w:bottom="1440" w:gutter="0" w:footer="0" w:header="0"/>
        </w:sectPr>
      </w:pPr>
    </w:p>
    <w:bookmarkStart w:id="77" w:name="page78"/>
    <w:bookmarkEnd w:id="77"/>
    <w:p>
      <w:pPr>
        <w:spacing w:after="0" w:line="285" w:lineRule="auto"/>
        <w:rPr>
          <w:sz w:val="20"/>
          <w:szCs w:val="20"/>
          <w:color w:val="auto"/>
        </w:rPr>
      </w:pPr>
      <w:r>
        <w:rPr>
          <w:rFonts w:ascii="Arial" w:cs="Arial" w:eastAsia="Arial" w:hAnsi="Arial"/>
          <w:sz w:val="19"/>
          <w:szCs w:val="19"/>
          <w:color w:val="auto"/>
        </w:rPr>
        <w:t>received by the Administrative Agent for the account of the Banks. If and to the extent that the Administrative Agent shall receive any such payment for the account of the Banks on or before 11:00 a.m. (New York City time) on any Business Day (or Eurodollar Business Day, as applicable), and the Administrative Agent shall not have distributed to any Bank its applicable share of such payment on such day, the Administrative Agent shall distribute such amount to such Bank together with interest thereon, for each day from the date such amount should have been distributed to such Bank until the date the Administrative Agent distributes such amount to such Bank, at the Federal Funds Rate. Whenever any payment of principal of, or interest on the Base Rate Loans or of fees shall be due on a day which is not a Business Day, the date for payment thereof shall be extended to the next succeeding Business Day. Whenever any payment of principal of, or interest on, the Eurodollar Loans shall be due on a day which is not a Eurodollar Business Day, the date for payment thereof shall be extended to the next succeeding Eurodollar Business Day unless such Eurodollar Business Day falls in another calendar month, in which case the date for payment thereof shall be the immediately preceding Eurodollar Business Day. If the date for any payment of principal is extended by operation of law or otherwise, interest thereon shall be payable for such extended time.</w:t>
      </w:r>
    </w:p>
    <w:p>
      <w:pPr>
        <w:spacing w:after="0" w:line="185" w:lineRule="exact"/>
        <w:rPr>
          <w:sz w:val="20"/>
          <w:szCs w:val="20"/>
          <w:color w:val="auto"/>
        </w:rPr>
      </w:pPr>
    </w:p>
    <w:p>
      <w:pPr>
        <w:ind w:right="100" w:firstLine="1305"/>
        <w:spacing w:after="0" w:line="287" w:lineRule="auto"/>
        <w:tabs>
          <w:tab w:leader="none" w:pos="2175" w:val="left"/>
        </w:tabs>
        <w:numPr>
          <w:ilvl w:val="0"/>
          <w:numId w:val="6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that the Borrower shall not have so made such payment, each Bank shall repay to the Administrative Agent forthwith on demand such amount distributed to such Bank together with interest thereon, for each day from the date such amount is distributed to such Bank until the date such Bank repays such amount to the Administrative Agent, at the Federal Funds Rate.</w:t>
      </w:r>
    </w:p>
    <w:p>
      <w:pPr>
        <w:spacing w:after="0" w:line="183"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43" w:lineRule="exact"/>
        <w:rPr>
          <w:sz w:val="20"/>
          <w:szCs w:val="20"/>
          <w:color w:val="auto"/>
        </w:rPr>
      </w:pPr>
    </w:p>
    <w:p>
      <w:pPr>
        <w:ind w:right="60" w:firstLine="648"/>
        <w:spacing w:after="0" w:line="294"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Funding Losses</w:t>
      </w:r>
      <w:r>
        <w:rPr>
          <w:rFonts w:ascii="Arial" w:cs="Arial" w:eastAsia="Arial" w:hAnsi="Arial"/>
          <w:sz w:val="18"/>
          <w:szCs w:val="18"/>
          <w:color w:val="auto"/>
        </w:rPr>
        <w:t>. If the Borrower makes any payment of principal with respect to any Eurodollar Loan (pursuant to Article II, Article VI or Article VIII or otherwise) on any day other than the last day of the Interest Period applicable thereto, or if the Borrower fails to borrow any Eurodollar Loans after notice has been given to any Bank in accordance with Section 2.4(a), or if the Borrower shall deliver a Notice of Interest Rate Election specifying that a Eurodollar Loan shall be converted on a date other than the first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the then current Interest Period applicable thereto, the Borrower shall reimburse each Bank within 15 days after certification by such Bank of such loss or expense (which shall be delivered by each such Bank to the Administrative Agent for delivery to the Borrower) for any resulting loss (based on interest only, exclusive of fees, if any) or expense incurred by it (or by an existing Participant in the related Loan), including, without limitation, any loss incurred in obtaining, liquidating or employing deposits from third parties, but excluding loss of margin for the period after any such payment or failure to borrow,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shall have delivered to the Administrative Agent and the Administrative Agent shall have delivered to the Borrower a certification as to the amount of such loss or expense, which certification shall set forth in reasonable detail the basis for and calculation of such loss or expense and shall be conclusive in the absence of demonstrable error.</w:t>
      </w:r>
    </w:p>
    <w:p>
      <w:pPr>
        <w:spacing w:after="0" w:line="179" w:lineRule="exact"/>
        <w:rPr>
          <w:sz w:val="20"/>
          <w:szCs w:val="20"/>
          <w:color w:val="auto"/>
        </w:rPr>
      </w:pPr>
    </w:p>
    <w:p>
      <w:pPr>
        <w:ind w:right="40" w:firstLine="648"/>
        <w:spacing w:after="0" w:line="314"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With respect to Base Rate Loans, the rate of interest on which is calculated based on the Prime Rate hereunder, interest thereon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80"/>
          </w:cols>
          <w:pgMar w:left="240" w:top="595" w:right="279" w:bottom="1440" w:gutter="0" w:footer="0" w:header="0"/>
        </w:sectPr>
      </w:pPr>
    </w:p>
    <w:bookmarkStart w:id="78" w:name="page79"/>
    <w:bookmarkEnd w:id="78"/>
    <w:p>
      <w:pPr>
        <w:ind w:right="200" w:firstLine="648"/>
        <w:spacing w:after="0" w:line="322"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shall use the proceeds of the Loans for general corporate purposes, including without limitation, the repayment of the Borrower’s debt obligations, the acquisition of assets and to fund capital expenditures and general working capital needs of the Borrower, in each case, in accordance with and subject to the terms and conditions of this Agreement.</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color w:val="auto"/>
              </w:rPr>
              <w:t>Section 2.17.</w:t>
            </w:r>
          </w:p>
        </w:tc>
        <w:tc>
          <w:tcPr>
            <w:tcW w:w="244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340" w:type="dxa"/>
            <w:vAlign w:val="bottom"/>
          </w:tcPr>
          <w:p>
            <w:pPr>
              <w:spacing w:after="0"/>
              <w:rPr>
                <w:sz w:val="20"/>
                <w:szCs w:val="20"/>
                <w:color w:val="auto"/>
              </w:rPr>
            </w:pPr>
            <w:r>
              <w:rPr>
                <w:rFonts w:ascii="Arial" w:cs="Arial" w:eastAsia="Arial" w:hAnsi="Arial"/>
                <w:sz w:val="20"/>
                <w:szCs w:val="20"/>
                <w:color w:val="auto"/>
              </w:rPr>
              <w:t>Section 2.18.</w:t>
            </w:r>
          </w:p>
        </w:tc>
        <w:tc>
          <w:tcPr>
            <w:tcW w:w="2440" w:type="dxa"/>
            <w:vAlign w:val="bottom"/>
            <w:gridSpan w:val="3"/>
          </w:tcPr>
          <w:p>
            <w:pPr>
              <w:spacing w:after="0"/>
              <w:rPr>
                <w:sz w:val="20"/>
                <w:szCs w:val="20"/>
                <w:color w:val="auto"/>
              </w:rPr>
            </w:pPr>
            <w:r>
              <w:rPr>
                <w:rFonts w:ascii="Arial" w:cs="Arial" w:eastAsia="Arial" w:hAnsi="Arial"/>
                <w:sz w:val="20"/>
                <w:szCs w:val="20"/>
                <w:color w:val="auto"/>
                <w:w w:val="87"/>
              </w:rPr>
              <w:t>Collateral and Covered Assets.</w:t>
            </w:r>
          </w:p>
        </w:tc>
      </w:tr>
      <w:tr>
        <w:trPr>
          <w:trHeight w:val="20"/>
        </w:trPr>
        <w:tc>
          <w:tcPr>
            <w:tcW w:w="2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3" w:lineRule="exact"/>
        <w:rPr>
          <w:sz w:val="20"/>
          <w:szCs w:val="20"/>
          <w:color w:val="auto"/>
        </w:rPr>
      </w:pPr>
    </w:p>
    <w:p>
      <w:pPr>
        <w:ind w:right="20" w:firstLine="1305"/>
        <w:spacing w:after="0" w:line="278" w:lineRule="auto"/>
        <w:tabs>
          <w:tab w:leader="none" w:pos="2164"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Obligations shall, at all times, be secured by a perfected first priority security interest in the Collateral. The Covered Assets and the equity interests issued by Covered Subsidiaries, shall, at all times, be free and clear of all Liens except Liens permitted under Section 5.15.</w:t>
      </w:r>
    </w:p>
    <w:p>
      <w:pPr>
        <w:spacing w:after="0" w:line="186" w:lineRule="exact"/>
        <w:rPr>
          <w:rFonts w:ascii="Arial" w:cs="Arial" w:eastAsia="Arial" w:hAnsi="Arial"/>
          <w:sz w:val="20"/>
          <w:szCs w:val="20"/>
          <w:color w:val="auto"/>
        </w:rPr>
      </w:pPr>
    </w:p>
    <w:p>
      <w:pPr>
        <w:ind w:right="120" w:firstLine="1305"/>
        <w:spacing w:after="0" w:line="297" w:lineRule="auto"/>
        <w:tabs>
          <w:tab w:leader="none" w:pos="2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the Closing Date, the Covered Assets shall consist of the assets listed on the Collateral and Covered Asset List delivered to the Administrative Agent pursuant to Section 3.1(r). Thereafter, the Borrower may add assets as Covered Assets and Borrowing Base Assets, subject to the limitations described in this Agreement, and withdraw or substitute (and the Administrative Agent shall be authorized to release liens thereon) any Covered Asset so long as (I) no Payment Default or Event of Default shall have occurred and be continuing, and (II) the Facility Collateral Coverage Ratio as of the date of such proposed withdrawal or substitution is greater than 1.90 to</w:t>
      </w:r>
    </w:p>
    <w:p>
      <w:pPr>
        <w:spacing w:after="0" w:line="2" w:lineRule="exact"/>
        <w:rPr>
          <w:rFonts w:ascii="Arial" w:cs="Arial" w:eastAsia="Arial" w:hAnsi="Arial"/>
          <w:sz w:val="18"/>
          <w:szCs w:val="18"/>
          <w:color w:val="auto"/>
        </w:rPr>
      </w:pPr>
    </w:p>
    <w:p>
      <w:pPr>
        <w:spacing w:after="0" w:line="270" w:lineRule="auto"/>
        <w:rPr>
          <w:rFonts w:ascii="Arial" w:cs="Arial" w:eastAsia="Arial" w:hAnsi="Arial"/>
          <w:sz w:val="18"/>
          <w:szCs w:val="18"/>
          <w:color w:val="auto"/>
        </w:rPr>
      </w:pPr>
      <w:r>
        <w:rPr>
          <w:rFonts w:ascii="Arial" w:cs="Arial" w:eastAsia="Arial" w:hAnsi="Arial"/>
          <w:sz w:val="20"/>
          <w:szCs w:val="20"/>
          <w:color w:val="auto"/>
        </w:rPr>
        <w:t>1.00, in the case of both clauses (I) and (II), after giving pro forma effect to such proposed withdrawal or substitution, (III) the inclusion of any new asset as a Covered Asset would not conflict with any of the terms of the debt documents governing any of the Borrower’s material Indebtedness, and an officer of the Borrower shall certify as to the absence of any such conflict prior to or substantially contemporaneously with such inclusion, (IV) the Borrower shall have complied with Section 5.1(n), after giving effect thereto, (i) the Total Revolving Loans shall not exceed the lesser of (x) the Total Commitments and (y) the Borrowing Base and (V) the representations and warranties of the Covered Parties contained in the Loan Documents shall be true and correct in all material respects (or if qualified by “materiality,” “material adverse effect” or similar language, in all respects (after giving effect to such qualification)) on and as of the date of such addition, withdrawal or substitution after giving effect thereto.</w:t>
      </w:r>
    </w:p>
    <w:p>
      <w:pPr>
        <w:spacing w:after="0" w:line="199" w:lineRule="exact"/>
        <w:rPr>
          <w:rFonts w:ascii="Arial" w:cs="Arial" w:eastAsia="Arial" w:hAnsi="Arial"/>
          <w:sz w:val="18"/>
          <w:szCs w:val="18"/>
          <w:color w:val="auto"/>
        </w:rPr>
      </w:pPr>
    </w:p>
    <w:p>
      <w:pPr>
        <w:ind w:right="100" w:firstLine="1305"/>
        <w:spacing w:after="0" w:line="271" w:lineRule="auto"/>
        <w:tabs>
          <w:tab w:leader="none" w:pos="2164"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 asset previously withdrawn as a Covered Asset pursuant to the terms hereof may be subsequently redesignated as a Covered Asset and a Borrowing Base Asset provided it satisfies the criteria described in this Agreement and subject to delivery of a BPO with respect to such asset in accordance with Section 5.1(k)(ii). The Borrower may also withdraw an asset as a Covered Asset (and the Administrative Agent shall be authorized to release liens thereon) at any time if the Borrowing Base Value of such asset is zero. Other than as set forth in this Section 2.18(b), an asset may not be withdrawn as a Covered Asset and the Covered Subsidiaries shall at all times own the Covered Assets. Such withdrawal, and where appropriate release of lien, shall be effected in accordance with Section 9.17 and the Collateral Documents.</w:t>
      </w:r>
    </w:p>
    <w:p>
      <w:pPr>
        <w:spacing w:after="0" w:line="194" w:lineRule="exact"/>
        <w:rPr>
          <w:rFonts w:ascii="Arial" w:cs="Arial" w:eastAsia="Arial" w:hAnsi="Arial"/>
          <w:sz w:val="20"/>
          <w:szCs w:val="20"/>
          <w:color w:val="auto"/>
        </w:rPr>
      </w:pPr>
    </w:p>
    <w:p>
      <w:pPr>
        <w:ind w:right="40" w:firstLine="1305"/>
        <w:spacing w:after="0" w:line="286" w:lineRule="auto"/>
        <w:tabs>
          <w:tab w:leader="none" w:pos="2175"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any addition of a Covered Asset, the Borrower shall promptly (i) execute and deliver to the Administrative Agent such amendments to the Security Agreement as the Administrative Agent deems necessary or advisable to grant to the Administrative Agent, for the benefit of the Lenders, a perfected first priority security interest in the Capital Stock of the Subsidiary that owns such Covered Asset, (ii) deliver to the Administrative Agent (A) the certificates representing such Capital Stock, together with undated stock powers, in blank, executed and delivered by a duly authorized officer of such Subsidiary, and (B) the documents described in Section 3.1(g) as to such Subsidiary, (iii) cause such Subsidiary (A) to execute and deliver to the Administrative Agent an Acknowledgment and Consent in the form attached to the Security Agreement, (B) to become a party to the Negative Pledge Agreement, (C) to become party to the Affiliate Subordination Agreement, and (D) to take such actions necessary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5620" w:hanging="101"/>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40"/>
          </w:cols>
          <w:pgMar w:left="240" w:top="595" w:right="319" w:bottom="1440" w:gutter="0" w:footer="0" w:header="0"/>
        </w:sectPr>
      </w:pPr>
    </w:p>
    <w:bookmarkStart w:id="79" w:name="page80"/>
    <w:bookmarkEnd w:id="79"/>
    <w:p>
      <w:pPr>
        <w:spacing w:after="0" w:line="310" w:lineRule="auto"/>
        <w:rPr>
          <w:sz w:val="20"/>
          <w:szCs w:val="20"/>
          <w:color w:val="auto"/>
        </w:rPr>
      </w:pPr>
      <w:r>
        <w:rPr>
          <w:rFonts w:ascii="Arial" w:cs="Arial" w:eastAsia="Arial" w:hAnsi="Arial"/>
          <w:sz w:val="18"/>
          <w:szCs w:val="18"/>
          <w:color w:val="auto"/>
        </w:rPr>
        <w:t>advisable to grant to the Administrative Agent for the benefit of the Lenders a perfected first priority security interest in the Collateral with respect to such new Subsidiary, including the filing of Uniform Commercial Code financing statements in such jurisdictions as may be required by the Security Agreement or by law or as may be requested by the Administrative Agent, (iv) satisfy the condition described in Section 3.1(j) as to such Subsidiary and (v)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62" w:lineRule="exact"/>
        <w:rPr>
          <w:sz w:val="20"/>
          <w:szCs w:val="20"/>
          <w:color w:val="auto"/>
        </w:rPr>
      </w:pPr>
    </w:p>
    <w:p>
      <w:pPr>
        <w:jc w:val="both"/>
        <w:ind w:right="400" w:firstLine="1305"/>
        <w:spacing w:after="0" w:line="293" w:lineRule="auto"/>
        <w:tabs>
          <w:tab w:leader="none" w:pos="2164"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at any time, there are less than ten (10) Borrowing Base Assets, the Borrower shall within 30 days after such occasion prepay the Loans to zero or cause one or more additional Eligible Credit Tenant Lease Assets or Eligible Loan Assets to become Covered Assets (and Borrowing Base Assets) in accordance with this Section 2.18 and no Loans shall be made, and the Borrower shall not request any Loans, until such time as there are ten (10) or more Borrowing Base Assets.</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20"/>
          <w:szCs w:val="20"/>
          <w:color w:val="auto"/>
        </w:rPr>
        <w:t xml:space="preserve">Section 2.19. </w:t>
      </w:r>
      <w:r>
        <w:rPr>
          <w:rFonts w:ascii="Arial" w:cs="Arial" w:eastAsia="Arial" w:hAnsi="Arial"/>
          <w:sz w:val="20"/>
          <w:szCs w:val="20"/>
          <w:u w:val="single" w:color="auto"/>
          <w:color w:val="auto"/>
        </w:rPr>
        <w:t>Defaulting Bank</w:t>
      </w:r>
      <w:r>
        <w:rPr>
          <w:rFonts w:ascii="Arial" w:cs="Arial" w:eastAsia="Arial" w:hAnsi="Arial"/>
          <w:sz w:val="20"/>
          <w:szCs w:val="20"/>
          <w:color w:val="auto"/>
        </w:rPr>
        <w:t>. Notwithstanding any provision of this Agreement to the contrary, if any Bank becomes a Defaulting Bank, then the following provisions shall apply for so long as such Bank is a Defaulting Bank:</w:t>
      </w:r>
    </w:p>
    <w:p>
      <w:pPr>
        <w:spacing w:after="0" w:line="175" w:lineRule="exact"/>
        <w:rPr>
          <w:sz w:val="20"/>
          <w:szCs w:val="20"/>
          <w:color w:val="auto"/>
        </w:rPr>
      </w:pPr>
    </w:p>
    <w:p>
      <w:pPr>
        <w:ind w:left="2180" w:hanging="875"/>
        <w:spacing w:after="0"/>
        <w:tabs>
          <w:tab w:leader="none" w:pos="2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Revolving Commitment of such Defaulting Bank pursuant</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Section 2.8(a);</w:t>
      </w:r>
    </w:p>
    <w:p>
      <w:pPr>
        <w:spacing w:after="0" w:line="242" w:lineRule="exact"/>
        <w:rPr>
          <w:rFonts w:ascii="Arial" w:cs="Arial" w:eastAsia="Arial" w:hAnsi="Arial"/>
          <w:sz w:val="18"/>
          <w:szCs w:val="18"/>
          <w:color w:val="auto"/>
        </w:rPr>
      </w:pPr>
    </w:p>
    <w:p>
      <w:pPr>
        <w:ind w:right="360" w:firstLine="1305"/>
        <w:spacing w:after="0" w:line="293" w:lineRule="auto"/>
        <w:tabs>
          <w:tab w:leader="none" w:pos="2175"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Commitment and Loans of such Defaulting Bank shall not be included in determining whether the Required Banks or Super Majority Banks have taken or may take any action hereunder (including any consent to any amendment, waiver or other modification pursuant to Section 9.5); </w:t>
      </w:r>
      <w:r>
        <w:rPr>
          <w:rFonts w:ascii="Arial" w:cs="Arial" w:eastAsia="Arial" w:hAnsi="Arial"/>
          <w:sz w:val="19"/>
          <w:szCs w:val="19"/>
          <w:u w:val="single" w:color="auto"/>
          <w:color w:val="auto"/>
        </w:rPr>
        <w:t>provided</w:t>
      </w:r>
      <w:r>
        <w:rPr>
          <w:rFonts w:ascii="Arial" w:cs="Arial" w:eastAsia="Arial" w:hAnsi="Arial"/>
          <w:sz w:val="19"/>
          <w:szCs w:val="19"/>
          <w:color w:val="auto"/>
        </w:rPr>
        <w:t>, that this clause (b) shall not apply to the vote of a Defaulting Bank in the case of an amendment, waiver or other modification requiring the consent of such Bank or each Bank affected thereby;</w:t>
      </w:r>
    </w:p>
    <w:p>
      <w:pPr>
        <w:spacing w:after="0" w:line="175" w:lineRule="exact"/>
        <w:rPr>
          <w:rFonts w:ascii="Arial" w:cs="Arial" w:eastAsia="Arial" w:hAnsi="Arial"/>
          <w:sz w:val="19"/>
          <w:szCs w:val="19"/>
          <w:color w:val="auto"/>
        </w:rPr>
      </w:pPr>
    </w:p>
    <w:p>
      <w:pPr>
        <w:ind w:firstLine="1305"/>
        <w:spacing w:after="0" w:line="272" w:lineRule="auto"/>
        <w:tabs>
          <w:tab w:leader="none" w:pos="2164"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the Borrower may, at its sole expense and effort, upon notice to such Defaulting Bank and the Administrative Agent, require such Defaulting Bank to assign and delegate, without recourse (in accordance with and subject to the restrictions contained in Section 9.6), all its Available Commitments under this Agreement to an assignee that shall assume such obligations (which assignee may be another Bank, if a Bank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have received the prior written consent of the Administrative Agent, which consent shall not unreasonably be withheld;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nothing contained in this clause (c) shall affect the obligations due to such Defaulting Bank; and</w:t>
      </w:r>
    </w:p>
    <w:p>
      <w:pPr>
        <w:spacing w:after="0" w:line="191" w:lineRule="exact"/>
        <w:rPr>
          <w:rFonts w:ascii="Arial" w:cs="Arial" w:eastAsia="Arial" w:hAnsi="Arial"/>
          <w:sz w:val="20"/>
          <w:szCs w:val="20"/>
          <w:color w:val="auto"/>
        </w:rPr>
      </w:pPr>
    </w:p>
    <w:p>
      <w:pPr>
        <w:ind w:right="100" w:firstLine="1305"/>
        <w:spacing w:after="0" w:line="278" w:lineRule="auto"/>
        <w:tabs>
          <w:tab w:leader="none" w:pos="2175"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Administrative Agent may, in its sole discretion (notwithstanding any contrary provision of this Agreement), apply any amounts thereafter received by it from any Covered Party for the account of such Defaulting Bank to satisfy such Defaulting Bank’s obligations hereunder until all such unsatisfied obligations are fully paid.</w:t>
      </w:r>
    </w:p>
    <w:p>
      <w:pPr>
        <w:spacing w:after="0" w:line="173"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In the event that the Administrative Agent and the Borrower each agrees that a Defaulting Bank has adequately remedied all matters that caused such Lender to be a Defaulting Lender, then on such date such Bank shall purchase at par such of the Loans of the other Banks as the Administrative Agent shall determine may be necessary in order for such Bank to hold such Loans in accordance with its Pro Rata Share.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595"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CONDITIONS</w:t>
      </w:r>
    </w:p>
    <w:p>
      <w:pPr>
        <w:spacing w:after="0" w:line="22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 The Closing Date shall occur on the date when each of the following conditions is satisfied (or</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waived in writing by the Administrative Agent and the Banks), each document to be dated the Closing Date unless otherwise indicated:</w:t>
      </w:r>
    </w:p>
    <w:p>
      <w:pPr>
        <w:spacing w:after="0" w:line="254" w:lineRule="exact"/>
        <w:rPr>
          <w:sz w:val="20"/>
          <w:szCs w:val="20"/>
          <w:color w:val="auto"/>
        </w:rPr>
      </w:pPr>
    </w:p>
    <w:p>
      <w:pPr>
        <w:ind w:right="80" w:firstLine="1305"/>
        <w:spacing w:after="0" w:line="316" w:lineRule="auto"/>
        <w:tabs>
          <w:tab w:leader="none" w:pos="216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Borrower as of the Closing Date shall have executed and delivered to the Administrative Agent a Note or Notes for the account of each Bank requesting the same dated the Closing Date and complying with the provisions of Section 2.5;</w:t>
      </w:r>
    </w:p>
    <w:p>
      <w:pPr>
        <w:spacing w:after="0" w:line="153" w:lineRule="exact"/>
        <w:rPr>
          <w:rFonts w:ascii="Arial" w:cs="Arial" w:eastAsia="Arial" w:hAnsi="Arial"/>
          <w:sz w:val="19"/>
          <w:szCs w:val="19"/>
          <w:color w:val="auto"/>
        </w:rPr>
      </w:pPr>
    </w:p>
    <w:p>
      <w:pPr>
        <w:ind w:right="1060" w:firstLine="1305"/>
        <w:spacing w:after="0" w:line="289" w:lineRule="auto"/>
        <w:tabs>
          <w:tab w:leader="none" w:pos="2175"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Borrower, the Administrative Agent and each of the Banks shall have executed and delivered to the Administrative Agent a duly executed original of this Agreement;</w:t>
      </w:r>
    </w:p>
    <w:p>
      <w:pPr>
        <w:spacing w:after="0" w:line="175" w:lineRule="exact"/>
        <w:rPr>
          <w:rFonts w:ascii="Arial" w:cs="Arial" w:eastAsia="Arial" w:hAnsi="Arial"/>
          <w:sz w:val="20"/>
          <w:szCs w:val="20"/>
          <w:color w:val="auto"/>
        </w:rPr>
      </w:pPr>
    </w:p>
    <w:p>
      <w:pPr>
        <w:ind w:right="20" w:firstLine="1305"/>
        <w:spacing w:after="0" w:line="322" w:lineRule="auto"/>
        <w:tabs>
          <w:tab w:leader="none" w:pos="21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shall have executed and delivered to the Administrative Agent a duly executed original of the Security Agreement and each other Collateral Document and each issuer of equity interests pledged pursuant to the Security Agreement shall have executed and delivered to the Administrative Agent an Acknowledgment and Consent in the form attached to the Security Agreement;</w:t>
      </w:r>
    </w:p>
    <w:p>
      <w:pPr>
        <w:spacing w:after="0" w:line="152" w:lineRule="exact"/>
        <w:rPr>
          <w:rFonts w:ascii="Arial" w:cs="Arial" w:eastAsia="Arial" w:hAnsi="Arial"/>
          <w:sz w:val="18"/>
          <w:szCs w:val="18"/>
          <w:color w:val="auto"/>
        </w:rPr>
      </w:pPr>
    </w:p>
    <w:p>
      <w:pPr>
        <w:ind w:left="2180" w:hanging="875"/>
        <w:spacing w:after="0"/>
        <w:tabs>
          <w:tab w:leader="none" w:pos="2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executed Affiliate Subordination Agreement, duly executed by</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Covered Parties;</w:t>
      </w:r>
    </w:p>
    <w:p>
      <w:pPr>
        <w:spacing w:after="0" w:line="242" w:lineRule="exact"/>
        <w:rPr>
          <w:rFonts w:ascii="Arial" w:cs="Arial" w:eastAsia="Arial" w:hAnsi="Arial"/>
          <w:sz w:val="18"/>
          <w:szCs w:val="18"/>
          <w:color w:val="auto"/>
        </w:rPr>
      </w:pPr>
    </w:p>
    <w:p>
      <w:pPr>
        <w:ind w:right="160" w:firstLine="1305"/>
        <w:spacing w:after="0" w:line="287" w:lineRule="auto"/>
        <w:tabs>
          <w:tab w:leader="none" w:pos="216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Administrative Agent shall have received any certificates representing Pledged Stock described in the Security Agreement and required to be delivered thereunder as of the Closing Date and appropriate transfer documents with respect to any such certificates included in the Collateral as of the Closing Date, signed in blank by the Borrower or the other owner thereof and, each document (including, without limitation, any Uniform Commercial Code financing statement to be filed in the jurisdiction of organization of the Borrower) required by the Security Agreement or under law or reasonably requested by the Administrative Agent to be filed, registered, recorded or delivered in order to create or perfect the Liens intended to be created under the Security Agreement shall have been delivered to the Administrative Agent in proper form for filing, registration or recordation (if applicable);</w:t>
      </w:r>
    </w:p>
    <w:p>
      <w:pPr>
        <w:spacing w:after="0" w:line="183" w:lineRule="exact"/>
        <w:rPr>
          <w:rFonts w:ascii="Arial" w:cs="Arial" w:eastAsia="Arial" w:hAnsi="Arial"/>
          <w:sz w:val="19"/>
          <w:szCs w:val="19"/>
          <w:color w:val="auto"/>
        </w:rPr>
      </w:pPr>
    </w:p>
    <w:p>
      <w:pPr>
        <w:ind w:right="40" w:firstLine="1305"/>
        <w:spacing w:after="0" w:line="278" w:lineRule="auto"/>
        <w:tabs>
          <w:tab w:leader="none" w:pos="214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Administrative Agent shall have received opinions of (i) Clifford Chance US LLP, special counsel for the Borrower, (ii) Geoffrey Dugan, Esq., in-house counsel for the Borrower, and (iii) Venable LLP, special Maryland counsel to the Borrower, each acceptable to the Administrative Agent, the Banks and their counsel;</w:t>
      </w:r>
    </w:p>
    <w:p>
      <w:pPr>
        <w:spacing w:after="0" w:line="186" w:lineRule="exact"/>
        <w:rPr>
          <w:rFonts w:ascii="Arial" w:cs="Arial" w:eastAsia="Arial" w:hAnsi="Arial"/>
          <w:sz w:val="20"/>
          <w:szCs w:val="20"/>
          <w:color w:val="auto"/>
        </w:rPr>
      </w:pPr>
    </w:p>
    <w:p>
      <w:pPr>
        <w:ind w:firstLine="1305"/>
        <w:spacing w:after="0" w:line="285" w:lineRule="auto"/>
        <w:tabs>
          <w:tab w:leader="none" w:pos="217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Administrative Agent shall have received all documents the Administrative Agent may reasonably request relating to the existence of the Borrower and each other Covered Party as of the Closing Date, the authority for and the validity of this Agreement and the other Loan Documents, the incumbency of officers executing this Agreement and the other Loan Documents and any other matters relevant hereto, all in form and substance satisfactory to the Administrative Agent. Such documentation shall include, without limitation, the articles of incorporation, certificate of formation or similar organizational document of each such entity, as amended, modified or supplemented on or prior to the Closing Date, certified to be true, correct and complete by a senior officer of such entity as of the Closing Date, together with a good standing certificate as to each such entity from the Secretary of State (or the equivalent thereof) of its jurisdiction of organization, to be dated as of a date within ten Business Days from the Closing Date. Any such organizational documents of each Covered Subsidiary shall provide for, and require that there at all times be, a special director or member whose consent would be required for a bankruptcy filing by such Covered Subsidiary or for the transfer of any equity interests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5620" w:hanging="101"/>
        <w:spacing w:after="0"/>
        <w:tabs>
          <w:tab w:leader="none" w:pos="5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00"/>
          </w:cols>
          <w:pgMar w:left="240" w:top="582" w:right="259" w:bottom="1440" w:gutter="0" w:footer="0" w:header="0"/>
        </w:sectPr>
      </w:pPr>
    </w:p>
    <w:bookmarkStart w:id="81" w:name="page82"/>
    <w:bookmarkEnd w:id="81"/>
    <w:p>
      <w:pPr>
        <w:ind w:right="100"/>
        <w:spacing w:after="0" w:line="289" w:lineRule="auto"/>
        <w:rPr>
          <w:sz w:val="20"/>
          <w:szCs w:val="20"/>
          <w:color w:val="auto"/>
        </w:rPr>
      </w:pPr>
      <w:r>
        <w:rPr>
          <w:rFonts w:ascii="Arial" w:cs="Arial" w:eastAsia="Arial" w:hAnsi="Arial"/>
          <w:sz w:val="20"/>
          <w:szCs w:val="20"/>
          <w:color w:val="auto"/>
        </w:rPr>
        <w:t>therein (other than the sale of such equity interests in a transaction permitted under the Loan Documents) and shall otherwise be satisfactory to the Administrative Agent;</w:t>
      </w:r>
    </w:p>
    <w:p>
      <w:pPr>
        <w:spacing w:after="0" w:line="175" w:lineRule="exact"/>
        <w:rPr>
          <w:sz w:val="20"/>
          <w:szCs w:val="20"/>
          <w:color w:val="auto"/>
        </w:rPr>
      </w:pPr>
    </w:p>
    <w:p>
      <w:pPr>
        <w:ind w:left="2180" w:hanging="875"/>
        <w:spacing w:after="0"/>
        <w:tabs>
          <w:tab w:leader="none" w:pos="2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Borrower shall have executed a solvency certificate reasonably acceptable to the Administrative Agent;</w:t>
      </w:r>
    </w:p>
    <w:p>
      <w:pPr>
        <w:spacing w:after="0" w:line="254" w:lineRule="exact"/>
        <w:rPr>
          <w:rFonts w:ascii="Arial" w:cs="Arial" w:eastAsia="Arial" w:hAnsi="Arial"/>
          <w:sz w:val="19"/>
          <w:szCs w:val="19"/>
          <w:color w:val="auto"/>
        </w:rPr>
      </w:pPr>
    </w:p>
    <w:p>
      <w:pPr>
        <w:ind w:right="40" w:firstLine="1305"/>
        <w:spacing w:after="0" w:line="254" w:lineRule="exact"/>
        <w:tabs>
          <w:tab w:leader="none" w:pos="2132"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all certificates, agreements and other documents and papers referred to in this Section 3.1 and the Notice of Borrowing referred to in </w:t>
      </w:r>
      <w:r>
        <w:rPr>
          <w:rFonts w:ascii="MS PGothic" w:cs="MS PGothic" w:eastAsia="MS PGothic" w:hAnsi="MS PGothic"/>
          <w:sz w:val="20"/>
          <w:szCs w:val="20"/>
          <w:color w:val="auto"/>
        </w:rPr>
        <w:t>☒</w:t>
      </w:r>
      <w:r>
        <w:rPr>
          <w:rFonts w:ascii="Arial" w:cs="Arial" w:eastAsia="Arial" w:hAnsi="Arial"/>
          <w:sz w:val="20"/>
          <w:szCs w:val="20"/>
          <w:color w:val="auto"/>
        </w:rPr>
        <w:t>Section 2.3, unless otherwise specified, in sufficient counterparts, satisfactory in form and substance to the Administrative Agent in its reasonable discretion;</w:t>
      </w:r>
    </w:p>
    <w:p>
      <w:pPr>
        <w:spacing w:after="0" w:line="224" w:lineRule="exact"/>
        <w:rPr>
          <w:rFonts w:ascii="Arial" w:cs="Arial" w:eastAsia="Arial" w:hAnsi="Arial"/>
          <w:sz w:val="20"/>
          <w:szCs w:val="20"/>
          <w:color w:val="auto"/>
        </w:rPr>
      </w:pPr>
    </w:p>
    <w:p>
      <w:pPr>
        <w:ind w:firstLine="1305"/>
        <w:spacing w:after="0" w:line="278" w:lineRule="auto"/>
        <w:tabs>
          <w:tab w:leader="none" w:pos="2132" w:val="left"/>
        </w:tabs>
        <w:numPr>
          <w:ilvl w:val="0"/>
          <w:numId w:val="68"/>
        </w:numPr>
        <w:rPr>
          <w:rFonts w:ascii="Arial" w:cs="Arial" w:eastAsia="Arial" w:hAnsi="Arial"/>
          <w:sz w:val="20"/>
          <w:szCs w:val="20"/>
          <w:color w:val="auto"/>
        </w:rPr>
      </w:pPr>
      <w:r>
        <w:rPr>
          <w:rFonts w:ascii="Arial" w:cs="Arial" w:eastAsia="Arial" w:hAnsi="Arial"/>
          <w:sz w:val="20"/>
          <w:szCs w:val="20"/>
          <w:color w:val="auto"/>
        </w:rPr>
        <w:t>each Covered Party shall have taken all actions required to authorize the execution and delivery of (i) in the case of the Borrower, this Agreement and (ii) in the case of the Borrower and each other Covered Party, any other Loan Document to which it is a party and the performance thereof by the Borrower or such other Covered Party, as applicable;</w:t>
      </w:r>
    </w:p>
    <w:p>
      <w:pPr>
        <w:spacing w:after="0" w:line="186" w:lineRule="exact"/>
        <w:rPr>
          <w:rFonts w:ascii="Arial" w:cs="Arial" w:eastAsia="Arial" w:hAnsi="Arial"/>
          <w:sz w:val="20"/>
          <w:szCs w:val="20"/>
          <w:color w:val="auto"/>
        </w:rPr>
      </w:pPr>
    </w:p>
    <w:p>
      <w:pPr>
        <w:ind w:right="60" w:firstLine="1305"/>
        <w:spacing w:after="0" w:line="278" w:lineRule="auto"/>
        <w:tabs>
          <w:tab w:leader="none" w:pos="2175"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Banks shall be satisfied that the Borrower is not subject to any present or contingent Environmental Claim which, if adversely determined, would reasonably be expected to have a Material Adverse Effect on the Borrower, and the Borrower shall have delivered to the Administrative Agent a certificate of a senior officer of the Borrower so stating;</w:t>
      </w:r>
    </w:p>
    <w:p>
      <w:pPr>
        <w:spacing w:after="0" w:line="186" w:lineRule="exact"/>
        <w:rPr>
          <w:rFonts w:ascii="Arial" w:cs="Arial" w:eastAsia="Arial" w:hAnsi="Arial"/>
          <w:sz w:val="20"/>
          <w:szCs w:val="20"/>
          <w:color w:val="auto"/>
        </w:rPr>
      </w:pPr>
    </w:p>
    <w:p>
      <w:pPr>
        <w:ind w:right="160" w:firstLine="1305"/>
        <w:spacing w:after="0" w:line="293" w:lineRule="auto"/>
        <w:tabs>
          <w:tab w:leader="none" w:pos="21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(i) the Administrative Agent shall have received, on or before the Closing Date, (x) for its and any other Bank’s account, all fees due and payable pursuant to Section 2.8 on or before the Closing Date and (y) all other fees required to be paid and all expenses for which invoices have been presented and (ii) the reasonable and documented fees and expenses accrued through the Closing Date of Simpson Thacher &amp; Bartlett LLP shall have been paid to Simpson Thacher &amp; Bartlett LLP;</w:t>
      </w:r>
    </w:p>
    <w:p>
      <w:pPr>
        <w:spacing w:after="0" w:line="175" w:lineRule="exact"/>
        <w:rPr>
          <w:rFonts w:ascii="Arial" w:cs="Arial" w:eastAsia="Arial" w:hAnsi="Arial"/>
          <w:sz w:val="19"/>
          <w:szCs w:val="19"/>
          <w:color w:val="auto"/>
        </w:rPr>
      </w:pPr>
    </w:p>
    <w:p>
      <w:pPr>
        <w:ind w:right="380" w:firstLine="1305"/>
        <w:spacing w:after="0" w:line="274" w:lineRule="auto"/>
        <w:tabs>
          <w:tab w:leader="none" w:pos="2231"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Borrower shall have delivered copies of all consents, licenses and approvals (subject to Section 4.3), if any, required in connection with the execution, delivery and performance by the Borrower or any other Covered Party, or the validity and enforceability, of the Loan Documents, or in connection with any of the transactions contemplated thereby, and such consents, licenses and approvals shall be in full force and effect;</w:t>
      </w:r>
    </w:p>
    <w:p>
      <w:pPr>
        <w:spacing w:after="0" w:line="192" w:lineRule="exact"/>
        <w:rPr>
          <w:rFonts w:ascii="Arial" w:cs="Arial" w:eastAsia="Arial" w:hAnsi="Arial"/>
          <w:sz w:val="20"/>
          <w:szCs w:val="20"/>
          <w:color w:val="auto"/>
        </w:rPr>
      </w:pPr>
    </w:p>
    <w:p>
      <w:pPr>
        <w:ind w:right="260" w:firstLine="1305"/>
        <w:spacing w:after="0" w:line="289" w:lineRule="auto"/>
        <w:tabs>
          <w:tab w:leader="none" w:pos="2175"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before or immediately after giving effect to the transactions contemplated hereby;</w:t>
      </w:r>
    </w:p>
    <w:p>
      <w:pPr>
        <w:spacing w:after="0" w:line="175" w:lineRule="exact"/>
        <w:rPr>
          <w:rFonts w:ascii="Arial" w:cs="Arial" w:eastAsia="Arial" w:hAnsi="Arial"/>
          <w:sz w:val="20"/>
          <w:szCs w:val="20"/>
          <w:color w:val="auto"/>
        </w:rPr>
      </w:pPr>
    </w:p>
    <w:p>
      <w:pPr>
        <w:ind w:right="40" w:firstLine="1305"/>
        <w:spacing w:after="0" w:line="322" w:lineRule="auto"/>
        <w:tabs>
          <w:tab w:leader="none" w:pos="2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Administrative Agent shall have received (x) the Collateral and Covered Assets List, which shall be in form and substance reasonably satisfactory to the Administrative Agent and (y) a Borrowing Base Certificate, dated as of the Closing Date and duly executed by a financial officer of the Borrower, reflecting a Borrowing Base as of the Closing Date of not less than $264,000,000;</w:t>
      </w:r>
    </w:p>
    <w:p>
      <w:pPr>
        <w:spacing w:after="0" w:line="152" w:lineRule="exact"/>
        <w:rPr>
          <w:rFonts w:ascii="Arial" w:cs="Arial" w:eastAsia="Arial" w:hAnsi="Arial"/>
          <w:sz w:val="18"/>
          <w:szCs w:val="18"/>
          <w:color w:val="auto"/>
        </w:rPr>
      </w:pPr>
    </w:p>
    <w:p>
      <w:pPr>
        <w:jc w:val="both"/>
        <w:ind w:right="60" w:firstLine="1305"/>
        <w:spacing w:after="0" w:line="421" w:lineRule="auto"/>
        <w:tabs>
          <w:tab w:leader="none" w:pos="217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Borrower shall have delivered Projections which shall include (x) the Borrower’s projected sources and uses of cash (and the timing thereof) through a date that is on or after March 27, 2019 and (y) that such sources are at all times sufficient for such uses;</w:t>
      </w:r>
    </w:p>
    <w:p>
      <w:pPr>
        <w:spacing w:after="0" w:line="83" w:lineRule="exact"/>
        <w:rPr>
          <w:rFonts w:ascii="Arial" w:cs="Arial" w:eastAsia="Arial" w:hAnsi="Arial"/>
          <w:sz w:val="16"/>
          <w:szCs w:val="16"/>
          <w:color w:val="auto"/>
        </w:rPr>
      </w:pPr>
    </w:p>
    <w:p>
      <w:pPr>
        <w:ind w:right="40" w:firstLine="1305"/>
        <w:spacing w:after="0" w:line="322" w:lineRule="auto"/>
        <w:tabs>
          <w:tab w:leader="none" w:pos="2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representations and warranties of the Covered Parties contained in the Loan Documents shall be true and correct in all material respects (or if qualified by “materiality,” “material adverse effect” or similar language, in all respects (after giving effect to such qualification)) on and as of the Closing Date both before and after giving effect to the transactions contemplated hereby;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20" w:hanging="101"/>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595" w:right="259" w:bottom="1440" w:gutter="0" w:footer="0" w:header="0"/>
        </w:sectPr>
      </w:pPr>
    </w:p>
    <w:bookmarkStart w:id="82" w:name="page83"/>
    <w:bookmarkEnd w:id="82"/>
    <w:p>
      <w:pPr>
        <w:jc w:val="both"/>
        <w:ind w:right="300" w:firstLine="1305"/>
        <w:spacing w:after="0" w:line="274" w:lineRule="auto"/>
        <w:tabs>
          <w:tab w:leader="none" w:pos="2143"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have received the results of a recent Lien search with respect to the Borrower and each other Covered Party and such search shall reveal no Liens on any of the Covered Assets or the Collateral except for Liens permitted by Section 5.15 and the Negative Pledge Agreement or discharged on or prior to the Closing Date pursuant to documentation satisfactory to the Administrative Agent; and</w:t>
      </w:r>
    </w:p>
    <w:p>
      <w:pPr>
        <w:spacing w:after="0" w:line="192" w:lineRule="exact"/>
        <w:rPr>
          <w:rFonts w:ascii="Arial" w:cs="Arial" w:eastAsia="Arial" w:hAnsi="Arial"/>
          <w:sz w:val="20"/>
          <w:szCs w:val="20"/>
          <w:color w:val="auto"/>
        </w:rPr>
      </w:pPr>
    </w:p>
    <w:p>
      <w:pPr>
        <w:ind w:right="340" w:firstLine="1305"/>
        <w:spacing w:after="0" w:line="289" w:lineRule="auto"/>
        <w:tabs>
          <w:tab w:leader="none" w:pos="2153"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any Bank that so reasonably requests (in writing) at least two Business Days prior to the Closing Date shall have received, through the Administrative Agent, all U.S.A. PATRIOT Act information required under Section 9.15.</w:t>
      </w:r>
    </w:p>
    <w:p>
      <w:pPr>
        <w:spacing w:after="0" w:line="175"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Borrowings</w:t>
      </w:r>
      <w:r>
        <w:rPr>
          <w:rFonts w:ascii="Arial" w:cs="Arial" w:eastAsia="Arial" w:hAnsi="Arial"/>
          <w:sz w:val="18"/>
          <w:szCs w:val="18"/>
          <w:color w:val="auto"/>
        </w:rPr>
        <w:t>. The obligation of any Bank to make a Revolving Loan is subject to the following conditions:</w:t>
      </w:r>
    </w:p>
    <w:p>
      <w:pPr>
        <w:spacing w:after="0" w:line="243" w:lineRule="exact"/>
        <w:rPr>
          <w:sz w:val="20"/>
          <w:szCs w:val="20"/>
          <w:color w:val="auto"/>
        </w:rPr>
      </w:pPr>
    </w:p>
    <w:p>
      <w:pPr>
        <w:ind w:right="520" w:firstLine="1305"/>
        <w:spacing w:after="0" w:line="289" w:lineRule="auto"/>
        <w:tabs>
          <w:tab w:leader="none" w:pos="2164" w:val="left"/>
        </w:tabs>
        <w:numPr>
          <w:ilvl w:val="0"/>
          <w:numId w:val="70"/>
        </w:numPr>
        <w:rPr>
          <w:rFonts w:ascii="Arial" w:cs="Arial" w:eastAsia="Arial" w:hAnsi="Arial"/>
          <w:sz w:val="20"/>
          <w:szCs w:val="20"/>
          <w:color w:val="auto"/>
        </w:rPr>
      </w:pPr>
      <w:r>
        <w:rPr>
          <w:rFonts w:ascii="Arial" w:cs="Arial" w:eastAsia="Arial" w:hAnsi="Arial"/>
          <w:sz w:val="20"/>
          <w:szCs w:val="20"/>
          <w:color w:val="auto"/>
        </w:rPr>
        <w:t>after giving effect to such Borrowing, (i) the Total Revolving Loans shall not exceed the lesser of (x) the Total Commitments and (y) the Borrowing Base;</w:t>
      </w:r>
    </w:p>
    <w:p>
      <w:pPr>
        <w:spacing w:after="0" w:line="175" w:lineRule="exact"/>
        <w:rPr>
          <w:rFonts w:ascii="Arial" w:cs="Arial" w:eastAsia="Arial" w:hAnsi="Arial"/>
          <w:sz w:val="20"/>
          <w:szCs w:val="20"/>
          <w:color w:val="auto"/>
        </w:rPr>
      </w:pPr>
    </w:p>
    <w:p>
      <w:pPr>
        <w:ind w:left="2180" w:hanging="875"/>
        <w:spacing w:after="0"/>
        <w:tabs>
          <w:tab w:leader="none" w:pos="21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receipt by the Administrative Agent of a Notice of Borrowing as required by Section 2.3(a);</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there shall be not less than ten (10) Borrowing Base Assets;</w:t>
      </w:r>
    </w:p>
    <w:p>
      <w:pPr>
        <w:spacing w:after="0" w:line="242" w:lineRule="exact"/>
        <w:rPr>
          <w:rFonts w:ascii="Arial" w:cs="Arial" w:eastAsia="Arial" w:hAnsi="Arial"/>
          <w:sz w:val="20"/>
          <w:szCs w:val="20"/>
          <w:color w:val="auto"/>
        </w:rPr>
      </w:pPr>
    </w:p>
    <w:p>
      <w:pPr>
        <w:ind w:right="60" w:firstLine="1305"/>
        <w:spacing w:after="0" w:line="322" w:lineRule="auto"/>
        <w:tabs>
          <w:tab w:leader="none" w:pos="21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representations and warranties of the Covered Parties contained in the Loan Documents shall be true and correct in all material respects (or if qualified by “materiality,” “material adverse effect” or similar language, in all respects (after giving effect to such qualification)) on and as of the date of such Borrowing both before and after giving effect to the making of such Revolving Loans; and</w:t>
      </w:r>
    </w:p>
    <w:p>
      <w:pPr>
        <w:spacing w:after="0" w:line="152" w:lineRule="exact"/>
        <w:rPr>
          <w:rFonts w:ascii="Arial" w:cs="Arial" w:eastAsia="Arial" w:hAnsi="Arial"/>
          <w:sz w:val="18"/>
          <w:szCs w:val="18"/>
          <w:color w:val="auto"/>
        </w:rPr>
      </w:pPr>
    </w:p>
    <w:p>
      <w:pPr>
        <w:ind w:firstLine="1305"/>
        <w:spacing w:after="0" w:line="289" w:lineRule="auto"/>
        <w:tabs>
          <w:tab w:leader="none" w:pos="2164"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before or immediately after giving effect to the making of such Revolving Loans.</w:t>
      </w:r>
    </w:p>
    <w:p>
      <w:pPr>
        <w:spacing w:after="0" w:line="16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Each Borrowing by the Borrower hereunder shall constitute a representation and warranty by the Borrower as of the date of such Borrowing that the conditions contained in this Section 3.2 have been satisfied.</w:t>
      </w:r>
    </w:p>
    <w:p>
      <w:pPr>
        <w:spacing w:after="0" w:line="190" w:lineRule="exact"/>
        <w:rPr>
          <w:sz w:val="20"/>
          <w:szCs w:val="20"/>
          <w:color w:val="auto"/>
        </w:rPr>
      </w:pPr>
    </w:p>
    <w:p>
      <w:pPr>
        <w:ind w:firstLine="648"/>
        <w:spacing w:after="0" w:line="278"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Conditions to Conversion into Term Loan</w:t>
      </w:r>
      <w:r>
        <w:rPr>
          <w:rFonts w:ascii="Arial" w:cs="Arial" w:eastAsia="Arial" w:hAnsi="Arial"/>
          <w:sz w:val="20"/>
          <w:szCs w:val="20"/>
          <w:color w:val="auto"/>
        </w:rPr>
        <w:t>. The obligation of the Banks to convert the Revolving Loans into Term Loans and to extend the Maturity Date from the Revolving Termination Date to the Term Loan Maturity Date is subject to the following conditions:</w:t>
      </w:r>
    </w:p>
    <w:p>
      <w:pPr>
        <w:spacing w:after="0" w:line="187" w:lineRule="exact"/>
        <w:rPr>
          <w:sz w:val="20"/>
          <w:szCs w:val="20"/>
          <w:color w:val="auto"/>
        </w:rPr>
      </w:pPr>
    </w:p>
    <w:p>
      <w:pPr>
        <w:ind w:left="2180" w:hanging="875"/>
        <w:spacing w:after="0"/>
        <w:tabs>
          <w:tab w:leader="none" w:pos="2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receipt by the Administrative Agent of a Conversion Notice as required by Section 2.3(a);</w:t>
      </w:r>
    </w:p>
    <w:p>
      <w:pPr>
        <w:spacing w:after="0" w:line="242" w:lineRule="exact"/>
        <w:rPr>
          <w:rFonts w:ascii="Arial" w:cs="Arial" w:eastAsia="Arial" w:hAnsi="Arial"/>
          <w:sz w:val="20"/>
          <w:szCs w:val="20"/>
          <w:color w:val="auto"/>
        </w:rPr>
      </w:pPr>
    </w:p>
    <w:p>
      <w:pPr>
        <w:ind w:right="60" w:firstLine="1305"/>
        <w:spacing w:after="0" w:line="274" w:lineRule="auto"/>
        <w:tabs>
          <w:tab w:leader="none" w:pos="2175"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representations and warranties of the Covered Parties contained in the Loan Documents shall be true and correct in all material respects (or if qualified by “materiality,” “material adverse effect” or similar language, in all respects (after giving effect to such qualification)) on and as of the date of such conversion both before and after giving effect to the conversion of such Revolving Loans and extension of maturity; and</w:t>
      </w:r>
    </w:p>
    <w:p>
      <w:pPr>
        <w:spacing w:after="0" w:line="192" w:lineRule="exact"/>
        <w:rPr>
          <w:rFonts w:ascii="Arial" w:cs="Arial" w:eastAsia="Arial" w:hAnsi="Arial"/>
          <w:sz w:val="20"/>
          <w:szCs w:val="20"/>
          <w:color w:val="auto"/>
        </w:rPr>
      </w:pPr>
    </w:p>
    <w:p>
      <w:pPr>
        <w:ind w:firstLine="1305"/>
        <w:spacing w:after="0" w:line="289" w:lineRule="auto"/>
        <w:tabs>
          <w:tab w:leader="none" w:pos="2164"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before or immediately after giving effect to the conversion of such Revolving Loans and extension of maturity.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5620" w:hanging="101"/>
        <w:spacing w:after="0"/>
        <w:tabs>
          <w:tab w:leader="none" w:pos="5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595"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right="120" w:firstLine="1297"/>
        <w:spacing w:after="0" w:line="244" w:lineRule="auto"/>
        <w:rPr>
          <w:sz w:val="20"/>
          <w:szCs w:val="20"/>
          <w:color w:val="auto"/>
        </w:rPr>
      </w:pPr>
      <w:r>
        <w:rPr>
          <w:rFonts w:ascii="Arial" w:cs="Arial" w:eastAsia="Arial" w:hAnsi="Arial"/>
          <w:sz w:val="20"/>
          <w:szCs w:val="20"/>
          <w:color w:val="auto"/>
        </w:rPr>
        <w:t>In order to induce the Administrative Agent and each of the other Banks which is or may become a party to this Agreement to make the Revolving Loans and to convert the Revolving Loans into Term Loans, the Borrower makes the following representations and warranties as of the Closing Date, as of each Borrowing and, if applicable, as of the conversion of the Revolving Loans into Term Loans. Such representations and warranties shall survive the effectiveness of this Agreement, the execution and delivery of the other Loan Documents and the making of the Loans.</w:t>
      </w:r>
    </w:p>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Existence and Power</w:t>
      </w:r>
      <w:r>
        <w:rPr>
          <w:rFonts w:ascii="Arial" w:cs="Arial" w:eastAsia="Arial" w:hAnsi="Arial"/>
          <w:sz w:val="20"/>
          <w:szCs w:val="20"/>
          <w:color w:val="auto"/>
        </w:rPr>
        <w:t>. Each of the Borrower and each other Covered Party is a corporation, limited liability company or limited partnership, as applicable, duly organized or incorporated, validly existing and in good standing under the laws of the jurisdiction of its organization or incorporation and has all powers and all material governmental licenses, authorizations, consents and approvals required to own its property and assets and carry on its business as now conducted or as it presently proposes to conduct and has been duly qualified and is in good standing in every jurisdiction in which the failure to be so qualified and/or in good standing is likely to have a Material Adverse Effect.</w:t>
      </w:r>
    </w:p>
    <w:p>
      <w:pPr>
        <w:spacing w:after="0" w:line="19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Power and Authority; Enforceable Obligation</w:t>
      </w:r>
      <w:r>
        <w:rPr>
          <w:rFonts w:ascii="Arial" w:cs="Arial" w:eastAsia="Arial" w:hAnsi="Arial"/>
          <w:sz w:val="19"/>
          <w:szCs w:val="19"/>
          <w:color w:val="auto"/>
        </w:rPr>
        <w:t>. Each of the Borrower and each other Covered Party has the requisite power and authority to execute, deliver and carry out the terms and provisions of each of the Loan Documents to which it is a party and has taken all necessary action, if any, to authorize the execution and delivery on its behalf and its performance of the Loan Documents to which it is a party. Each of the Borrower and each other Covered Party has duly executed and delivered each Loan Document to which it is a party in accordance with the terms of this Agreement, and each such Loan Document constitutes (or, upon execution and delivery thereof, will constitute) its legal, valid and binding obligation, enforceable in accordance with the terms thereof, except as enforceability may be limited by applicable insolvency, bankruptcy or other similar laws affecting creditors rights generally, or general principles of equity, whether such enforceability is considered in a proceeding in equity or at law.</w:t>
      </w:r>
    </w:p>
    <w:p>
      <w:pPr>
        <w:spacing w:after="0" w:line="186" w:lineRule="exact"/>
        <w:rPr>
          <w:sz w:val="20"/>
          <w:szCs w:val="20"/>
          <w:color w:val="auto"/>
        </w:rPr>
      </w:pPr>
    </w:p>
    <w:p>
      <w:pPr>
        <w:ind w:right="60" w:firstLine="648"/>
        <w:spacing w:after="0" w:line="344"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 Violation</w:t>
      </w:r>
      <w:r>
        <w:rPr>
          <w:rFonts w:ascii="Arial" w:cs="Arial" w:eastAsia="Arial" w:hAnsi="Arial"/>
          <w:sz w:val="16"/>
          <w:szCs w:val="16"/>
          <w:color w:val="auto"/>
        </w:rPr>
        <w:t>. Neither the execution, delivery or performance by or on behalf of any Covered Party of the Loan Documents to which it is a party, nor compliance by any such Covered Party with the terms and provisions thereof nor the consummation of the transactions contemplated by such Loan Documents, (i) will contravene any applicable provision of any law, statute, rule, regulation, order, writ, injunction or decree of any court or governmental instrumentality, (ii) will conflict with or result in any breach of any of the terms, covenants, conditions or provisions of, or constitute a default under, or result in the creation or imposition of (or the obligation to create or impose) any Lien (other than Liens created under the Collateral Documents) upon any of the property or assets of the Borrower or any of its Consolidated Subsidiaries pursuant to the terms of, any loan agreement, indenture, mortgage, deed of trust, or other agreement or other instrument to which the Borrower (or any partnership of which the Borrower is a partner) or any of its Consolidated Subsidiaries is a party or by which it or any of its property or assets is bound or to which it is subject, or (iii) will cause a default by any Covered Party under any organizational document of any Person in which such Covered Party has an interest, or cause a material default under such Person’s agreement or certificate of limited partnership, the consequences of which conflict, contravention, breach or default under the foregoing clauses (i), (ii) or</w:t>
      </w:r>
    </w:p>
    <w:p>
      <w:pPr>
        <w:spacing w:after="0" w:line="185" w:lineRule="exact"/>
        <w:rPr>
          <w:sz w:val="20"/>
          <w:szCs w:val="20"/>
          <w:color w:val="auto"/>
        </w:rPr>
      </w:pPr>
    </w:p>
    <w:p>
      <w:pPr>
        <w:ind w:right="280" w:firstLine="8"/>
        <w:spacing w:after="0" w:line="314" w:lineRule="auto"/>
        <w:tabs>
          <w:tab w:leader="none" w:pos="3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would (x)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determining whether the consequences of a conflict, contravention, breach or default under clause (ii) of this Section 4.3 would have a Material Adverse Effect, clause (ii) of the definition of the term “Material Adverse Effect” shall be modified to read as follows: “(ii) the ability of the Administrative Agent or the Banks to enforce the Loan Documents in a manner that materially and adversely affects the rights of the Administrative Agent or the Banks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620" w:hanging="101"/>
        <w:spacing w:after="0"/>
        <w:tabs>
          <w:tab w:leader="none" w:pos="5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58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thereunder”), or (y) result in or require the creation or imposition of any Lien whatsoever upon any Collateral (except as contemplated herein).</w:t>
      </w:r>
    </w:p>
    <w:p>
      <w:pPr>
        <w:spacing w:after="0" w:line="266" w:lineRule="exact"/>
        <w:rPr>
          <w:sz w:val="20"/>
          <w:szCs w:val="20"/>
          <w:color w:val="auto"/>
        </w:rPr>
      </w:pPr>
    </w:p>
    <w:p>
      <w:pPr>
        <w:ind w:right="420" w:firstLine="648"/>
        <w:spacing w:after="0" w:line="274"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Financial Information</w:t>
      </w:r>
      <w:r>
        <w:rPr>
          <w:rFonts w:ascii="Arial" w:cs="Arial" w:eastAsia="Arial" w:hAnsi="Arial"/>
          <w:sz w:val="20"/>
          <w:szCs w:val="20"/>
          <w:color w:val="auto"/>
        </w:rPr>
        <w:t>. (a) The consolidated financial statements of the Borrower and its Consolidated Subsidiaries as of December 31, 2014, and for the Fiscal Year then ended, reported on by PricewaterhouseCoopers LLP fairly presents, in conformity with GAAP, the consolidated financial position of the Borrower and its Consolidated Subsidiaries as of such date and the consolidated results of operations and cash flows for such Fiscal Year.</w:t>
      </w:r>
    </w:p>
    <w:p>
      <w:pPr>
        <w:spacing w:after="0" w:line="192" w:lineRule="exact"/>
        <w:rPr>
          <w:sz w:val="20"/>
          <w:szCs w:val="20"/>
          <w:color w:val="auto"/>
        </w:rPr>
      </w:pPr>
    </w:p>
    <w:p>
      <w:pPr>
        <w:jc w:val="both"/>
        <w:ind w:firstLine="1305"/>
        <w:spacing w:after="0" w:line="278" w:lineRule="auto"/>
        <w:tabs>
          <w:tab w:leader="none" w:pos="2175"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Since December 31, 2014, (i) nothing has occurred having a Material Adverse Effect, and (ii) except (x) as set forth on </w:t>
      </w:r>
      <w:r>
        <w:rPr>
          <w:rFonts w:ascii="Arial" w:cs="Arial" w:eastAsia="Arial" w:hAnsi="Arial"/>
          <w:sz w:val="20"/>
          <w:szCs w:val="20"/>
          <w:u w:val="single" w:color="auto"/>
          <w:color w:val="auto"/>
        </w:rPr>
        <w:t>Schedule 4.4(c)</w:t>
      </w:r>
      <w:r>
        <w:rPr>
          <w:rFonts w:ascii="Arial" w:cs="Arial" w:eastAsia="Arial" w:hAnsi="Arial"/>
          <w:sz w:val="20"/>
          <w:szCs w:val="20"/>
          <w:color w:val="auto"/>
        </w:rPr>
        <w:t xml:space="preserve"> and (y) for the incurrence of Loans hereunder on the Closing Date, the Borrower has not incurred any material Indebtedness or guaranteed any material Indebtedness on or before the Closing Date.</w:t>
      </w:r>
    </w:p>
    <w:p>
      <w:pPr>
        <w:spacing w:after="0" w:line="186" w:lineRule="exact"/>
        <w:rPr>
          <w:rFonts w:ascii="Arial" w:cs="Arial" w:eastAsia="Arial" w:hAnsi="Arial"/>
          <w:sz w:val="20"/>
          <w:szCs w:val="20"/>
          <w:color w:val="auto"/>
        </w:rPr>
      </w:pPr>
    </w:p>
    <w:p>
      <w:pPr>
        <w:ind w:left="2180" w:hanging="875"/>
        <w:spacing w:after="0"/>
        <w:tabs>
          <w:tab w:leader="none" w:pos="2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Schedule 4.4(c) sets forth the Indebtedness for borrowed money of each Covered Subsidiary outstanding on and as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the Closing Date.</w:t>
      </w:r>
    </w:p>
    <w:p>
      <w:pPr>
        <w:spacing w:after="0" w:line="242" w:lineRule="exact"/>
        <w:rPr>
          <w:rFonts w:ascii="Arial" w:cs="Arial" w:eastAsia="Arial" w:hAnsi="Arial"/>
          <w:sz w:val="16"/>
          <w:szCs w:val="16"/>
          <w:color w:val="auto"/>
        </w:rPr>
      </w:pPr>
    </w:p>
    <w:p>
      <w:pPr>
        <w:ind w:right="300" w:firstLine="1305"/>
        <w:spacing w:after="0" w:line="289" w:lineRule="auto"/>
        <w:tabs>
          <w:tab w:leader="none" w:pos="2175"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 Covered Subsidiary has incurred any Indebtedness or guaranteed any Indebtedness other than Non-Recourse Indebtedness in respect of the Excluded Assets and Indebtedness permitted by Section 5.14.</w:t>
      </w:r>
    </w:p>
    <w:p>
      <w:pPr>
        <w:spacing w:after="0" w:line="175" w:lineRule="exact"/>
        <w:rPr>
          <w:sz w:val="20"/>
          <w:szCs w:val="20"/>
          <w:color w:val="auto"/>
        </w:rPr>
      </w:pPr>
    </w:p>
    <w:p>
      <w:pPr>
        <w:ind w:right="160" w:firstLine="648"/>
        <w:spacing w:after="0" w:line="272"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action, suit or proceeding pending against, or to the knowledge of the Borrower threatened against or affecting, (i) the Borrower or any of its Consolidated Subsidiaries, (ii) the Loan Documents or any of the transactions contemplated by the Loan Documents or (iii) any of the assets of the Borrower or any of its Consolidated Subsidiaries, before any court or arbitrator or any governmental body, agency or official in which there is a reasonable possibility of an adverse decision which could, individually, or in the aggregate have a Material Adverse Effect or which in any manner draws into question the validity of this Agreement or the other Loan Documents.</w:t>
      </w:r>
    </w:p>
    <w:p>
      <w:pPr>
        <w:spacing w:after="0" w:line="192" w:lineRule="exact"/>
        <w:rPr>
          <w:sz w:val="20"/>
          <w:szCs w:val="20"/>
          <w:color w:val="auto"/>
        </w:rPr>
      </w:pPr>
    </w:p>
    <w:p>
      <w:pPr>
        <w:ind w:firstLine="648"/>
        <w:spacing w:after="0" w:line="300"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Compliance with ERISA</w:t>
      </w:r>
      <w:r>
        <w:rPr>
          <w:rFonts w:ascii="Arial" w:cs="Arial" w:eastAsia="Arial" w:hAnsi="Arial"/>
          <w:sz w:val="18"/>
          <w:szCs w:val="18"/>
          <w:color w:val="auto"/>
        </w:rPr>
        <w:t xml:space="preserve">. (a) Except as set forth on </w:t>
      </w:r>
      <w:r>
        <w:rPr>
          <w:rFonts w:ascii="Arial" w:cs="Arial" w:eastAsia="Arial" w:hAnsi="Arial"/>
          <w:sz w:val="18"/>
          <w:szCs w:val="18"/>
          <w:u w:val="single" w:color="auto"/>
          <w:color w:val="auto"/>
        </w:rPr>
        <w:t>Schedule 4.6(a)</w:t>
      </w:r>
      <w:r>
        <w:rPr>
          <w:rFonts w:ascii="Arial" w:cs="Arial" w:eastAsia="Arial" w:hAnsi="Arial"/>
          <w:sz w:val="18"/>
          <w:szCs w:val="18"/>
          <w:color w:val="auto"/>
        </w:rPr>
        <w:t xml:space="preserve"> attached hereto, neither the Borrower nor any other Covered Party is a member of or has entered into, maintained, contributed to, or been required to contribute to, or may incur any liability with respect to any Plan or Multiemployer Plan. Except as could not be reasonably expected to have a Material Adverse Effect individually or in the aggregate (i) there has been no filing pursuant to Section 412 of the Code or Section 302 of ERISA of an application for a waiver of the minimum funding standards with respect to any Plan; (ii) there has been no failure to make by its due date any required installment under Section 430(j) of the Code with respect to any Plan nor a failure by the Borrower nor any member of the ERISA Group to make any required contribution to a Multiemployer Plan; (iii) there has been no determination that any Plan is or is expected to be in “at risk” status (within the meaning of Section 430 of the Code or Section 303 of ERISA); (iv) the present value of all accrued benefits under each Plan (determined based on the assumptions used by such Plans pursuant to Section 430(h) of the Code) did not, as of the last annual valuation date prior to the date on which this representation is made or deemed made, exceed by more than an immaterial amount the value of the assets of such Plan (as determined pursuant to Section 430(g) of the Code) allocable to such accrued benefits, and the present value of all accumulated benefit obligations of all underfunded Plans (based on the assumptions used for purposes of ASC Topic 715-30) did not, as of the date of the most recent financial statements reflecting such amounts, exceed by more than an immaterial amount the fair market value of the assets of all such underfunded Plans; (v) each employee benefit plan maintained by the Borrower or any of its Subsidiaries or any Plan which is intended to qualify under Section 401(a) of the Internal Revenue Code has received a favorable determination letter from the Internal Revenue Service indicating that such employee benefit plan or Plan is so qualified and the trust related thereto has been determined by the Internal Revenue Service to be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80"/>
          </w:cols>
          <w:pgMar w:left="240" w:top="595" w:right="279" w:bottom="1440" w:gutter="0" w:footer="0" w:header="0"/>
        </w:sectPr>
      </w:pPr>
    </w:p>
    <w:bookmarkStart w:id="85" w:name="page86"/>
    <w:bookmarkEnd w:id="85"/>
    <w:p>
      <w:pPr>
        <w:ind w:right="60"/>
        <w:spacing w:after="0" w:line="303" w:lineRule="auto"/>
        <w:rPr>
          <w:sz w:val="20"/>
          <w:szCs w:val="20"/>
          <w:color w:val="auto"/>
        </w:rPr>
      </w:pPr>
      <w:r>
        <w:rPr>
          <w:rFonts w:ascii="Arial" w:cs="Arial" w:eastAsia="Arial" w:hAnsi="Arial"/>
          <w:sz w:val="18"/>
          <w:szCs w:val="18"/>
          <w:color w:val="auto"/>
        </w:rPr>
        <w:t xml:space="preserve">exempt from federal income tax under Section 501(a) of the Code or an application for such a letter is currently pending before the Internal Revenue Service and, to the knowledge of Borrower, nothing has occurred subsequent to the issuance of the determination letter which would cause such employee benefit plan or Plan to lose its qualified status; and (vi) no liability to the PBGC (other than required premium payments), the Internal Revenue Service, any employee benefit plan and Plan or any trust established under Title IV of ERISA has been or is expected to be incurred by any member of the ERISA Group. The Borrower and its Subsidiaries have no contingent liabilities with respect to any post retirement benefits under a Welfare Plan, other than liability for continuation coverage described in article 6 of Title 1 of ERISA, and except as could not be reasonably expected to have a Material Adverse Effect. In the event that at any time after the Closing Date, the Borrower or any other Covered Party shall become a member of any other material Plan or Multiemployer Plan, the Borrower promptly shall notify the Administrative Agent thereof (and from and after such notice, </w:t>
      </w:r>
      <w:r>
        <w:rPr>
          <w:rFonts w:ascii="Arial" w:cs="Arial" w:eastAsia="Arial" w:hAnsi="Arial"/>
          <w:sz w:val="18"/>
          <w:szCs w:val="18"/>
          <w:u w:val="single" w:color="auto"/>
          <w:color w:val="auto"/>
        </w:rPr>
        <w:t>Schedule 4.6(a)</w:t>
      </w:r>
      <w:r>
        <w:rPr>
          <w:rFonts w:ascii="Arial" w:cs="Arial" w:eastAsia="Arial" w:hAnsi="Arial"/>
          <w:sz w:val="18"/>
          <w:szCs w:val="18"/>
          <w:color w:val="auto"/>
        </w:rPr>
        <w:t xml:space="preserve"> shall be deemed modified thereby).</w:t>
      </w:r>
    </w:p>
    <w:p>
      <w:pPr>
        <w:spacing w:after="0" w:line="174" w:lineRule="exact"/>
        <w:rPr>
          <w:sz w:val="20"/>
          <w:szCs w:val="20"/>
          <w:color w:val="auto"/>
        </w:rPr>
      </w:pPr>
    </w:p>
    <w:p>
      <w:pPr>
        <w:ind w:right="120" w:firstLine="1305"/>
        <w:spacing w:after="0" w:line="305" w:lineRule="auto"/>
        <w:tabs>
          <w:tab w:leader="none" w:pos="21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assets of the Borrower or any other Covered Party constitute “assets” (within the meaning of ERISA or Section 4975 of the Code, including, but not limited to, 29 C.F.R. § 2510.3-101 or any successor regulation thereto) of an “employee benefit plan” within the meaning of Section 3(3) of ERISA or a “plan” within the meaning of Section 4975(e)(1) of the Code. In addition to the prohibitions set forth in this Agreement and the other Loan Documents, and not in limitation thereof, the Borrower covenants and agrees that the Borrower shall not, and shall not permit any other Covered Party to, use any “assets” (within the meaning of ERISA or Section 4975 of the Code, including but not limited to 29 C.F.R. § 2510.3101) of an “employee benefit plan” within the meaning of Section 3(3) of ERISA or a “plan” within the meaning of Section 4975(e)(1) of the Code to repay or secure the Note, the Loan, or the Obligations.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Environmental</w:t>
      </w:r>
      <w:r>
        <w:rPr>
          <w:rFonts w:ascii="Arial" w:cs="Arial" w:eastAsia="Arial" w:hAnsi="Arial"/>
          <w:sz w:val="19"/>
          <w:szCs w:val="19"/>
          <w:color w:val="auto"/>
        </w:rPr>
        <w:t>. (a) The Borrower conducts reviews of the effect of Environmental Laws on the business, operations and properties of the Borrower and its Consolidated Subsidiaries when necessary in the course of which it identifies and evaluates associated liabilities and costs (including, without limitation, any capital or operating expenditures required for clean-up or closure of properties presently owned, any capital or operating expenditures required to achieve or maintain compliance with environmental protection standards imposed by law or as a condition of any license, permit or contract, any related constraints on operating activities, and any actual or potential liabilities to third parties, including, without limitation, employees, and any related costs and expenses). On the basis of this review, the Borrower has reasonably concluded that such associated liabilities and costs, including, without limitation, the costs of compliance with Environmental Laws, are unlikely to have a Material Adverse Effect.</w:t>
      </w:r>
    </w:p>
    <w:p>
      <w:pPr>
        <w:spacing w:after="0" w:line="186" w:lineRule="exact"/>
        <w:rPr>
          <w:sz w:val="20"/>
          <w:szCs w:val="20"/>
          <w:color w:val="auto"/>
        </w:rPr>
      </w:pPr>
    </w:p>
    <w:p>
      <w:pPr>
        <w:ind w:right="20" w:firstLine="1305"/>
        <w:spacing w:after="0" w:line="285" w:lineRule="auto"/>
        <w:tabs>
          <w:tab w:leader="none" w:pos="2175"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Except as, in the aggregate, could not reasonably be expected to have a Material Adverse Effect: (i) neither the Borrower nor any other Covered Party has received any notice of violation, alleged violation, non-compliance, liability or potential liability regarding environmental matters or compliance with Environmental Laws with regard to any of the facilities and properties owned, leased or operated by the Borrower or any other Covered Party (the “</w:t>
      </w:r>
      <w:r>
        <w:rPr>
          <w:rFonts w:ascii="Arial" w:cs="Arial" w:eastAsia="Arial" w:hAnsi="Arial"/>
          <w:sz w:val="19"/>
          <w:szCs w:val="19"/>
          <w:u w:val="single" w:color="auto"/>
          <w:color w:val="auto"/>
        </w:rPr>
        <w:t>Properties</w:t>
      </w:r>
      <w:r>
        <w:rPr>
          <w:rFonts w:ascii="Arial" w:cs="Arial" w:eastAsia="Arial" w:hAnsi="Arial"/>
          <w:sz w:val="19"/>
          <w:szCs w:val="19"/>
          <w:color w:val="auto"/>
        </w:rPr>
        <w:t>”) or the business operated by the Borrower or any other Covered Party (the “</w:t>
      </w:r>
      <w:r>
        <w:rPr>
          <w:rFonts w:ascii="Arial" w:cs="Arial" w:eastAsia="Arial" w:hAnsi="Arial"/>
          <w:sz w:val="19"/>
          <w:szCs w:val="19"/>
          <w:u w:val="single" w:color="auto"/>
          <w:color w:val="auto"/>
        </w:rPr>
        <w:t>Business</w:t>
      </w:r>
      <w:r>
        <w:rPr>
          <w:rFonts w:ascii="Arial" w:cs="Arial" w:eastAsia="Arial" w:hAnsi="Arial"/>
          <w:sz w:val="19"/>
          <w:szCs w:val="19"/>
          <w:color w:val="auto"/>
        </w:rPr>
        <w:t>”) that is not fully and finally resolved, (ii) to the Borrower’s actual knowledge, after due inquiry, no judicial proceeding or governmental or administrative action is pending or, to the Borrower’s actual knowledge, after due inquiry, threatened, under any Environmental Law to which the Borrower or any other Covered Party is or will be named as a party with respect to the Properties or the Business, nor are there any consent decrees or other decrees, consent orders, administrative orders or other orders, or other administrative or judicial requirements outstanding under any Environmental Law or relating to Materials of Environmental Concern with respect to the Business; and (iii) to the Borrower’s actual knowledge, the Properties and all operations at the Properties are in compliance, and have in the last five years been in compliance, with all applicable Environmental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5620" w:hanging="101"/>
        <w:spacing w:after="0"/>
        <w:tabs>
          <w:tab w:leader="none" w:pos="5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595" w:right="239" w:bottom="1440" w:gutter="0" w:footer="0" w:header="0"/>
        </w:sectPr>
      </w:pPr>
    </w:p>
    <w:bookmarkStart w:id="86" w:name="page87"/>
    <w:bookmarkEnd w:id="86"/>
    <w:p>
      <w:pPr>
        <w:ind w:right="460"/>
        <w:spacing w:after="0" w:line="289" w:lineRule="auto"/>
        <w:rPr>
          <w:sz w:val="20"/>
          <w:szCs w:val="20"/>
          <w:color w:val="auto"/>
        </w:rPr>
      </w:pPr>
      <w:r>
        <w:rPr>
          <w:rFonts w:ascii="Arial" w:cs="Arial" w:eastAsia="Arial" w:hAnsi="Arial"/>
          <w:sz w:val="20"/>
          <w:szCs w:val="20"/>
          <w:color w:val="auto"/>
        </w:rPr>
        <w:t>Laws, and there are no Materials of Environmental Concern at, under or about the Properties or violation of any Environmental Law with respect to the Properties or the Business.</w:t>
      </w:r>
    </w:p>
    <w:p>
      <w:pPr>
        <w:spacing w:after="0" w:line="175"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Taxes</w:t>
      </w:r>
      <w:r>
        <w:rPr>
          <w:rFonts w:ascii="Arial" w:cs="Arial" w:eastAsia="Arial" w:hAnsi="Arial"/>
          <w:sz w:val="19"/>
          <w:szCs w:val="19"/>
          <w:color w:val="auto"/>
        </w:rPr>
        <w:t>. The Borrower and its Consolidated Subsidiaries have filed all U.S. federal income tax returns and all other material tax returns which are required to be filed by them and have paid all taxes due pursuant to such returns or pursuant to any assessment received by the Borrower, or any Consolidated Subsidiary, except (i) such taxes, if any, as are being contested in good faith by appropriate proceedings and are reserved against in accordance with GAAP or (ii) such tax returns or such taxes, the failure to file when due or to make payment when due and payable will not have, in the aggregate, a Material Adverse Effect. The charges, accruals and reserves on the books of the Borrower and its Consolidated Subsidiaries in respect of taxes or other governmental charges are, in the opinion of the Borrower, adequate. No Tax lien (other than a Permitted Lien) has been filed, and, to the knowledge of Borrower and its Consolidated Subsidiaries, no claim is being asserted , with respect to any such Tax, fee or other charge.</w:t>
      </w:r>
    </w:p>
    <w:p>
      <w:pPr>
        <w:spacing w:after="0" w:line="186" w:lineRule="exact"/>
        <w:rPr>
          <w:sz w:val="20"/>
          <w:szCs w:val="20"/>
          <w:color w:val="auto"/>
        </w:rPr>
      </w:pPr>
    </w:p>
    <w:p>
      <w:pPr>
        <w:ind w:firstLine="648"/>
        <w:spacing w:after="0" w:line="30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Full Disclosure</w:t>
      </w:r>
      <w:r>
        <w:rPr>
          <w:rFonts w:ascii="Arial" w:cs="Arial" w:eastAsia="Arial" w:hAnsi="Arial"/>
          <w:sz w:val="18"/>
          <w:szCs w:val="18"/>
          <w:color w:val="auto"/>
        </w:rPr>
        <w:t xml:space="preserve">. All information heretofore furnished by the Borrower or any other Covered Party to the Administrative Agent or any Bank for purposes of or in connection with this Agreement or any transaction contemplated hereby or thereby is true and accurate in all material respects on the date as of which such information is stated or certified;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Borrower represents and warrants only that such information represents the Borrower’s expectations regarding future performance, based upon historical information and reasonable assumptions, it being understood, however, that actual results may differ from the projected results described in the financial projections. The Borrower has disclosed to the Banks in writing any and all facts which have or may have (to the extent the Borrower can now reasonably foresee) a Material Adverse Effect.</w:t>
      </w:r>
    </w:p>
    <w:p>
      <w:pPr>
        <w:spacing w:after="0" w:line="171" w:lineRule="exact"/>
        <w:rPr>
          <w:sz w:val="20"/>
          <w:szCs w:val="20"/>
          <w:color w:val="auto"/>
        </w:rPr>
      </w:pPr>
    </w:p>
    <w:p>
      <w:pPr>
        <w:ind w:right="100" w:firstLine="648"/>
        <w:spacing w:after="0" w:line="299"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Solvency</w:t>
      </w:r>
      <w:r>
        <w:rPr>
          <w:rFonts w:ascii="Arial" w:cs="Arial" w:eastAsia="Arial" w:hAnsi="Arial"/>
          <w:sz w:val="19"/>
          <w:szCs w:val="19"/>
          <w:color w:val="auto"/>
        </w:rPr>
        <w:t>. (i) On the Closing Date and after giving effect to the transactions contemplated hereby and by the other Loan Documents occurring on the Closing Date and (ii) on each date that the Borrower provides additional Covered Assets or Collateral pursuant to Section 2.18 or otherwise, the Borrower and each other Covered Party, taken as a whole, are Solvent.</w:t>
      </w:r>
    </w:p>
    <w:p>
      <w:pPr>
        <w:spacing w:after="0" w:line="169" w:lineRule="exact"/>
        <w:rPr>
          <w:sz w:val="20"/>
          <w:szCs w:val="20"/>
          <w:color w:val="auto"/>
        </w:rPr>
      </w:pPr>
    </w:p>
    <w:p>
      <w:pPr>
        <w:jc w:val="both"/>
        <w:ind w:right="360" w:firstLine="648"/>
        <w:spacing w:after="0" w:line="278"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u w:val="single" w:color="auto"/>
          <w:color w:val="auto"/>
        </w:rPr>
        <w:t>Use of Proceeds</w:t>
      </w:r>
      <w:r>
        <w:rPr>
          <w:rFonts w:ascii="Arial" w:cs="Arial" w:eastAsia="Arial" w:hAnsi="Arial"/>
          <w:sz w:val="20"/>
          <w:szCs w:val="20"/>
          <w:color w:val="auto"/>
        </w:rPr>
        <w:t>. All proceeds of the Loans will be used by the Borrower only in accordance with the provisions hereof. Neither the making of any Loan nor the use of the proceeds thereof will violate or be inconsistent with the provisions of regulations T, U, or X of the Federal Reserve Board.</w:t>
      </w:r>
    </w:p>
    <w:p>
      <w:pPr>
        <w:spacing w:after="0" w:line="187" w:lineRule="exact"/>
        <w:rPr>
          <w:sz w:val="20"/>
          <w:szCs w:val="20"/>
          <w:color w:val="auto"/>
        </w:rPr>
      </w:pPr>
    </w:p>
    <w:p>
      <w:pPr>
        <w:ind w:right="160" w:firstLine="648"/>
        <w:spacing w:after="0" w:line="310"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by the Borrower or any other Covered Party of any Loan Document to which it is a party or the consummation of any of the transactions contemplated thereby other than those that have already been duly made or obtained and remain in full force and effect or those which, if not made or obtained, would not have a Material Adverse Effect.</w:t>
      </w:r>
    </w:p>
    <w:p>
      <w:pPr>
        <w:spacing w:after="0" w:line="162" w:lineRule="exact"/>
        <w:rPr>
          <w:sz w:val="20"/>
          <w:szCs w:val="20"/>
          <w:color w:val="auto"/>
        </w:rPr>
      </w:pPr>
    </w:p>
    <w:p>
      <w:pPr>
        <w:ind w:right="80" w:firstLine="648"/>
        <w:spacing w:after="0" w:line="299" w:lineRule="auto"/>
        <w:rPr>
          <w:sz w:val="20"/>
          <w:szCs w:val="20"/>
          <w:color w:val="auto"/>
        </w:rPr>
      </w:pPr>
      <w:r>
        <w:rPr>
          <w:rFonts w:ascii="Arial" w:cs="Arial" w:eastAsia="Arial" w:hAnsi="Arial"/>
          <w:sz w:val="19"/>
          <w:szCs w:val="19"/>
          <w:color w:val="auto"/>
        </w:rPr>
        <w:t xml:space="preserve">Section 4.13. </w:t>
      </w:r>
      <w:r>
        <w:rPr>
          <w:rFonts w:ascii="Arial" w:cs="Arial" w:eastAsia="Arial" w:hAnsi="Arial"/>
          <w:sz w:val="19"/>
          <w:szCs w:val="19"/>
          <w:u w:val="single" w:color="auto"/>
          <w:color w:val="auto"/>
        </w:rPr>
        <w:t>Investment Company Act</w:t>
      </w:r>
      <w:r>
        <w:rPr>
          <w:rFonts w:ascii="Arial" w:cs="Arial" w:eastAsia="Arial" w:hAnsi="Arial"/>
          <w:sz w:val="19"/>
          <w:szCs w:val="19"/>
          <w:color w:val="auto"/>
        </w:rPr>
        <w:t>. Neither the Borrower nor any other Covered Party is (x) an “investment company” or a company “controlled” by an “investment company”, within the meaning of the Investment Company Act of 1940, as amended, or (y) subject to any other federal or state law or regulation which purports to restrict or regulate its ability to borrow money.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60"/>
          </w:cols>
          <w:pgMar w:left="240" w:top="595" w:right="2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3000" w:type="dxa"/>
            <w:vAlign w:val="bottom"/>
          </w:tcPr>
          <w:p>
            <w:pPr>
              <w:ind w:left="660"/>
              <w:spacing w:after="0"/>
              <w:rPr>
                <w:sz w:val="20"/>
                <w:szCs w:val="20"/>
                <w:color w:val="auto"/>
              </w:rPr>
            </w:pPr>
            <w:r>
              <w:rPr>
                <w:rFonts w:ascii="Arial" w:cs="Arial" w:eastAsia="Arial" w:hAnsi="Arial"/>
                <w:sz w:val="20"/>
                <w:szCs w:val="20"/>
                <w:color w:val="auto"/>
              </w:rPr>
              <w:t>Section 4.14.</w:t>
            </w:r>
          </w:p>
        </w:tc>
        <w:tc>
          <w:tcPr>
            <w:tcW w:w="8400" w:type="dxa"/>
            <w:vAlign w:val="bottom"/>
            <w:gridSpan w:val="4"/>
          </w:tcPr>
          <w:p>
            <w:pPr>
              <w:spacing w:after="0"/>
              <w:rPr>
                <w:sz w:val="20"/>
                <w:szCs w:val="20"/>
                <w:color w:val="auto"/>
              </w:rPr>
            </w:pPr>
            <w:r>
              <w:rPr>
                <w:rFonts w:ascii="Arial" w:cs="Arial" w:eastAsia="Arial" w:hAnsi="Arial"/>
                <w:sz w:val="20"/>
                <w:szCs w:val="20"/>
                <w:color w:val="auto"/>
                <w:w w:val="93"/>
              </w:rPr>
              <w:t>Principal Offices. As of the Closing Date, the principal office, chief executive office and principal place</w:t>
            </w:r>
          </w:p>
        </w:tc>
      </w:tr>
      <w:tr>
        <w:trPr>
          <w:trHeight w:val="20"/>
        </w:trPr>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81"/>
        </w:trPr>
        <w:tc>
          <w:tcPr>
            <w:tcW w:w="11400" w:type="dxa"/>
            <w:vAlign w:val="bottom"/>
            <w:gridSpan w:val="5"/>
          </w:tcPr>
          <w:p>
            <w:pPr>
              <w:spacing w:after="0"/>
              <w:rPr>
                <w:sz w:val="20"/>
                <w:szCs w:val="20"/>
                <w:color w:val="auto"/>
              </w:rPr>
            </w:pPr>
            <w:r>
              <w:rPr>
                <w:rFonts w:ascii="Arial" w:cs="Arial" w:eastAsia="Arial" w:hAnsi="Arial"/>
                <w:sz w:val="20"/>
                <w:szCs w:val="20"/>
                <w:color w:val="auto"/>
              </w:rPr>
              <w:t>of business of each Covered Party is 1114 Avenue of the Americas, New York, NY 10036.</w:t>
            </w:r>
          </w:p>
        </w:tc>
      </w:tr>
      <w:tr>
        <w:trPr>
          <w:trHeight w:val="428"/>
        </w:trPr>
        <w:tc>
          <w:tcPr>
            <w:tcW w:w="3000" w:type="dxa"/>
            <w:vAlign w:val="bottom"/>
          </w:tcPr>
          <w:p>
            <w:pPr>
              <w:ind w:left="660"/>
              <w:spacing w:after="0"/>
              <w:rPr>
                <w:sz w:val="20"/>
                <w:szCs w:val="20"/>
                <w:color w:val="auto"/>
              </w:rPr>
            </w:pPr>
            <w:r>
              <w:rPr>
                <w:rFonts w:ascii="Arial" w:cs="Arial" w:eastAsia="Arial" w:hAnsi="Arial"/>
                <w:sz w:val="20"/>
                <w:szCs w:val="20"/>
                <w:color w:val="auto"/>
              </w:rPr>
              <w:t>Section 4.15.</w:t>
            </w:r>
          </w:p>
        </w:tc>
        <w:tc>
          <w:tcPr>
            <w:tcW w:w="8400" w:type="dxa"/>
            <w:vAlign w:val="bottom"/>
            <w:gridSpan w:val="4"/>
          </w:tcPr>
          <w:p>
            <w:pPr>
              <w:spacing w:after="0"/>
              <w:rPr>
                <w:sz w:val="20"/>
                <w:szCs w:val="20"/>
                <w:color w:val="auto"/>
              </w:rPr>
            </w:pPr>
            <w:r>
              <w:rPr>
                <w:rFonts w:ascii="Arial" w:cs="Arial" w:eastAsia="Arial" w:hAnsi="Arial"/>
                <w:sz w:val="20"/>
                <w:szCs w:val="20"/>
                <w:color w:val="auto"/>
              </w:rPr>
              <w:t>REIT Status. As of the date hereof, the Borrower is qualified as a REIT.</w:t>
            </w:r>
          </w:p>
        </w:tc>
      </w:tr>
      <w:tr>
        <w:trPr>
          <w:trHeight w:val="20"/>
        </w:trPr>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53"/>
        </w:trPr>
        <w:tc>
          <w:tcPr>
            <w:tcW w:w="3000" w:type="dxa"/>
            <w:vAlign w:val="bottom"/>
          </w:tcPr>
          <w:p>
            <w:pPr>
              <w:ind w:left="660"/>
              <w:spacing w:after="0"/>
              <w:rPr>
                <w:sz w:val="20"/>
                <w:szCs w:val="20"/>
                <w:color w:val="auto"/>
              </w:rPr>
            </w:pPr>
            <w:r>
              <w:rPr>
                <w:rFonts w:ascii="Arial" w:cs="Arial" w:eastAsia="Arial" w:hAnsi="Arial"/>
                <w:sz w:val="20"/>
                <w:szCs w:val="20"/>
                <w:color w:val="auto"/>
              </w:rPr>
              <w:t>Section 4.16.</w:t>
            </w:r>
          </w:p>
        </w:tc>
        <w:tc>
          <w:tcPr>
            <w:tcW w:w="8400" w:type="dxa"/>
            <w:vAlign w:val="bottom"/>
            <w:gridSpan w:val="4"/>
          </w:tcPr>
          <w:p>
            <w:pPr>
              <w:spacing w:after="0"/>
              <w:rPr>
                <w:sz w:val="20"/>
                <w:szCs w:val="20"/>
                <w:color w:val="auto"/>
              </w:rPr>
            </w:pPr>
            <w:r>
              <w:rPr>
                <w:rFonts w:ascii="Arial" w:cs="Arial" w:eastAsia="Arial" w:hAnsi="Arial"/>
                <w:sz w:val="20"/>
                <w:szCs w:val="20"/>
                <w:color w:val="auto"/>
                <w:w w:val="89"/>
              </w:rPr>
              <w:t>Intellectual Property. The Borrower and each other Covered Party has obtained and holds in full force and</w:t>
            </w:r>
          </w:p>
        </w:tc>
      </w:tr>
      <w:tr>
        <w:trPr>
          <w:trHeight w:val="20"/>
        </w:trPr>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37"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effect all patents, trademarks, servicemarks, trade names, domain names, copyrights and other intellectual property rights, free from burdensome restrictions, which are necessary for the operation of its business as presently conducted, the impairment of which is likely to have a Material Adverse Effect.</w:t>
      </w:r>
    </w:p>
    <w:p>
      <w:pPr>
        <w:spacing w:after="0" w:line="187"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0"/>
          <w:szCs w:val="20"/>
          <w:color w:val="auto"/>
        </w:rPr>
        <w:t>Section 4.17.</w:t>
      </w:r>
      <w:r>
        <w:rPr>
          <w:sz w:val="20"/>
          <w:szCs w:val="20"/>
          <w:color w:val="auto"/>
        </w:rPr>
        <w:tab/>
      </w:r>
      <w:r>
        <w:rPr>
          <w:rFonts w:ascii="Arial" w:cs="Arial" w:eastAsia="Arial" w:hAnsi="Arial"/>
          <w:sz w:val="16"/>
          <w:szCs w:val="16"/>
          <w:u w:val="single" w:color="auto"/>
          <w:color w:val="auto"/>
        </w:rPr>
        <w:t>Judgments</w:t>
      </w:r>
      <w:r>
        <w:rPr>
          <w:rFonts w:ascii="Arial" w:cs="Arial" w:eastAsia="Arial" w:hAnsi="Arial"/>
          <w:sz w:val="16"/>
          <w:szCs w:val="16"/>
          <w:color w:val="auto"/>
        </w:rPr>
        <w:t>. As of the Closing Date, there are no final, non-appealable judgments or decrees in an</w:t>
      </w:r>
    </w:p>
    <w:p>
      <w:pPr>
        <w:spacing w:after="0" w:line="27"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aggregate amount of $10,000,000 or more entered by a court or courts of competent jurisdiction against the Borrower, any other Covered Party or any Consolidated Subsidiary or, to the extent such judgment would be recourse to the Borrower, any other Covered Party or any Consolidated Subsidiary, any other Person (other than, in each case, judgments as to which, and only to the extent, a reputable insurance company has acknowledged coverage of such claim in writing or which have been paid or stayed).</w:t>
      </w:r>
    </w:p>
    <w:p>
      <w:pPr>
        <w:spacing w:after="0" w:line="176" w:lineRule="exact"/>
        <w:rPr>
          <w:sz w:val="20"/>
          <w:szCs w:val="20"/>
          <w:color w:val="auto"/>
        </w:rPr>
      </w:pPr>
    </w:p>
    <w:p>
      <w:pPr>
        <w:ind w:right="40" w:firstLine="648"/>
        <w:spacing w:after="0" w:line="293" w:lineRule="auto"/>
        <w:rPr>
          <w:sz w:val="20"/>
          <w:szCs w:val="20"/>
          <w:color w:val="auto"/>
        </w:rPr>
      </w:pPr>
      <w:r>
        <w:rPr>
          <w:rFonts w:ascii="Arial" w:cs="Arial" w:eastAsia="Arial" w:hAnsi="Arial"/>
          <w:sz w:val="19"/>
          <w:szCs w:val="19"/>
          <w:color w:val="auto"/>
        </w:rPr>
        <w:t xml:space="preserve">Section 4.18. </w:t>
      </w:r>
      <w:r>
        <w:rPr>
          <w:rFonts w:ascii="Arial" w:cs="Arial" w:eastAsia="Arial" w:hAnsi="Arial"/>
          <w:sz w:val="19"/>
          <w:szCs w:val="19"/>
          <w:u w:val="single" w:color="auto"/>
          <w:color w:val="auto"/>
        </w:rPr>
        <w:t>No Default</w:t>
      </w:r>
      <w:r>
        <w:rPr>
          <w:rFonts w:ascii="Arial" w:cs="Arial" w:eastAsia="Arial" w:hAnsi="Arial"/>
          <w:sz w:val="19"/>
          <w:szCs w:val="19"/>
          <w:color w:val="auto"/>
        </w:rPr>
        <w:t>. No Event of Default or, to the best of the Borrower's knowledge, Default exists under or with respect to any Loan Document and neither the Borrower nor any other Covered Party is in default in any material respect beyond any applicable grace period under or with respect to any other material agreement, instrument or undertaking to which it is a party or by which it or any of its property is bound in any respect, the existence of which default is likely to result in a Material Adverse Effect.</w:t>
      </w:r>
    </w:p>
    <w:p>
      <w:pPr>
        <w:spacing w:after="0" w:line="176" w:lineRule="exact"/>
        <w:rPr>
          <w:sz w:val="20"/>
          <w:szCs w:val="20"/>
          <w:color w:val="auto"/>
        </w:rPr>
      </w:pPr>
    </w:p>
    <w:p>
      <w:pPr>
        <w:ind w:right="40" w:firstLine="648"/>
        <w:spacing w:after="0" w:line="299" w:lineRule="auto"/>
        <w:rPr>
          <w:sz w:val="20"/>
          <w:szCs w:val="20"/>
          <w:color w:val="auto"/>
        </w:rPr>
      </w:pPr>
      <w:r>
        <w:rPr>
          <w:rFonts w:ascii="Arial" w:cs="Arial" w:eastAsia="Arial" w:hAnsi="Arial"/>
          <w:sz w:val="19"/>
          <w:szCs w:val="19"/>
          <w:color w:val="auto"/>
        </w:rPr>
        <w:t xml:space="preserve">Section 4.19. </w:t>
      </w:r>
      <w:r>
        <w:rPr>
          <w:rFonts w:ascii="Arial" w:cs="Arial" w:eastAsia="Arial" w:hAnsi="Arial"/>
          <w:sz w:val="19"/>
          <w:szCs w:val="19"/>
          <w:u w:val="single" w:color="auto"/>
          <w:color w:val="auto"/>
        </w:rPr>
        <w:t>Licenses, etc.</w:t>
      </w:r>
      <w:r>
        <w:rPr>
          <w:rFonts w:ascii="Arial" w:cs="Arial" w:eastAsia="Arial" w:hAnsi="Arial"/>
          <w:sz w:val="19"/>
          <w:szCs w:val="19"/>
          <w:color w:val="auto"/>
        </w:rPr>
        <w:t xml:space="preserve"> Each Covered Party has obtained and does hold in full force and effect, all franchises, licenses, permits, certificates, authorizations, qualifications, accreditation, easements, rights of way and other consents and approvals which are necessary for the operation of its businesses as presently conducted, the absence of which is likely to have a Material Adverse Effect.</w:t>
      </w:r>
    </w:p>
    <w:p>
      <w:pPr>
        <w:spacing w:after="0" w:line="169" w:lineRule="exact"/>
        <w:rPr>
          <w:sz w:val="20"/>
          <w:szCs w:val="20"/>
          <w:color w:val="auto"/>
        </w:rPr>
      </w:pPr>
    </w:p>
    <w:p>
      <w:pPr>
        <w:jc w:val="both"/>
        <w:ind w:right="260" w:firstLine="648"/>
        <w:spacing w:after="0" w:line="278" w:lineRule="auto"/>
        <w:rPr>
          <w:sz w:val="20"/>
          <w:szCs w:val="20"/>
          <w:color w:val="auto"/>
        </w:rPr>
      </w:pPr>
      <w:r>
        <w:rPr>
          <w:rFonts w:ascii="Arial" w:cs="Arial" w:eastAsia="Arial" w:hAnsi="Arial"/>
          <w:sz w:val="20"/>
          <w:szCs w:val="20"/>
          <w:color w:val="auto"/>
        </w:rPr>
        <w:t xml:space="preserve">Section 4.20.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To the Borrower’s knowledge, each Covered Party and each of its assets are in compliance in all respects with all laws, rules, regulations, orders, judgments, writs and decrees, the failure to comply with which is likely to have a Material Adverse Effect.</w:t>
      </w:r>
    </w:p>
    <w:p>
      <w:pPr>
        <w:spacing w:after="0" w:line="187"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 xml:space="preserve">Section 4.21. </w:t>
      </w:r>
      <w:r>
        <w:rPr>
          <w:rFonts w:ascii="Arial" w:cs="Arial" w:eastAsia="Arial" w:hAnsi="Arial"/>
          <w:sz w:val="20"/>
          <w:szCs w:val="20"/>
          <w:u w:val="single" w:color="auto"/>
          <w:color w:val="auto"/>
        </w:rPr>
        <w:t>No Burdensome Restrictions</w:t>
      </w:r>
      <w:r>
        <w:rPr>
          <w:rFonts w:ascii="Arial" w:cs="Arial" w:eastAsia="Arial" w:hAnsi="Arial"/>
          <w:sz w:val="20"/>
          <w:szCs w:val="20"/>
          <w:color w:val="auto"/>
        </w:rPr>
        <w:t>. Except as may have been disclosed by the Borrower in writing to the Banks prior to the Closing Date or that would otherwise be permitted under the Loan Documents, neither the Borrower nor any other Covered Party is a party to any agreement or instrument or subject to any other obligation or any charter or corporate or partnership restriction, as the case may be, which, individually or in the aggregate, is likely to have a Material Adverse Effect.</w:t>
      </w:r>
    </w:p>
    <w:p>
      <w:pPr>
        <w:spacing w:after="0" w:line="192" w:lineRule="exact"/>
        <w:rPr>
          <w:sz w:val="20"/>
          <w:szCs w:val="20"/>
          <w:color w:val="auto"/>
        </w:rPr>
      </w:pPr>
    </w:p>
    <w:p>
      <w:pPr>
        <w:ind w:right="20" w:firstLine="648"/>
        <w:spacing w:after="0" w:line="307"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Brokers’ Fees</w:t>
      </w:r>
      <w:r>
        <w:rPr>
          <w:rFonts w:ascii="Arial" w:cs="Arial" w:eastAsia="Arial" w:hAnsi="Arial"/>
          <w:sz w:val="18"/>
          <w:szCs w:val="18"/>
          <w:color w:val="auto"/>
        </w:rPr>
        <w:t>. Neither the Borrower nor any other Covered Party has dealt with any broker or finder with respect to the transactions contemplated by this Agreement or otherwise in connection with this Agreement, and neither the Borrower nor any other Covered Party has done any act, had any negotiations or conversation, or made any agreements or promises which will in any way create or give rise to any obligation or liability for the payment by the Borrower or any other Covered Party of any brokerage fee, charge, commission or other compensation to any party with respect to the transactions contemplated by the Loan Documents, other than the fees payable to the Administrative Agent and the Banks, and certain other Persons as previously disclosed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571" w:right="259" w:bottom="1440" w:gutter="0" w:footer="0" w:header="0"/>
        </w:sectPr>
      </w:pPr>
    </w:p>
    <w:bookmarkStart w:id="88" w:name="page89"/>
    <w:bookmarkEnd w:id="88"/>
    <w:p>
      <w:pPr>
        <w:ind w:right="160" w:firstLine="648"/>
        <w:spacing w:after="0" w:line="274" w:lineRule="auto"/>
        <w:rPr>
          <w:sz w:val="20"/>
          <w:szCs w:val="20"/>
          <w:color w:val="auto"/>
        </w:rPr>
      </w:pPr>
      <w:r>
        <w:rPr>
          <w:rFonts w:ascii="Arial" w:cs="Arial" w:eastAsia="Arial" w:hAnsi="Arial"/>
          <w:sz w:val="20"/>
          <w:szCs w:val="20"/>
          <w:color w:val="auto"/>
        </w:rPr>
        <w:t xml:space="preserve">Section 4.23. </w:t>
      </w:r>
      <w:r>
        <w:rPr>
          <w:rFonts w:ascii="Arial" w:cs="Arial" w:eastAsia="Arial" w:hAnsi="Arial"/>
          <w:sz w:val="20"/>
          <w:szCs w:val="20"/>
          <w:u w:val="single" w:color="auto"/>
          <w:color w:val="auto"/>
        </w:rPr>
        <w:t>Labor Matters</w:t>
      </w:r>
      <w:r>
        <w:rPr>
          <w:rFonts w:ascii="Arial" w:cs="Arial" w:eastAsia="Arial" w:hAnsi="Arial"/>
          <w:sz w:val="20"/>
          <w:szCs w:val="20"/>
          <w:color w:val="auto"/>
        </w:rPr>
        <w:t xml:space="preserve">. Except as disclosed on </w:t>
      </w:r>
      <w:r>
        <w:rPr>
          <w:rFonts w:ascii="Arial" w:cs="Arial" w:eastAsia="Arial" w:hAnsi="Arial"/>
          <w:sz w:val="20"/>
          <w:szCs w:val="20"/>
          <w:u w:val="single" w:color="auto"/>
          <w:color w:val="auto"/>
        </w:rPr>
        <w:t>Schedule 4.6(a)</w:t>
      </w:r>
      <w:r>
        <w:rPr>
          <w:rFonts w:ascii="Arial" w:cs="Arial" w:eastAsia="Arial" w:hAnsi="Arial"/>
          <w:sz w:val="20"/>
          <w:szCs w:val="20"/>
          <w:color w:val="auto"/>
        </w:rPr>
        <w:t>, there are no collective bargaining agreements or Multiemployer Plans covering the employees of the Borrower, any other Covered Party or any member of the ERISA Group, and neither the Borrower nor any other Covered Party has suffered any material strikes, walkouts, work stoppages or other material labor difficulty within the last five years.</w:t>
      </w:r>
    </w:p>
    <w:p>
      <w:pPr>
        <w:spacing w:after="0" w:line="192"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4.24.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Each of the Borrower and each other Covered Party currently maintains 100% replacement cost insurance coverage (subject to customary deductibles) in respect of each of its Real Property Assets, as well as commercial general liability insurance (including, without limitation, “builders’ risk” where applicable) against claims for personal, and bodily injury and/or death, to one or more persons, or property damage, as well as workers’ compensation insurance, in each case with respect to liability and casualty insurance with insurers having an A.M. Best policyholders’ rating of not less than A-/VII at the time of issuance or extension of any such coverage policy in amounts no less than customarily carried by owners of properties similar to, and in the same locations as, the Covered Parties’ Real Property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A.M. Best policyholders’ rating requirement shall not be required for (a) such insurance as tenants of Credit Tenant Lease Assets are permitted or required pursuant to applicable leases to obtain or maintain, (b) exposure under existing insurance policies (but not renewals of any such policies) to CV Starr, in a Lloyds Syndicate in an amount not to exceed $20,000,000 and (c) liability and casualty insurance policies issued after the Closing Date on Real Property Assets constituting not more than 5.0% of all Real Property Assets owned by the Covered Parties with insurers having an A.M. Best policyholders’ rating of less than A-/VII, but not less than B++/VII.</w:t>
      </w:r>
    </w:p>
    <w:p>
      <w:pPr>
        <w:spacing w:after="0" w:line="182" w:lineRule="exact"/>
        <w:rPr>
          <w:sz w:val="20"/>
          <w:szCs w:val="20"/>
          <w:color w:val="auto"/>
        </w:rPr>
      </w:pPr>
    </w:p>
    <w:p>
      <w:pPr>
        <w:ind w:right="100" w:firstLine="648"/>
        <w:spacing w:after="0" w:line="322" w:lineRule="auto"/>
        <w:rPr>
          <w:sz w:val="20"/>
          <w:szCs w:val="20"/>
          <w:color w:val="auto"/>
        </w:rPr>
      </w:pPr>
      <w:r>
        <w:rPr>
          <w:rFonts w:ascii="Arial" w:cs="Arial" w:eastAsia="Arial" w:hAnsi="Arial"/>
          <w:sz w:val="18"/>
          <w:szCs w:val="18"/>
          <w:color w:val="auto"/>
        </w:rPr>
        <w:t xml:space="preserve">Section 4.25.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documents delivered pursuant to Section 3.1(g) constitute, as of the Closing Date, all of the organizational documents (together with all amendments and modifications thereof) of the Borrower and each Covered Party. The Borrower represents that it has delivered to the Administrative Agent true, correct and complete copies of each such document.</w:t>
      </w:r>
    </w:p>
    <w:p>
      <w:pPr>
        <w:spacing w:after="0" w:line="153" w:lineRule="exact"/>
        <w:rPr>
          <w:sz w:val="20"/>
          <w:szCs w:val="20"/>
          <w:color w:val="auto"/>
        </w:rPr>
      </w:pPr>
    </w:p>
    <w:p>
      <w:pPr>
        <w:ind w:right="40" w:firstLine="648"/>
        <w:spacing w:after="0" w:line="278" w:lineRule="auto"/>
        <w:rPr>
          <w:sz w:val="20"/>
          <w:szCs w:val="20"/>
          <w:color w:val="auto"/>
        </w:rPr>
      </w:pPr>
      <w:r>
        <w:rPr>
          <w:rFonts w:ascii="Arial" w:cs="Arial" w:eastAsia="Arial" w:hAnsi="Arial"/>
          <w:sz w:val="20"/>
          <w:szCs w:val="20"/>
          <w:color w:val="auto"/>
        </w:rPr>
        <w:t xml:space="preserve">Section 4.26. </w:t>
      </w:r>
      <w:r>
        <w:rPr>
          <w:rFonts w:ascii="Arial" w:cs="Arial" w:eastAsia="Arial" w:hAnsi="Arial"/>
          <w:sz w:val="20"/>
          <w:szCs w:val="20"/>
          <w:u w:val="single" w:color="auto"/>
          <w:color w:val="auto"/>
        </w:rPr>
        <w:t>Unencumbered Assets</w:t>
      </w:r>
      <w:r>
        <w:rPr>
          <w:rFonts w:ascii="Arial" w:cs="Arial" w:eastAsia="Arial" w:hAnsi="Arial"/>
          <w:sz w:val="20"/>
          <w:szCs w:val="20"/>
          <w:color w:val="auto"/>
        </w:rPr>
        <w:t>. As of the Closing Date after giving effect to the transactions contemplated hereby, the Borrower shall be in compliance with the covenants with respect to the Borrower’s maintenance of its unencumbered assets under the documentation governing its other Indebtedness for borrowed money.</w:t>
      </w:r>
    </w:p>
    <w:p>
      <w:pPr>
        <w:spacing w:after="0" w:line="187" w:lineRule="exact"/>
        <w:rPr>
          <w:sz w:val="20"/>
          <w:szCs w:val="20"/>
          <w:color w:val="auto"/>
        </w:rPr>
      </w:pPr>
    </w:p>
    <w:p>
      <w:pPr>
        <w:ind w:right="20" w:firstLine="648"/>
        <w:spacing w:after="0" w:line="314" w:lineRule="auto"/>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The Borrower owns the Collateral purported to be owned by it (and in the case of Credit Tenant Lease Assets, fee title to the underlying real property in respect thereof) and each other Covered Party directly and wholly owns the Covered Assets purported to be owned by it, as applicable, in each case as set forth in the Collateral and Covered Asset List, except as set forth on Schedule 4.27, and none of the Collateral or Covered Assets is subject to any Lien except as permitted by Section 5.15.</w:t>
      </w:r>
    </w:p>
    <w:p>
      <w:pPr>
        <w:spacing w:after="0" w:line="159" w:lineRule="exact"/>
        <w:rPr>
          <w:sz w:val="20"/>
          <w:szCs w:val="20"/>
          <w:color w:val="auto"/>
        </w:rPr>
      </w:pPr>
    </w:p>
    <w:p>
      <w:pPr>
        <w:ind w:right="180" w:firstLine="648"/>
        <w:spacing w:after="0" w:line="310"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Covered Parties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 4.28</w:t>
      </w:r>
      <w:r>
        <w:rPr>
          <w:rFonts w:ascii="Arial" w:cs="Arial" w:eastAsia="Arial" w:hAnsi="Arial"/>
          <w:sz w:val="18"/>
          <w:szCs w:val="18"/>
          <w:color w:val="auto"/>
        </w:rPr>
        <w:t xml:space="preserve"> sets forth the full legal name and jurisdiction of incorporation or organization of each Covered Party and, as to each such Covered Subsidiary, the percentage of each class of equity interests owned by the Borrower or any Covered Party and (b) there are no outstanding subscriptions, options, warrants, calls, rights or other agreements or commitments (other than, in respect of the Borrower only, stock options granted to employees or directors and directors’ qualifying shares) of any nature relating to any equity interests of the Borrower or any other Covered Party, except as permitted by the Loan Documents.</w:t>
      </w:r>
    </w:p>
    <w:p>
      <w:pPr>
        <w:spacing w:after="0" w:line="162" w:lineRule="exact"/>
        <w:rPr>
          <w:sz w:val="20"/>
          <w:szCs w:val="20"/>
          <w:color w:val="auto"/>
        </w:rPr>
      </w:pPr>
    </w:p>
    <w:p>
      <w:pPr>
        <w:ind w:right="140" w:firstLine="648"/>
        <w:spacing w:after="0" w:line="278" w:lineRule="auto"/>
        <w:rPr>
          <w:sz w:val="20"/>
          <w:szCs w:val="20"/>
          <w:color w:val="auto"/>
        </w:rPr>
      </w:pPr>
      <w:r>
        <w:rPr>
          <w:rFonts w:ascii="Arial" w:cs="Arial" w:eastAsia="Arial" w:hAnsi="Arial"/>
          <w:sz w:val="20"/>
          <w:szCs w:val="20"/>
          <w:color w:val="auto"/>
        </w:rPr>
        <w:t xml:space="preserve">Section 4.29. </w:t>
      </w:r>
      <w:r>
        <w:rPr>
          <w:rFonts w:ascii="Arial" w:cs="Arial" w:eastAsia="Arial" w:hAnsi="Arial"/>
          <w:sz w:val="20"/>
          <w:szCs w:val="20"/>
          <w:u w:val="single" w:color="auto"/>
          <w:color w:val="auto"/>
        </w:rPr>
        <w:t>Security Documents</w:t>
      </w:r>
      <w:r>
        <w:rPr>
          <w:rFonts w:ascii="Arial" w:cs="Arial" w:eastAsia="Arial" w:hAnsi="Arial"/>
          <w:sz w:val="20"/>
          <w:szCs w:val="20"/>
          <w:color w:val="auto"/>
        </w:rPr>
        <w:t>. The Security Agreement is effective to create in favor of the Administrative Agent, for the benefit of the Agents and the Banks, a legal, valid and enforceable security interest in the Collateral described therein and proceeds thereof. In the case of the Pledged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595" w:right="239" w:bottom="1440" w:gutter="0" w:footer="0" w:header="0"/>
        </w:sectPr>
      </w:pPr>
    </w:p>
    <w:bookmarkStart w:id="89" w:name="page90"/>
    <w:bookmarkEnd w:id="89"/>
    <w:p>
      <w:pPr>
        <w:ind w:right="60"/>
        <w:spacing w:after="0" w:line="273" w:lineRule="auto"/>
        <w:rPr>
          <w:sz w:val="20"/>
          <w:szCs w:val="20"/>
          <w:color w:val="auto"/>
        </w:rPr>
      </w:pPr>
      <w:r>
        <w:rPr>
          <w:rFonts w:ascii="Arial" w:cs="Arial" w:eastAsia="Arial" w:hAnsi="Arial"/>
          <w:sz w:val="20"/>
          <w:szCs w:val="20"/>
          <w:color w:val="auto"/>
        </w:rPr>
        <w:t xml:space="preserve">described in the Security Agreement, when certificates representing such Pledged Stock, if any, are delivered to the Administrative Agent, and in the case of the other Collateral described in the Security Agreement, when financing statements and other filings specified on </w:t>
      </w:r>
      <w:r>
        <w:rPr>
          <w:rFonts w:ascii="Arial" w:cs="Arial" w:eastAsia="Arial" w:hAnsi="Arial"/>
          <w:sz w:val="20"/>
          <w:szCs w:val="20"/>
          <w:u w:val="single" w:color="auto"/>
          <w:color w:val="auto"/>
        </w:rPr>
        <w:t>Schedule 4.29</w:t>
      </w:r>
      <w:r>
        <w:rPr>
          <w:rFonts w:ascii="Arial" w:cs="Arial" w:eastAsia="Arial" w:hAnsi="Arial"/>
          <w:sz w:val="20"/>
          <w:szCs w:val="20"/>
          <w:color w:val="auto"/>
        </w:rPr>
        <w:t xml:space="preserve"> in appropriate form are filed in the offices specified on </w:t>
      </w:r>
      <w:r>
        <w:rPr>
          <w:rFonts w:ascii="Arial" w:cs="Arial" w:eastAsia="Arial" w:hAnsi="Arial"/>
          <w:sz w:val="20"/>
          <w:szCs w:val="20"/>
          <w:u w:val="single" w:color="auto"/>
          <w:color w:val="auto"/>
        </w:rPr>
        <w:t>Schedule 4.29</w:t>
      </w:r>
      <w:r>
        <w:rPr>
          <w:rFonts w:ascii="Arial" w:cs="Arial" w:eastAsia="Arial" w:hAnsi="Arial"/>
          <w:sz w:val="20"/>
          <w:szCs w:val="20"/>
          <w:color w:val="auto"/>
        </w:rPr>
        <w:t>, the Security Agreement shall constitute a fully perfected Lien on, and security interest in, all right, title and interest of the Borrower in such Collateral and the proceeds thereof, as security for the Obligations, in each case prior and superior in right to any other Lien.</w:t>
      </w:r>
    </w:p>
    <w:p>
      <w:pPr>
        <w:spacing w:after="0" w:line="191" w:lineRule="exact"/>
        <w:rPr>
          <w:sz w:val="20"/>
          <w:szCs w:val="20"/>
          <w:color w:val="auto"/>
        </w:rPr>
      </w:pPr>
    </w:p>
    <w:p>
      <w:pPr>
        <w:ind w:firstLine="648"/>
        <w:spacing w:after="0" w:line="303" w:lineRule="auto"/>
        <w:rPr>
          <w:sz w:val="20"/>
          <w:szCs w:val="20"/>
          <w:color w:val="auto"/>
        </w:rPr>
      </w:pPr>
      <w:r>
        <w:rPr>
          <w:rFonts w:ascii="Arial" w:cs="Arial" w:eastAsia="Arial" w:hAnsi="Arial"/>
          <w:sz w:val="18"/>
          <w:szCs w:val="18"/>
          <w:color w:val="auto"/>
        </w:rPr>
        <w:t xml:space="preserve">Section 4.30.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AFFIRMATIVE AND NEGATIVE COVENANTS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Borrower covenants and agrees that, so long as any of the Obligations remain unpaid:</w:t>
      </w:r>
    </w:p>
    <w:p>
      <w:pPr>
        <w:spacing w:after="0" w:line="229" w:lineRule="exact"/>
        <w:rPr>
          <w:sz w:val="20"/>
          <w:szCs w:val="20"/>
          <w:color w:val="auto"/>
        </w:rPr>
      </w:pPr>
    </w:p>
    <w:p>
      <w:pPr>
        <w:jc w:val="both"/>
        <w:ind w:right="320" w:firstLine="648"/>
        <w:spacing w:after="0" w:line="278"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The Borrower shall deliver to the Administrative Agent and each of the Banks (or post to Intralinks or another similar electronic system acceptable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information is not otherwise publicly available:</w:t>
      </w:r>
    </w:p>
    <w:p>
      <w:pPr>
        <w:spacing w:after="0" w:line="187" w:lineRule="exact"/>
        <w:rPr>
          <w:sz w:val="20"/>
          <w:szCs w:val="20"/>
          <w:color w:val="auto"/>
        </w:rPr>
      </w:pPr>
    </w:p>
    <w:p>
      <w:pPr>
        <w:ind w:firstLine="1305"/>
        <w:spacing w:after="0" w:line="307" w:lineRule="auto"/>
        <w:tabs>
          <w:tab w:leader="none" w:pos="21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soon as available and in any event within five (5) Business Days after the same is required to be filed with the Securities and Exchange Commission (but in no event later than 95 days after the end of each Fiscal Year of the Borrower) a consolidated balance sheet of the Borrower and its Consolidated Subsidiaries as of the end of such Fiscal Year and the related consolidated statements of operations and consolidated statements of cash flow for such Fiscal Year, setting forth in each case in comparative form the figures for the previous Fiscal Year (if available), all reported in a manner acceptable to the Securities and Exchange Commission on the Borrower’s Form 10-K and reported on by PricewaterhouseCoopers LLP or other independent public accountants of nationally recognized standing;</w:t>
      </w:r>
    </w:p>
    <w:p>
      <w:pPr>
        <w:spacing w:after="0" w:line="167" w:lineRule="exact"/>
        <w:rPr>
          <w:rFonts w:ascii="Arial" w:cs="Arial" w:eastAsia="Arial" w:hAnsi="Arial"/>
          <w:sz w:val="18"/>
          <w:szCs w:val="18"/>
          <w:color w:val="auto"/>
        </w:rPr>
      </w:pPr>
    </w:p>
    <w:p>
      <w:pPr>
        <w:ind w:right="40" w:firstLine="1305"/>
        <w:spacing w:after="0" w:line="307" w:lineRule="auto"/>
        <w:tabs>
          <w:tab w:leader="none" w:pos="21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as soon as available and in any event within five (5) Business Days after the same is required to be filed with the Securities and Exchange Commission (but in no event later than 50 days after the end of each of the first three Fiscal Quarters of each Fiscal Year of the Borrower), a consolidated balance sheet of the Borrower and its Consolidated Subsidiaries as of the end of such Fiscal Quarter and the related consolidated statements of operations and consolidated statements of cash flow for such quarter and for the portion of the Borrower’s Fiscal Year ended at the end of such Fiscal Quarter, all reported in the form provided to the Securities and Exchange Commission on the Borrower’s Form 10-Q, together with (ii) such other information reasonably requested by the Administrative Agent or any Bank;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620" w:hanging="101"/>
        <w:spacing w:after="0"/>
        <w:tabs>
          <w:tab w:leader="none" w:pos="5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380"/>
          </w:cols>
          <w:pgMar w:left="240" w:top="595" w:right="279" w:bottom="1440" w:gutter="0" w:footer="0" w:header="0"/>
        </w:sectPr>
      </w:pPr>
    </w:p>
    <w:bookmarkStart w:id="90" w:name="page91"/>
    <w:bookmarkEnd w:id="90"/>
    <w:p>
      <w:pPr>
        <w:ind w:left="-8" w:firstLine="1305"/>
        <w:spacing w:after="0" w:line="334" w:lineRule="auto"/>
        <w:tabs>
          <w:tab w:leader="none" w:pos="2156" w:val="left"/>
        </w:tabs>
        <w:numPr>
          <w:ilvl w:val="1"/>
          <w:numId w:val="77"/>
        </w:numPr>
        <w:rPr>
          <w:rFonts w:ascii="Arial" w:cs="Arial" w:eastAsia="Arial" w:hAnsi="Arial"/>
          <w:sz w:val="16"/>
          <w:szCs w:val="16"/>
          <w:color w:val="auto"/>
        </w:rPr>
      </w:pPr>
      <w:r>
        <w:rPr>
          <w:rFonts w:ascii="Arial" w:cs="Arial" w:eastAsia="Arial" w:hAnsi="Arial"/>
          <w:sz w:val="16"/>
          <w:szCs w:val="16"/>
          <w:color w:val="auto"/>
        </w:rPr>
        <w:t>simultaneously with the delivery of each set of financial statements referred to in clauses (a) and (b) above, (I) a certificate of a financial officer of the Borrower (i) setting forth in reasonable detail the calculations required to establish whether the Borrower was in compliance with the requirements of Section 5.9 on the date of such financial statements and (ii) certifying (x) that such financial statements fairly present the financial condition and the results of operations of the Borrower and its Consolidated Subsidiaries on the dates and for the periods indicated, on the basis of GAAP, subject, in the case of interim financial statements, to normally recurring year-end adjustments, and (y) that such officer has reviewed the terms of the Loan Documents and has made, or caused to be made under his or her supervision, a review in reasonable detail of the business and condition of the Borrower and its Consolidated Subsidiaries during the period beginning on the date through which the last such review was made pursuant to this Section 5.1(c) (or, in the case of the first certification pursuant to this Section 5.1(c), the Closing Date) and ending on a date not more than ten (10) Business Days prior to, but excluding, the date of such delivery and that</w:t>
      </w:r>
    </w:p>
    <w:p>
      <w:pPr>
        <w:spacing w:after="0" w:line="4" w:lineRule="exact"/>
        <w:rPr>
          <w:rFonts w:ascii="Arial" w:cs="Arial" w:eastAsia="Arial" w:hAnsi="Arial"/>
          <w:sz w:val="16"/>
          <w:szCs w:val="16"/>
          <w:color w:val="auto"/>
        </w:rPr>
      </w:pPr>
    </w:p>
    <w:p>
      <w:pPr>
        <w:ind w:left="-8" w:right="100" w:firstLine="8"/>
        <w:spacing w:after="0" w:line="287" w:lineRule="auto"/>
        <w:tabs>
          <w:tab w:leader="none" w:pos="272" w:val="left"/>
        </w:tabs>
        <w:numPr>
          <w:ilvl w:val="0"/>
          <w:numId w:val="78"/>
        </w:numPr>
        <w:rPr>
          <w:rFonts w:ascii="Arial" w:cs="Arial" w:eastAsia="Arial" w:hAnsi="Arial"/>
          <w:sz w:val="19"/>
          <w:szCs w:val="19"/>
          <w:color w:val="auto"/>
        </w:rPr>
      </w:pPr>
      <w:r>
        <w:rPr>
          <w:rFonts w:ascii="Arial" w:cs="Arial" w:eastAsia="Arial" w:hAnsi="Arial"/>
          <w:sz w:val="19"/>
          <w:szCs w:val="19"/>
          <w:color w:val="auto"/>
        </w:rPr>
        <w:t>on the basis of such financial statements and such review of the Loan Documents, no Event of Default existed under Section 6.1(b) with respect to Section 5.9 at or as of the date of such financial statements, and (2) on the basis of such review of the Loan Documents and the business and condition of the Borrower and its Consolidated Subsidiaries, to the best knowledge of such officer, as of the last day of the period covered by such certificate no Default or Event of Default under any other provision of Section 6.1 occurred and is continuing or, if any such Default or Event of Default has occurred and is continuing, specifying the nature and extent thereof and, the action the Borrower proposes to take in respect thereof (and such certificate shall set forth the calculations required to establish the matters described in clause (1) above) and (II) updated Projections for the next successive four-quarter period;</w:t>
      </w:r>
    </w:p>
    <w:p>
      <w:pPr>
        <w:spacing w:after="0" w:line="183" w:lineRule="exact"/>
        <w:rPr>
          <w:rFonts w:ascii="Arial" w:cs="Arial" w:eastAsia="Arial" w:hAnsi="Arial"/>
          <w:sz w:val="19"/>
          <w:szCs w:val="19"/>
          <w:color w:val="auto"/>
        </w:rPr>
      </w:pPr>
    </w:p>
    <w:p>
      <w:pPr>
        <w:ind w:left="-8" w:right="140" w:firstLine="1305"/>
        <w:spacing w:after="0" w:line="270" w:lineRule="auto"/>
        <w:tabs>
          <w:tab w:leader="none" w:pos="2167" w:val="left"/>
        </w:tabs>
        <w:numPr>
          <w:ilvl w:val="1"/>
          <w:numId w:val="78"/>
        </w:numPr>
        <w:rPr>
          <w:rFonts w:ascii="Arial" w:cs="Arial" w:eastAsia="Arial" w:hAnsi="Arial"/>
          <w:sz w:val="20"/>
          <w:szCs w:val="20"/>
          <w:color w:val="auto"/>
        </w:rPr>
      </w:pPr>
      <w:r>
        <w:rPr>
          <w:rFonts w:ascii="Arial" w:cs="Arial" w:eastAsia="Arial" w:hAnsi="Arial"/>
          <w:sz w:val="20"/>
          <w:szCs w:val="20"/>
          <w:color w:val="auto"/>
        </w:rPr>
        <w:t>(i) within five (5) Business Days after any officer of any Covered Party obtains knowledge of any Default or Event of Default, if such Default or Event of Default is then continuing, a certificate of the chief financial officer, or other executive officer of the Borrower, setting forth the details thereof and the action which the Borrower is taking or proposes to take with respect thereto; and (ii) promptly and in any event within five (5) Business Days after any Covered Party obtains knowledge thereof, notice of (x) any litigation or governmental proceeding pending or threatened against the Borrower or any Consolidated Subsidiary or its directly or indirectly owned Real Property Assets as to which there is a reasonable possibility of an adverse determination and which, if adversely determined, is likely to individually or in the aggregate, result in a Material Adverse Effect, and (y) any other event, act or condition which is likely to result in a Material Adverse Effect;</w:t>
      </w:r>
    </w:p>
    <w:p>
      <w:pPr>
        <w:spacing w:after="0" w:line="199" w:lineRule="exact"/>
        <w:rPr>
          <w:rFonts w:ascii="Arial" w:cs="Arial" w:eastAsia="Arial" w:hAnsi="Arial"/>
          <w:sz w:val="20"/>
          <w:szCs w:val="20"/>
          <w:color w:val="auto"/>
        </w:rPr>
      </w:pPr>
    </w:p>
    <w:p>
      <w:pPr>
        <w:ind w:left="-8" w:right="220" w:firstLine="1305"/>
        <w:spacing w:after="0" w:line="289" w:lineRule="auto"/>
        <w:tabs>
          <w:tab w:leader="none" w:pos="2156" w:val="left"/>
        </w:tabs>
        <w:numPr>
          <w:ilvl w:val="1"/>
          <w:numId w:val="78"/>
        </w:numPr>
        <w:rPr>
          <w:rFonts w:ascii="Arial" w:cs="Arial" w:eastAsia="Arial" w:hAnsi="Arial"/>
          <w:sz w:val="20"/>
          <w:szCs w:val="20"/>
          <w:color w:val="auto"/>
        </w:rPr>
      </w:pPr>
      <w:r>
        <w:rPr>
          <w:rFonts w:ascii="Arial" w:cs="Arial" w:eastAsia="Arial" w:hAnsi="Arial"/>
          <w:sz w:val="20"/>
          <w:szCs w:val="20"/>
          <w:color w:val="auto"/>
        </w:rPr>
        <w:t>promptly upon the mailing thereof to the shareholders of the Borrower generally, copies of all proxy statements or any other materials so mailed;</w:t>
      </w:r>
    </w:p>
    <w:p>
      <w:pPr>
        <w:spacing w:after="0" w:line="175" w:lineRule="exact"/>
        <w:rPr>
          <w:rFonts w:ascii="Arial" w:cs="Arial" w:eastAsia="Arial" w:hAnsi="Arial"/>
          <w:sz w:val="20"/>
          <w:szCs w:val="20"/>
          <w:color w:val="auto"/>
        </w:rPr>
      </w:pPr>
    </w:p>
    <w:p>
      <w:pPr>
        <w:ind w:left="-8" w:right="20" w:firstLine="1305"/>
        <w:spacing w:after="0" w:line="285" w:lineRule="auto"/>
        <w:tabs>
          <w:tab w:leader="none" w:pos="2135" w:val="left"/>
        </w:tabs>
        <w:numPr>
          <w:ilvl w:val="1"/>
          <w:numId w:val="78"/>
        </w:numPr>
        <w:rPr>
          <w:rFonts w:ascii="Arial" w:cs="Arial" w:eastAsia="Arial" w:hAnsi="Arial"/>
          <w:sz w:val="19"/>
          <w:szCs w:val="19"/>
          <w:color w:val="auto"/>
        </w:rPr>
      </w:pPr>
      <w:r>
        <w:rPr>
          <w:rFonts w:ascii="Arial" w:cs="Arial" w:eastAsia="Arial" w:hAnsi="Arial"/>
          <w:sz w:val="19"/>
          <w:szCs w:val="19"/>
          <w:color w:val="auto"/>
        </w:rPr>
        <w:t>promptly and in any event within thirty (30) days,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5612" w:hanging="101"/>
        <w:spacing w:after="0"/>
        <w:tabs>
          <w:tab w:leader="none" w:pos="5612" w:val="left"/>
        </w:tabs>
        <w:numPr>
          <w:ilvl w:val="2"/>
          <w:numId w:val="78"/>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12"/>
          </w:cols>
          <w:pgMar w:left="248" w:top="595" w:right="239" w:bottom="1440" w:gutter="0" w:footer="0" w:header="0"/>
        </w:sectPr>
      </w:pPr>
    </w:p>
    <w:bookmarkStart w:id="91" w:name="page92"/>
    <w:bookmarkEnd w:id="91"/>
    <w:p>
      <w:pPr>
        <w:jc w:val="both"/>
        <w:ind w:right="100"/>
        <w:spacing w:after="0" w:line="314" w:lineRule="auto"/>
        <w:rPr>
          <w:sz w:val="20"/>
          <w:szCs w:val="20"/>
          <w:color w:val="auto"/>
        </w:rPr>
      </w:pPr>
      <w:r>
        <w:rPr>
          <w:rFonts w:ascii="Arial" w:cs="Arial" w:eastAsia="Arial" w:hAnsi="Arial"/>
          <w:sz w:val="18"/>
          <w:szCs w:val="18"/>
          <w:color w:val="auto"/>
        </w:rPr>
        <w:t>or makes any amendment to any Plan which has resulted or could result in the imposition of a Lien or the posting of a bond or other security, and, in the case of any occurrence covered by any of clauses (i) through (vii) above, which occurrence would reasonably be expected to result in a Material Adverse Effect, a certificate of the chief financial officer or the chief accounting officer of the Borrower setting forth details as to such occurrence and action, if any, which the Borrower or applicable member of the ERISA Group is required or proposes to take;</w:t>
      </w:r>
    </w:p>
    <w:p>
      <w:pPr>
        <w:spacing w:after="0" w:line="159" w:lineRule="exact"/>
        <w:rPr>
          <w:sz w:val="20"/>
          <w:szCs w:val="20"/>
          <w:color w:val="auto"/>
        </w:rPr>
      </w:pPr>
    </w:p>
    <w:p>
      <w:pPr>
        <w:ind w:right="120" w:firstLine="1305"/>
        <w:spacing w:after="0" w:line="302" w:lineRule="auto"/>
        <w:tabs>
          <w:tab w:leader="none" w:pos="21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promptly and in any event within ten (10) days after any Covered Party obtains actual knowledge of any of the following events, a certificate of the Borrower, executed by an officer of the Borrower, specifying the nature of such condition, and the Borrower’s or, if the Borrower has actual knowledge thereof, the Environmental Affiliate’s proposed initial response thereto: (i) the receipt by the Borrower, or any of the Environmental Affiliates of any communication (written or oral), whether from a governmental authority, citizens group, employee or otherwise, that alleges that the Borrower, or any of the Environmental Affiliates, is not in compliance with applicable Environmental Laws, and such noncompliance would reasonably be expected to have a Material Adverse Effect, (ii) the existence of any Environmental Claim pending against the Borrower or any Environmental Affiliate and such Environmental Claim would reasonably be expected to have a Material Adverse Effect or (iii) any release, emission, discharge or disposal of any Material of Environmental Concern that would reasonably be expected to form the basis of any Environmental Claim against the Borrower or any Environmental Affiliate or would reasonably be expected to interfere with the Borrower’s Business or the fair saleable value or use of any of its Properties, which in any such event would reasonably be expected to have a Material Adverse Effect;</w:t>
      </w:r>
    </w:p>
    <w:p>
      <w:pPr>
        <w:spacing w:after="0" w:line="173" w:lineRule="exact"/>
        <w:rPr>
          <w:rFonts w:ascii="Arial" w:cs="Arial" w:eastAsia="Arial" w:hAnsi="Arial"/>
          <w:sz w:val="18"/>
          <w:szCs w:val="18"/>
          <w:color w:val="auto"/>
        </w:rPr>
      </w:pPr>
    </w:p>
    <w:p>
      <w:pPr>
        <w:ind w:right="300" w:firstLine="1305"/>
        <w:spacing w:after="0" w:line="299" w:lineRule="auto"/>
        <w:tabs>
          <w:tab w:leader="none" w:pos="2175" w:val="left"/>
        </w:tabs>
        <w:numPr>
          <w:ilvl w:val="0"/>
          <w:numId w:val="79"/>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after receipt of any notices or correspondence from any company or agent for any company providing insurance coverage to the Borrower or any other Covered Party relating to any loss which is likely to result in a Material Adverse Effect, copies of such notices and correspondence;</w:t>
      </w:r>
    </w:p>
    <w:p>
      <w:pPr>
        <w:spacing w:after="0" w:line="169" w:lineRule="exact"/>
        <w:rPr>
          <w:rFonts w:ascii="Arial" w:cs="Arial" w:eastAsia="Arial" w:hAnsi="Arial"/>
          <w:sz w:val="19"/>
          <w:szCs w:val="19"/>
          <w:color w:val="auto"/>
        </w:rPr>
      </w:pPr>
    </w:p>
    <w:p>
      <w:pPr>
        <w:ind w:right="240" w:firstLine="1305"/>
        <w:spacing w:after="0" w:line="274" w:lineRule="auto"/>
        <w:tabs>
          <w:tab w:leader="none" w:pos="2132" w:val="left"/>
        </w:tabs>
        <w:numPr>
          <w:ilvl w:val="0"/>
          <w:numId w:val="79"/>
        </w:numPr>
        <w:rPr>
          <w:rFonts w:ascii="Arial" w:cs="Arial" w:eastAsia="Arial" w:hAnsi="Arial"/>
          <w:sz w:val="20"/>
          <w:szCs w:val="20"/>
          <w:color w:val="auto"/>
        </w:rPr>
      </w:pPr>
      <w:r>
        <w:rPr>
          <w:rFonts w:ascii="Arial" w:cs="Arial" w:eastAsia="Arial" w:hAnsi="Arial"/>
          <w:sz w:val="20"/>
          <w:szCs w:val="20"/>
          <w:color w:val="auto"/>
        </w:rPr>
        <w:t>as soon as available and in any event within fifteen (15) Business Days after the end of each fiscal quarter, commencing with the first fiscal quarter following the Closing Date, a Borrowing Base Certificate duly executed by a financial officer of the Borrower setting forth in reasonable detail the calculation of the Borrowing Base as at the end of such quarter, based upon the best available information at such time as certified by a financial officer of the Borrower;</w:t>
      </w:r>
    </w:p>
    <w:p>
      <w:pPr>
        <w:spacing w:after="0" w:line="192" w:lineRule="exact"/>
        <w:rPr>
          <w:rFonts w:ascii="Arial" w:cs="Arial" w:eastAsia="Arial" w:hAnsi="Arial"/>
          <w:sz w:val="20"/>
          <w:szCs w:val="20"/>
          <w:color w:val="auto"/>
        </w:rPr>
      </w:pPr>
    </w:p>
    <w:p>
      <w:pPr>
        <w:ind w:right="300" w:firstLine="1305"/>
        <w:spacing w:after="0" w:line="297" w:lineRule="auto"/>
        <w:tabs>
          <w:tab w:leader="none" w:pos="21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soon as available and in any event (A) on or before the fifteenth day of each calendar month in respect of the immediately prior calendar month (other than a month in which a Borrowing Base Certificate is required to be delivered pursuant to Section</w:t>
      </w:r>
    </w:p>
    <w:p>
      <w:pPr>
        <w:spacing w:after="0" w:line="288" w:lineRule="auto"/>
        <w:rPr>
          <w:rFonts w:ascii="Arial" w:cs="Arial" w:eastAsia="Arial" w:hAnsi="Arial"/>
          <w:sz w:val="18"/>
          <w:szCs w:val="18"/>
          <w:color w:val="auto"/>
        </w:rPr>
      </w:pPr>
      <w:r>
        <w:rPr>
          <w:rFonts w:ascii="Arial" w:cs="Arial" w:eastAsia="Arial" w:hAnsi="Arial"/>
          <w:sz w:val="19"/>
          <w:szCs w:val="19"/>
          <w:color w:val="auto"/>
        </w:rPr>
        <w:t>5.1(i)) a certificate from an financial officer of the Borrower (a “</w:t>
      </w:r>
      <w:r>
        <w:rPr>
          <w:rFonts w:ascii="Arial" w:cs="Arial" w:eastAsia="Arial" w:hAnsi="Arial"/>
          <w:sz w:val="19"/>
          <w:szCs w:val="19"/>
          <w:u w:val="single" w:color="auto"/>
          <w:color w:val="auto"/>
        </w:rPr>
        <w:t>Monthly Certificate</w:t>
      </w:r>
      <w:r>
        <w:rPr>
          <w:rFonts w:ascii="Arial" w:cs="Arial" w:eastAsia="Arial" w:hAnsi="Arial"/>
          <w:sz w:val="19"/>
          <w:szCs w:val="19"/>
          <w:color w:val="auto"/>
        </w:rPr>
        <w:t>”) specifying (i) any adjustments in the Borrowing Base Value of any Borrowing Base Asset that is not reflected in the most recent Borrowing Base Certificate, as a result of (x) any principal payments actually paid or prepaid on account of any Loan Assets (excluding any scheduled amortization payments actually paid) and (y) any Borrowing Base Asset becoming a Non-Performing Loan Asset or a Non-Cash Flow Credit Tenant Lease Asset and (ii) the resulting aggregate amount of the Borrowing Base and (B) within three Business Days after obtaining knowledge thereof, notice of any event giving rise to the requirement of a prepayment, or addition of Covered Assets, pursuant to Section 2.11;</w:t>
      </w:r>
    </w:p>
    <w:p>
      <w:pPr>
        <w:spacing w:after="0" w:line="182" w:lineRule="exact"/>
        <w:rPr>
          <w:rFonts w:ascii="Arial" w:cs="Arial" w:eastAsia="Arial" w:hAnsi="Arial"/>
          <w:sz w:val="18"/>
          <w:szCs w:val="18"/>
          <w:color w:val="auto"/>
        </w:rPr>
      </w:pPr>
    </w:p>
    <w:p>
      <w:pPr>
        <w:ind w:right="20" w:firstLine="1305"/>
        <w:spacing w:after="0" w:line="293" w:lineRule="auto"/>
        <w:tabs>
          <w:tab w:leader="none" w:pos="2175" w:val="left"/>
        </w:tabs>
        <w:numPr>
          <w:ilvl w:val="0"/>
          <w:numId w:val="79"/>
        </w:numPr>
        <w:rPr>
          <w:rFonts w:ascii="Arial" w:cs="Arial" w:eastAsia="Arial" w:hAnsi="Arial"/>
          <w:sz w:val="19"/>
          <w:szCs w:val="19"/>
          <w:color w:val="auto"/>
        </w:rPr>
      </w:pPr>
      <w:r>
        <w:rPr>
          <w:rFonts w:ascii="Arial" w:cs="Arial" w:eastAsia="Arial" w:hAnsi="Arial"/>
          <w:sz w:val="19"/>
          <w:szCs w:val="19"/>
          <w:color w:val="auto"/>
        </w:rPr>
        <w:t>(i) as soon as available and in any event within 90 days after the Closing Date, a BPO for each Covered Asset as of the Closing Date, (ii) as soon as available and in any event within 90 days after an asset is added as a Covered Asset after the Closing Date, a BPO for such Covered Asset (including delivering a BPO with respect to an asset that was previously withdrawn as a Covered Asset but is now added back), (iii) as soon as available and in any event within 90 days after a Covered Asset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5620" w:hanging="101"/>
        <w:spacing w:after="0"/>
        <w:tabs>
          <w:tab w:leader="none" w:pos="5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00"/>
          </w:cols>
          <w:pgMar w:left="240" w:top="595" w:right="25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has a write-down in Book Value that results in such Book Value being less than 80% of the Book Value for such Covered Asset as of the later of</w:t>
      </w:r>
    </w:p>
    <w:p>
      <w:pPr>
        <w:spacing w:after="0" w:line="73" w:lineRule="exact"/>
        <w:rPr>
          <w:sz w:val="20"/>
          <w:szCs w:val="20"/>
          <w:color w:val="auto"/>
        </w:rPr>
      </w:pPr>
    </w:p>
    <w:p>
      <w:pPr>
        <w:ind w:right="160" w:firstLine="8"/>
        <w:spacing w:after="0" w:line="347" w:lineRule="auto"/>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such asset became a Covered Asset and (y) the date of delivery of the most recent BPO with respect to such Covered Asset, a new BPO for such Covered Asset and (iv) at any time at the Borrower’s request, deliver an updated BPO for any Covered Asset;</w:t>
      </w:r>
    </w:p>
    <w:p>
      <w:pPr>
        <w:spacing w:after="0" w:line="130" w:lineRule="exact"/>
        <w:rPr>
          <w:rFonts w:ascii="Arial" w:cs="Arial" w:eastAsia="Arial" w:hAnsi="Arial"/>
          <w:sz w:val="18"/>
          <w:szCs w:val="18"/>
          <w:color w:val="auto"/>
        </w:rPr>
      </w:pPr>
    </w:p>
    <w:p>
      <w:pPr>
        <w:ind w:right="80" w:firstLine="1305"/>
        <w:spacing w:after="0" w:line="290" w:lineRule="auto"/>
        <w:tabs>
          <w:tab w:leader="none" w:pos="2132" w:val="left"/>
        </w:tabs>
        <w:numPr>
          <w:ilvl w:val="1"/>
          <w:numId w:val="80"/>
        </w:numPr>
        <w:rPr>
          <w:rFonts w:ascii="Arial" w:cs="Arial" w:eastAsia="Arial" w:hAnsi="Arial"/>
          <w:sz w:val="19"/>
          <w:szCs w:val="19"/>
          <w:color w:val="auto"/>
        </w:rPr>
      </w:pPr>
      <w:r>
        <w:rPr>
          <w:rFonts w:ascii="Arial" w:cs="Arial" w:eastAsia="Arial" w:hAnsi="Arial"/>
          <w:sz w:val="19"/>
          <w:szCs w:val="19"/>
          <w:color w:val="auto"/>
        </w:rPr>
        <w:t>from time to time such additional information regarding any of the Collateral, Covered Assets or the financial condition or operations or investments of the Borrower and its Subsidiaries, in each case, as the Administrative Agent, at the request of any Bank, may reasonably request in writing, so long as disclosure of such information could not result in a violation of, or expose the Borrower or its Subsidiaries to any material liability under, any applicable law, statute, ordinance or regulation or any agreements with unaffiliated third parties that are binding on the Borrower or any of its Subsidiaries or on any Property of any of them;</w:t>
      </w:r>
    </w:p>
    <w:p>
      <w:pPr>
        <w:spacing w:after="0" w:line="179" w:lineRule="exact"/>
        <w:rPr>
          <w:rFonts w:ascii="Arial" w:cs="Arial" w:eastAsia="Arial" w:hAnsi="Arial"/>
          <w:sz w:val="19"/>
          <w:szCs w:val="19"/>
          <w:color w:val="auto"/>
        </w:rPr>
      </w:pPr>
    </w:p>
    <w:p>
      <w:pPr>
        <w:ind w:right="380" w:firstLine="1305"/>
        <w:spacing w:after="0" w:line="289" w:lineRule="auto"/>
        <w:tabs>
          <w:tab w:leader="none" w:pos="2231" w:val="left"/>
        </w:tabs>
        <w:numPr>
          <w:ilvl w:val="1"/>
          <w:numId w:val="80"/>
        </w:numPr>
        <w:rPr>
          <w:rFonts w:ascii="Arial" w:cs="Arial" w:eastAsia="Arial" w:hAnsi="Arial"/>
          <w:sz w:val="20"/>
          <w:szCs w:val="20"/>
          <w:color w:val="auto"/>
        </w:rPr>
      </w:pPr>
      <w:r>
        <w:rPr>
          <w:rFonts w:ascii="Arial" w:cs="Arial" w:eastAsia="Arial" w:hAnsi="Arial"/>
          <w:sz w:val="20"/>
          <w:szCs w:val="20"/>
          <w:color w:val="auto"/>
        </w:rPr>
        <w:t>promptly and in any event within ten (10) days after the Borrower obtains actual knowledge that it has failed to qualify as a REIT under the applicable provisions of the Code; and</w:t>
      </w:r>
    </w:p>
    <w:p>
      <w:pPr>
        <w:spacing w:after="0" w:line="175" w:lineRule="exact"/>
        <w:rPr>
          <w:rFonts w:ascii="Arial" w:cs="Arial" w:eastAsia="Arial" w:hAnsi="Arial"/>
          <w:sz w:val="20"/>
          <w:szCs w:val="20"/>
          <w:color w:val="auto"/>
        </w:rPr>
      </w:pPr>
    </w:p>
    <w:p>
      <w:pPr>
        <w:ind w:right="320" w:firstLine="1305"/>
        <w:spacing w:after="0" w:line="316" w:lineRule="auto"/>
        <w:tabs>
          <w:tab w:leader="none" w:pos="2175" w:val="left"/>
        </w:tabs>
        <w:numPr>
          <w:ilvl w:val="1"/>
          <w:numId w:val="80"/>
        </w:numPr>
        <w:rPr>
          <w:rFonts w:ascii="Arial" w:cs="Arial" w:eastAsia="Arial" w:hAnsi="Arial"/>
          <w:sz w:val="19"/>
          <w:szCs w:val="19"/>
          <w:color w:val="auto"/>
        </w:rPr>
      </w:pPr>
      <w:r>
        <w:rPr>
          <w:rFonts w:ascii="Arial" w:cs="Arial" w:eastAsia="Arial" w:hAnsi="Arial"/>
          <w:sz w:val="19"/>
          <w:szCs w:val="19"/>
          <w:color w:val="auto"/>
        </w:rPr>
        <w:t>at the time the Borrower adds, withdraws or substitutes a Covered Asset or Collateral pursuant to Section 2.18, a revised Collateral and Covered Assets List, an updated Borrowing Base Certificate and an updated Schedule 4.28.</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The Borrower and its Consolidated Subsidiaries will pay and discharge, at or before maturity, all their respective material obligations and liabilities including, without limitation, any such material obligations (a) pursuant to any agreement by which it or any of its properties is bound and (b) in respect of federal, state and other taxes, in each case where the failure to so pay or discharge such obligations or liabilities is likely to result in a Material Adverse Effect, and will maintain in accordance with GAAP, appropriate reserves for the accrual of any of the same.</w:t>
      </w:r>
    </w:p>
    <w:p>
      <w:pPr>
        <w:spacing w:after="0" w:line="191"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6"/>
          <w:szCs w:val="16"/>
          <w:u w:val="single" w:color="auto"/>
          <w:color w:val="auto"/>
        </w:rPr>
        <w:t>Maintenance of Property; Insurance; Leases</w:t>
      </w:r>
      <w:r>
        <w:rPr>
          <w:rFonts w:ascii="Arial" w:cs="Arial" w:eastAsia="Arial" w:hAnsi="Arial"/>
          <w:sz w:val="16"/>
          <w:szCs w:val="16"/>
          <w:color w:val="auto"/>
        </w:rPr>
        <w:t>.</w:t>
      </w:r>
    </w:p>
    <w:p>
      <w:pPr>
        <w:spacing w:after="0" w:line="243" w:lineRule="exact"/>
        <w:rPr>
          <w:sz w:val="20"/>
          <w:szCs w:val="20"/>
          <w:color w:val="auto"/>
        </w:rPr>
      </w:pPr>
    </w:p>
    <w:p>
      <w:pPr>
        <w:ind w:right="60" w:firstLine="1305"/>
        <w:spacing w:after="0" w:line="274" w:lineRule="auto"/>
        <w:tabs>
          <w:tab w:leader="none" w:pos="2164"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Borrower shall keep, and shall cause each Consolidated Subsidiary to keep, all property useful and necessary in its business, including without limitation each of its Real Property Assets (for so long as the same constitutes a Real Property Asset), in good repair, working order and condition, ordinary wear and tear excepted, in each case where the failure to so maintain and repair will have a Material Adverse Effect.</w:t>
      </w:r>
    </w:p>
    <w:p>
      <w:pPr>
        <w:spacing w:after="0" w:line="192" w:lineRule="exact"/>
        <w:rPr>
          <w:rFonts w:ascii="Arial" w:cs="Arial" w:eastAsia="Arial" w:hAnsi="Arial"/>
          <w:sz w:val="20"/>
          <w:szCs w:val="20"/>
          <w:color w:val="auto"/>
        </w:rPr>
      </w:pPr>
    </w:p>
    <w:p>
      <w:pPr>
        <w:ind w:right="60" w:firstLine="1305"/>
        <w:spacing w:after="0" w:line="287" w:lineRule="auto"/>
        <w:tabs>
          <w:tab w:leader="none" w:pos="2175"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Borrower shall maintain, or cause to be maintained, insurance described in Section 4.24 hereof with insurers meeting the qualifications described therein, which insurance shall in any event not provide for less coverage than insurance customarily carried by owners of properties similar to, and in the same locations as, the Covered Parties’ Real Property Assets. The Borrower shall deliver to the Administrative Agent (i) upon the reasonable request of the Administrative Agent from time to time certificates of insurers evidencing the insurance carried, (ii) within five (5) days of receipt of notice from any insurer a copy of any notice of cancellation or material change in coverage required by Section 4.24 from that existing on the date of this Agreement and (iii) forthwith, notice of any cancellation or nonrenewal (without replacement) of coverage by the Borrower or any other Covered Party.</w:t>
      </w:r>
    </w:p>
    <w:p>
      <w:pPr>
        <w:spacing w:after="0" w:line="183" w:lineRule="exact"/>
        <w:rPr>
          <w:sz w:val="20"/>
          <w:szCs w:val="20"/>
          <w:color w:val="auto"/>
        </w:rPr>
      </w:pPr>
    </w:p>
    <w:p>
      <w:pPr>
        <w:ind w:right="80" w:firstLine="648"/>
        <w:spacing w:after="0" w:line="274"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Maintenance of Existence</w:t>
      </w:r>
      <w:r>
        <w:rPr>
          <w:rFonts w:ascii="Arial" w:cs="Arial" w:eastAsia="Arial" w:hAnsi="Arial"/>
          <w:sz w:val="20"/>
          <w:szCs w:val="20"/>
          <w:color w:val="auto"/>
        </w:rPr>
        <w:t>. The Borrower shall and shall cause each of its Consolidated Subsidiaries to preserve, renew and keep in full force and effect, its corporate existence and its rights, privileges and franchises necessary for the normal conduct of its business unless the failure to maintain such existence (other than the existence of the Borrower), rights, privileges and franchises does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595" w:right="239" w:bottom="1440" w:gutter="0" w:footer="0" w:header="0"/>
        </w:sectPr>
      </w:pPr>
    </w:p>
    <w:bookmarkStart w:id="93" w:name="page94"/>
    <w:bookmarkEnd w:id="93"/>
    <w:p>
      <w:pPr>
        <w:ind w:right="40" w:firstLine="648"/>
        <w:spacing w:after="0" w:line="272"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Borrower shall, and shall cause its Consolidated Subsidiaries to, comply in all material respects with all applicable laws, ordinances, rules, regulations, and requirements of governmental authorities (including, without limitation, Environmental Laws, and all zoning and building codes with respect to its Real Property Assets and ERISA and the rules and regulations thereunder and all federal securities laws) except where the necessity of compliance therewith is contested in good faith by appropriate proceedings or where the failure to do so will not have a Material Adverse Effect or expose the Administrative Agent or Banks to any material liability therefor.</w:t>
      </w:r>
    </w:p>
    <w:p>
      <w:pPr>
        <w:spacing w:after="0" w:line="192"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Inspection of Property, Books and Records</w:t>
      </w:r>
      <w:r>
        <w:rPr>
          <w:rFonts w:ascii="Arial" w:cs="Arial" w:eastAsia="Arial" w:hAnsi="Arial"/>
          <w:sz w:val="19"/>
          <w:szCs w:val="19"/>
          <w:color w:val="auto"/>
        </w:rPr>
        <w:t>. The Borrower shall, and shall cause each of its Consolidated Subsidiaries to, keep proper books of record and account in which full, true and correct entries shall be made of all dealings and transactions in relation to its business and activities in conformity with GAAP, modified as required by this Agreement and applicable law; and shall permit representatives of any Bank, at such Bank’s expense, or upon the occurrence and during the continuance of any Event of Default, at the Borrower’s expense (but subject to the reimbursement limitations in Section 9.3), so long as disclosure of such information could not result in a violation of, or expose the Borrower or any of its Subsidiaries to any material liability under, any applicable law, ordinance or regulation or any agreements with unaffiliated third parties that are binding on the Borrower or any of its Subsidiaries, to examine and make abstracts from any of its books and records and to discuss its affairs, finances and accounts with its officers and independent public accountants, all at such reasonable times during normal business hours, upon reasonable prior notice and as often as may reasonably be desired. Upon the occurrence and during the continuance of any Event of Default, representatives of any Bank permitted to review such books or engage in such discussions shall include consultants, accountants, auditors and any other representatives that any Bank deems necessary in connection with any workout or proposed workout of the Loans.</w:t>
      </w:r>
    </w:p>
    <w:p>
      <w:pPr>
        <w:spacing w:after="0" w:line="182" w:lineRule="exact"/>
        <w:rPr>
          <w:sz w:val="20"/>
          <w:szCs w:val="20"/>
          <w:color w:val="auto"/>
        </w:rPr>
      </w:pPr>
    </w:p>
    <w:p>
      <w:pPr>
        <w:ind w:right="360" w:firstLine="648"/>
        <w:spacing w:after="0" w:line="274"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Existence</w:t>
      </w:r>
      <w:r>
        <w:rPr>
          <w:rFonts w:ascii="Arial" w:cs="Arial" w:eastAsia="Arial" w:hAnsi="Arial"/>
          <w:sz w:val="20"/>
          <w:szCs w:val="20"/>
          <w:color w:val="auto"/>
        </w:rPr>
        <w:t>. The Borrower shall do or cause to be done, all things necessary to preserve and keep in full force and effect its and its Consolidated Subsidiaries’ existence and its patents, trademarks, servicemarks, domain names, tradenames, copyrights, franchises, licenses, permits, certificates, authorizations, qualifications, accreditation, easements, rights of way and other rights, consents and approvals the nonexistence of which is likely to have a Material Adverse Effect.</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Independent Director</w:t>
      </w:r>
      <w:r>
        <w:rPr>
          <w:rFonts w:ascii="Arial" w:cs="Arial" w:eastAsia="Arial" w:hAnsi="Arial"/>
          <w:sz w:val="19"/>
          <w:szCs w:val="19"/>
          <w:color w:val="auto"/>
        </w:rPr>
        <w:t>. The board of directors, board of managers, or other equivalent governing body of each Covered Subsidiary that is a Pledged Subsidiary or owns a Covered Asset shall include at least one special, independent director or member (or equivalent thereof), pursuant to documentation satisfactory to the Administrative Agent, whose consent shall be required for (i) any bankruptcy or insolvency filing by the relevant Covered Subsidiary, as the case may be, (ii) the transfer of any membership or other equity interests therein (other than the sale or other transfer of such membership or equity interests in a transaction permitted under the Loan Documents) and (iii) encumbering any asset owned by such Covered Subsidiary, other than an Excluded Asset, with a real property mortgage or deed of trust, as applicable, or a security agreement, pledge agreement or any similar agreement creating a Lien in respect thereof, except as permitted under the Loan Documents (including as a result of any consent, amendment, waiver or other modification obtained in accordance with the terms of the Loan Documents).</w:t>
      </w:r>
    </w:p>
    <w:p>
      <w:pPr>
        <w:spacing w:after="0" w:line="182"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43" w:lineRule="exact"/>
        <w:rPr>
          <w:sz w:val="20"/>
          <w:szCs w:val="20"/>
          <w:color w:val="auto"/>
        </w:rPr>
      </w:pPr>
    </w:p>
    <w:p>
      <w:pPr>
        <w:ind w:right="320" w:firstLine="1305"/>
        <w:spacing w:after="0" w:line="289" w:lineRule="auto"/>
        <w:tabs>
          <w:tab w:leader="none" w:pos="216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Consolidated Coverage Ratio</w:t>
      </w:r>
      <w:r>
        <w:rPr>
          <w:rFonts w:ascii="Arial" w:cs="Arial" w:eastAsia="Arial" w:hAnsi="Arial"/>
          <w:sz w:val="20"/>
          <w:szCs w:val="20"/>
          <w:color w:val="auto"/>
        </w:rPr>
        <w:t>. As of the last day of each fiscal quarter, the Consolidated Coverage Ratio shall be equal to or greater than 1.50 to 1.00.</w:t>
      </w:r>
    </w:p>
    <w:p>
      <w:pPr>
        <w:spacing w:after="0" w:line="175" w:lineRule="exact"/>
        <w:rPr>
          <w:rFonts w:ascii="Arial" w:cs="Arial" w:eastAsia="Arial" w:hAnsi="Arial"/>
          <w:sz w:val="20"/>
          <w:szCs w:val="20"/>
          <w:color w:val="auto"/>
        </w:rPr>
      </w:pPr>
    </w:p>
    <w:p>
      <w:pPr>
        <w:ind w:right="200" w:firstLine="1305"/>
        <w:spacing w:after="0" w:line="289" w:lineRule="auto"/>
        <w:tabs>
          <w:tab w:leader="none" w:pos="217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Facility Collateral Coverage Ratio</w:t>
      </w:r>
      <w:r>
        <w:rPr>
          <w:rFonts w:ascii="Arial" w:cs="Arial" w:eastAsia="Arial" w:hAnsi="Arial"/>
          <w:sz w:val="20"/>
          <w:szCs w:val="20"/>
          <w:color w:val="auto"/>
        </w:rPr>
        <w:t>. As of the last day of each fiscal quarter, the Facility Collateral Coverage Ratio shall be equal to or greater than 1.50 to 1.00.</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5620" w:hanging="101"/>
        <w:spacing w:after="0"/>
        <w:tabs>
          <w:tab w:leader="none" w:pos="5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00"/>
          </w:cols>
          <w:pgMar w:left="240" w:top="595" w:right="259" w:bottom="1440" w:gutter="0" w:footer="0" w:header="0"/>
        </w:sectPr>
      </w:pPr>
    </w:p>
    <w:bookmarkStart w:id="94" w:name="page95"/>
    <w:bookmarkEnd w:id="94"/>
    <w:p>
      <w:pPr>
        <w:ind w:right="420" w:firstLine="1305"/>
        <w:spacing w:after="0" w:line="289" w:lineRule="auto"/>
        <w:tabs>
          <w:tab w:leader="none" w:pos="2164"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Weighted Average CTL Lease Term</w:t>
      </w:r>
      <w:r>
        <w:rPr>
          <w:rFonts w:ascii="Arial" w:cs="Arial" w:eastAsia="Arial" w:hAnsi="Arial"/>
          <w:sz w:val="20"/>
          <w:szCs w:val="20"/>
          <w:color w:val="auto"/>
        </w:rPr>
        <w:t>. As of the last day of each fiscal quarter, the Weighted Average CTL Lease Term shall be greater than or equal to five (5) years.</w:t>
      </w:r>
    </w:p>
    <w:p>
      <w:pPr>
        <w:spacing w:after="0" w:line="17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.The Borrower shall not, and shall not permit its Subsidiaries to, pay any dividends;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 in any Fiscal Year in which the Borrower is qualified as a REIT, the Borrower may pay dividends in an amount, as determined on an aggregate annual basis as of the end of any such Fiscal Year, not to exceed 100% of the Borrower’s REIT taxable income for such Fiscal Year calculated prior to deducting (A) accumulated net operating losses of the Borrower as of December 31, 2014 and (B) dividends paid or payable by the Borrower, (x) any Subsidiary of the Borrower may pay dividends to the Borrower or to any other Subsidiary of the Borrower and to its other equityholders on a ratable basis, (y) so long as no Material Default or Event of Default is continuing, the Borrower may pay dividends to holders of its preferred equity in an aggregate amount in any Fiscal Year not to exceed the stated dividend amount payable pursuant to the terms of such preferred equity, and (z) so long as no Default or Event of Default is continuing, the Borrower may distribute or pay dividends in the form of Real Property Assets or Loan Assets (or Securities in an entity substantially all of whose assets constitutes such Loan Assets or ownership interests in such Real Property Assets) to its equity holders on a ratable basis, so long as such Loan Assets, Real Property Assets or Securities are not Collateral, Covered Assets or equity interests in a Pledged Subsidiary or Covered Subsidiary</w:t>
      </w:r>
    </w:p>
    <w:p>
      <w:pPr>
        <w:spacing w:after="0" w:line="174" w:lineRule="exact"/>
        <w:rPr>
          <w:sz w:val="20"/>
          <w:szCs w:val="20"/>
          <w:color w:val="auto"/>
        </w:rPr>
      </w:pPr>
    </w:p>
    <w:p>
      <w:pPr>
        <w:ind w:firstLine="1305"/>
        <w:spacing w:after="0" w:line="271" w:lineRule="auto"/>
        <w:tabs>
          <w:tab w:leader="none" w:pos="2175"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Borrower shall not, and shall not permit its Subsidiaries to, make any prepayments, repurchases or redemptions of unsecured Indebtedness of the Borrower or any Subsidiary (including any unsecured Indebtedness convertible into capital stock of the Borrower), Indebtedness for borrowed money of the Borrower or any Subsidiary that is subordinated to the Obligations or preferred or common stock of the Borrower or any Subsidiary except to the extent funded with or exchanged for (i) income or payments received in respect of, or proceeds from the sale, refinancing or maturity of, assets not constituting Collateral or a Covered Asset, (ii) interest, fee or rental income in respect of any assets (including assets constituting part of the Collateral or Covered Assets) or (iii) equity or Indebtedness issued by the Borrower or the proceeds thereof.</w:t>
      </w:r>
    </w:p>
    <w:p>
      <w:pPr>
        <w:spacing w:after="0" w:line="194" w:lineRule="exact"/>
        <w:rPr>
          <w:sz w:val="20"/>
          <w:szCs w:val="20"/>
          <w:color w:val="auto"/>
        </w:rPr>
      </w:pPr>
    </w:p>
    <w:p>
      <w:pPr>
        <w:ind w:right="20" w:firstLine="648"/>
        <w:spacing w:after="0" w:line="302"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Restriction on Fundamental Changes</w:t>
      </w:r>
      <w:r>
        <w:rPr>
          <w:rFonts w:ascii="Arial" w:cs="Arial" w:eastAsia="Arial" w:hAnsi="Arial"/>
          <w:sz w:val="18"/>
          <w:szCs w:val="18"/>
          <w:color w:val="auto"/>
        </w:rPr>
        <w:t>. (a) The Borrower shall not, and shall not permit any other Covered Party to, enter into any merger or consolidation without obtaining the prior written consent thereto of the Required Banks, unless (i) in the case of any such merger or consolidation involving (x) the Borrower, the Borrower is the surviving entity (regardless of whether a Covered Subsidiary is involved) and (y) any other Covered Subsidiary, a Covered Subsidiary is the surviving entity (which surviving entity must be a Pledged Subsidiary if a Pledged Subsidiary is involved) and (ii) in each case, the same will not result in the occurrence of a Material Default or an Event of Default. The Borrower shall not, and, except in connection with a merger or consolidation permitted in the preceding sentence, shall not permit any other Covered Subsidiary to, liquidate, wind-up or dissolve (or suffer any liquidation or dissolution), discontinue its business or convey, lease, sell, transfer or otherwise dispose of, in one transaction or series of transactions, all or substantially all of its business or property, whether now or hereafter acquired, other than to the Borrower or to any Covered Subsidiary (and if involving a Pledged Subsidiary or the assets of a Covered Subsidiary, to another Pledged Subsidiary) or in connection with any sale of all or substantially all of its assets or any payment or prepayment in full or other monetization in full of its assets. Nothing in this Agreement shall limit or restrict any Covered Party to sell, pledge, mortgage or transfer any Excluded Asset, except as set forth in Sections 5.14 and 5.15.</w:t>
      </w:r>
    </w:p>
    <w:p>
      <w:pPr>
        <w:spacing w:after="0" w:line="170" w:lineRule="exact"/>
        <w:rPr>
          <w:sz w:val="20"/>
          <w:szCs w:val="20"/>
          <w:color w:val="auto"/>
        </w:rPr>
      </w:pPr>
    </w:p>
    <w:p>
      <w:pPr>
        <w:ind w:right="20" w:firstLine="1305"/>
        <w:spacing w:after="0" w:line="299" w:lineRule="auto"/>
        <w:tabs>
          <w:tab w:leader="none" w:pos="2175"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Borrower shall not, and shall not permit any other Covered Party to, amend its articles of incorporation, bylaws, or other organizational documents such that the provisions thereof would violate Section 5. 8 or permit any action prohibited by Section 5.18 or, otherwise, in any manner that would be materially adverse to the Banks without the Required Banks’ consent.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5620" w:hanging="101"/>
        <w:spacing w:after="0"/>
        <w:tabs>
          <w:tab w:leader="none" w:pos="5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595" w:right="239" w:bottom="1440" w:gutter="0" w:footer="0" w:header="0"/>
        </w:sectPr>
      </w:pPr>
    </w:p>
    <w:bookmarkStart w:id="95" w:name="page96"/>
    <w:bookmarkEnd w:id="95"/>
    <w:p>
      <w:pPr>
        <w:ind w:right="120" w:firstLine="648"/>
        <w:spacing w:after="0" w:line="274"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Changes in Business</w:t>
      </w:r>
      <w:r>
        <w:rPr>
          <w:rFonts w:ascii="Arial" w:cs="Arial" w:eastAsia="Arial" w:hAnsi="Arial"/>
          <w:sz w:val="20"/>
          <w:szCs w:val="20"/>
          <w:color w:val="auto"/>
        </w:rPr>
        <w:t>. The Borrower’s primary business shall not be substantially different from that conducted by the Borrower on the Closing Date and shall include ownership and management of Credit Tenant Lease Assets, Loan Assets and Real Property Assets. The Borrower shall carry on its business operations through the Borrower and its Consolidated Subsidiaries and its Investment Affiliates.</w:t>
      </w:r>
    </w:p>
    <w:p>
      <w:pPr>
        <w:spacing w:after="0" w:line="192" w:lineRule="exact"/>
        <w:rPr>
          <w:sz w:val="20"/>
          <w:szCs w:val="20"/>
          <w:color w:val="auto"/>
        </w:rPr>
      </w:pPr>
    </w:p>
    <w:p>
      <w:pPr>
        <w:ind w:right="200" w:firstLine="648"/>
        <w:spacing w:after="0" w:line="278"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Borrower Status</w:t>
      </w:r>
      <w:r>
        <w:rPr>
          <w:rFonts w:ascii="Arial" w:cs="Arial" w:eastAsia="Arial" w:hAnsi="Arial"/>
          <w:sz w:val="20"/>
          <w:szCs w:val="20"/>
          <w:color w:val="auto"/>
        </w:rPr>
        <w:t>. The Borrower shall at all times remain a publicly traded company listed for trading on the New York Stock Exchange (or another nationally recognized stock exchange (for the avoidance of doubt, the NASDAQ stock quotation system or any successor thereto shall be considered a nationally recognized exchange)).</w:t>
      </w:r>
    </w:p>
    <w:p>
      <w:pPr>
        <w:spacing w:after="0" w:line="187" w:lineRule="exact"/>
        <w:rPr>
          <w:sz w:val="20"/>
          <w:szCs w:val="20"/>
          <w:color w:val="auto"/>
        </w:rPr>
      </w:pPr>
    </w:p>
    <w:p>
      <w:pPr>
        <w:ind w:right="20" w:firstLine="648"/>
        <w:spacing w:after="0" w:line="281"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Other Indebtedness</w:t>
      </w:r>
      <w:r>
        <w:rPr>
          <w:rFonts w:ascii="Arial" w:cs="Arial" w:eastAsia="Arial" w:hAnsi="Arial"/>
          <w:sz w:val="19"/>
          <w:szCs w:val="19"/>
          <w:color w:val="auto"/>
        </w:rPr>
        <w:t>. (a) The Borrower shall not permit any Covered Subsidiary to create, incur, assume or suffer to exist any Indebtedness other than Indebtedness of the Covered Subsidiaries existing on the Closing Date and set forth on Schedule</w:t>
      </w:r>
    </w:p>
    <w:p>
      <w:pPr>
        <w:spacing w:after="0" w:line="2"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color w:val="auto"/>
        </w:rPr>
        <w:t>4.4(c), obligations under warranties and indemnities incurred in the ordinary course of business, and Non-Recourse Indebtedness in respect of Excluded Assets.</w:t>
      </w:r>
    </w:p>
    <w:p>
      <w:pPr>
        <w:spacing w:after="0" w:line="175" w:lineRule="exact"/>
        <w:rPr>
          <w:sz w:val="20"/>
          <w:szCs w:val="20"/>
          <w:color w:val="auto"/>
        </w:rPr>
      </w:pPr>
    </w:p>
    <w:p>
      <w:pPr>
        <w:ind w:right="240" w:firstLine="1305"/>
        <w:spacing w:after="0" w:line="347" w:lineRule="auto"/>
        <w:tabs>
          <w:tab w:leader="none" w:pos="21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shall not consent to or vote in favor of (and shall not permit any Subsidiary to consent to or vote in favor of) the incurrence of any Indebtedness by any Covered Party (other than Indebtedness permitted under Section 5.14(a)).</w:t>
      </w:r>
    </w:p>
    <w:p>
      <w:pPr>
        <w:spacing w:after="0" w:line="131" w:lineRule="exact"/>
        <w:rPr>
          <w:sz w:val="20"/>
          <w:szCs w:val="20"/>
          <w:color w:val="auto"/>
        </w:rPr>
      </w:pPr>
    </w:p>
    <w:p>
      <w:pPr>
        <w:ind w:right="140" w:firstLine="648"/>
        <w:spacing w:after="0" w:line="289"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Liens</w:t>
      </w:r>
      <w:r>
        <w:rPr>
          <w:rFonts w:ascii="Arial" w:cs="Arial" w:eastAsia="Arial" w:hAnsi="Arial"/>
          <w:sz w:val="20"/>
          <w:szCs w:val="20"/>
          <w:color w:val="auto"/>
        </w:rPr>
        <w:t>. (a) The Borrower shall not, nor shall it permit any Subsidiary to, create, incur, assume or suffer to exist any Lien upon any item of Collateral or Covered Assets, except for Permitted Liens.</w:t>
      </w:r>
    </w:p>
    <w:p>
      <w:pPr>
        <w:spacing w:after="0" w:line="175" w:lineRule="exact"/>
        <w:rPr>
          <w:sz w:val="20"/>
          <w:szCs w:val="20"/>
          <w:color w:val="auto"/>
        </w:rPr>
      </w:pPr>
    </w:p>
    <w:p>
      <w:pPr>
        <w:ind w:firstLine="1305"/>
        <w:spacing w:after="0" w:line="278" w:lineRule="auto"/>
        <w:tabs>
          <w:tab w:leader="none" w:pos="21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Borrower shall not consent to or vote in favor of (and shall not permit any Subsidiary to consent to or vote in favor of) the incurrence of any Liens on any assets of any Covered Party, except for Permitted Liens and Liens on Excluded Assets in respect of Non-Recourse Indebtedness.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color w:val="auto"/>
              </w:rPr>
              <w:t>Section 5.16.</w:t>
            </w:r>
          </w:p>
        </w:tc>
        <w:tc>
          <w:tcPr>
            <w:tcW w:w="782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53"/>
        </w:trPr>
        <w:tc>
          <w:tcPr>
            <w:tcW w:w="2340" w:type="dxa"/>
            <w:vAlign w:val="bottom"/>
          </w:tcPr>
          <w:p>
            <w:pPr>
              <w:spacing w:after="0"/>
              <w:rPr>
                <w:sz w:val="20"/>
                <w:szCs w:val="20"/>
                <w:color w:val="auto"/>
              </w:rPr>
            </w:pPr>
            <w:r>
              <w:rPr>
                <w:rFonts w:ascii="Arial" w:cs="Arial" w:eastAsia="Arial" w:hAnsi="Arial"/>
                <w:sz w:val="20"/>
                <w:szCs w:val="20"/>
                <w:color w:val="auto"/>
              </w:rPr>
              <w:t>Section 5.17.</w:t>
            </w:r>
          </w:p>
        </w:tc>
        <w:tc>
          <w:tcPr>
            <w:tcW w:w="7820" w:type="dxa"/>
            <w:vAlign w:val="bottom"/>
            <w:gridSpan w:val="3"/>
          </w:tcPr>
          <w:p>
            <w:pPr>
              <w:spacing w:after="0"/>
              <w:rPr>
                <w:sz w:val="20"/>
                <w:szCs w:val="20"/>
                <w:color w:val="auto"/>
              </w:rPr>
            </w:pPr>
            <w:r>
              <w:rPr>
                <w:rFonts w:ascii="Arial" w:cs="Arial" w:eastAsia="Arial" w:hAnsi="Arial"/>
                <w:sz w:val="20"/>
                <w:szCs w:val="20"/>
                <w:color w:val="auto"/>
                <w:w w:val="90"/>
              </w:rPr>
              <w:t>Restrictive Agreements. The Borrower shall not, and shall not permit any Subsidiary to, directly or</w:t>
            </w:r>
          </w:p>
        </w:tc>
      </w:tr>
      <w:tr>
        <w:trPr>
          <w:trHeight w:val="20"/>
        </w:trPr>
        <w:tc>
          <w:tcPr>
            <w:tcW w:w="2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spacing w:after="0" w:line="3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 xml:space="preserve">indirectly, enter into, incur or permit to exist any agreement or other arrangement that prohibits, restricts or imposes any condition upon (a) the ability of such Person or any of its subsidiaries to create, incur or permit to exist any Lien upon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clause (a) shall not apply to restrictions and conditions imposed by law or by any Loan Document or (b) the ability of any other Covered Party (other than the Borrower) to pay dividends or other distributions with respect to any shares of its capital stock or to make or repay loans or advances to the Borrower or any other Covered Party or to guarantee Indebtedness of the Borrower or any other Covered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restrictions and conditions imposed by law, by any Loan Document, by the Borrower’s existing or future public note Indebtedness or credit agreements governing Indebtedness for borrowed money.</w:t>
      </w:r>
    </w:p>
    <w:p>
      <w:pPr>
        <w:spacing w:after="0" w:line="183" w:lineRule="exact"/>
        <w:rPr>
          <w:sz w:val="20"/>
          <w:szCs w:val="20"/>
          <w:color w:val="auto"/>
        </w:rPr>
      </w:pPr>
    </w:p>
    <w:p>
      <w:pPr>
        <w:ind w:right="20" w:firstLine="648"/>
        <w:spacing w:after="0" w:line="271" w:lineRule="auto"/>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u w:val="single" w:color="auto"/>
          <w:color w:val="auto"/>
        </w:rPr>
        <w:t>Limitation on Activities of the Covered Parties</w:t>
      </w:r>
      <w:r>
        <w:rPr>
          <w:rFonts w:ascii="Arial" w:cs="Arial" w:eastAsia="Arial" w:hAnsi="Arial"/>
          <w:sz w:val="20"/>
          <w:szCs w:val="20"/>
          <w:color w:val="auto"/>
        </w:rPr>
        <w:t>. The Borrower shall not permit any other Covered Party (other than the Borrower) to (a) (i) conduct, transact or otherwise engage in, or commit to conduct, transact or otherwise engage in, any business or operations other than ownership of Covered Assets, Excluded Assets and anything incidental thereto, (ii) own any assets other than Covered Asset, Excluded Assets or any assets incidental thereto, or (iii) take any action, or conduct its affairs in a manner, that could reasonably be expected to result in the separate existence of such Covered Party being ignored, or the assets and liabilities of such Covered Party being substantively consolidated with those of the Borrower or any Subsidiary thereof in a bankruptcy, reorganization or other insolvency proceeding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595" w:right="259" w:bottom="1440" w:gutter="0" w:footer="0" w:header="0"/>
        </w:sectPr>
      </w:pPr>
    </w:p>
    <w:bookmarkStart w:id="96" w:name="page97"/>
    <w:bookmarkEnd w:id="96"/>
    <w:p>
      <w:pPr>
        <w:ind w:right="20" w:firstLine="8"/>
        <w:spacing w:after="0" w:line="273" w:lineRule="auto"/>
        <w:tabs>
          <w:tab w:leader="none" w:pos="2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incur, create, assume or suffer to exist any Indebtedness or other liabilities or financial obligations, except (i) Indebtedness permitted pursuant to Section 5.14(a), (ii) nonconsensual obligations imposed by operation of law, (iii) obligations with respect to its equity interests to the extent in compliance with Section 5.8, not prohibited by this Section 5.18 or, otherwise, materially adverse to the Banks, (iv) obligations (other than Indebtedness) in the ordinary course of business in the operation of its assets and (v) the statutory liability of any general partner for the liabilities of the limited partnership in which it is a general partner.</w:t>
      </w:r>
    </w:p>
    <w:p>
      <w:pPr>
        <w:spacing w:after="0" w:line="19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Subsidiary than could be obtained on an arm’s-length basis from unrelated third parties, (b) in the case of a Covered Party (other than the Borrower), in transactions between or among such Covered Parties not involving any other Affiliate (but if such transactions involving the transfer of assets, such transfers shall be subject to the Liens granted pursuant to the Collateral Documents), (c) in the case of the Borrower or any Subsidiary which is not a Covered Party, in transactions between or among the Borrower and such Subsidiaries not involving any other Affiliate and (d) any payment of dividends, other restricted payments or other transactions permitted by Section 5.11.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660"/>
              <w:spacing w:after="0"/>
              <w:rPr>
                <w:sz w:val="20"/>
                <w:szCs w:val="20"/>
                <w:color w:val="auto"/>
              </w:rPr>
            </w:pPr>
            <w:r>
              <w:rPr>
                <w:rFonts w:ascii="Arial" w:cs="Arial" w:eastAsia="Arial" w:hAnsi="Arial"/>
                <w:sz w:val="20"/>
                <w:szCs w:val="20"/>
                <w:color w:val="auto"/>
              </w:rPr>
              <w:t>Section 5.20.</w:t>
            </w:r>
          </w:p>
        </w:tc>
        <w:tc>
          <w:tcPr>
            <w:tcW w:w="8340" w:type="dxa"/>
            <w:vAlign w:val="bottom"/>
            <w:gridSpan w:val="3"/>
          </w:tcPr>
          <w:p>
            <w:pPr>
              <w:spacing w:after="0"/>
              <w:rPr>
                <w:sz w:val="20"/>
                <w:szCs w:val="20"/>
                <w:color w:val="auto"/>
              </w:rPr>
            </w:pPr>
            <w:r>
              <w:rPr>
                <w:rFonts w:ascii="Arial" w:cs="Arial" w:eastAsia="Arial" w:hAnsi="Arial"/>
                <w:sz w:val="20"/>
                <w:szCs w:val="20"/>
                <w:color w:val="auto"/>
                <w:w w:val="91"/>
              </w:rPr>
              <w:t>Corporate Ratings. The Borrower shall obtain affirmation of its corporate ratings from S&amp;P and Moody’s</w:t>
            </w:r>
          </w:p>
        </w:tc>
      </w:tr>
      <w:tr>
        <w:trPr>
          <w:trHeight w:val="20"/>
        </w:trPr>
        <w:tc>
          <w:tcPr>
            <w:tcW w:w="3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81"/>
        </w:trPr>
        <w:tc>
          <w:tcPr>
            <w:tcW w:w="11340" w:type="dxa"/>
            <w:vAlign w:val="bottom"/>
            <w:gridSpan w:val="4"/>
          </w:tcPr>
          <w:p>
            <w:pPr>
              <w:spacing w:after="0"/>
              <w:rPr>
                <w:sz w:val="20"/>
                <w:szCs w:val="20"/>
                <w:color w:val="auto"/>
              </w:rPr>
            </w:pPr>
            <w:r>
              <w:rPr>
                <w:rFonts w:ascii="Arial" w:cs="Arial" w:eastAsia="Arial" w:hAnsi="Arial"/>
                <w:sz w:val="20"/>
                <w:szCs w:val="20"/>
                <w:color w:val="auto"/>
                <w:w w:val="98"/>
              </w:rPr>
              <w:t>within 60 days after the Closing Date, which corporate ratings shall be equal to or higher than B+ from S&amp;P and B2 from Moody’s.</w:t>
            </w:r>
          </w:p>
        </w:tc>
      </w:tr>
      <w:tr>
        <w:trPr>
          <w:trHeight w:val="428"/>
        </w:trPr>
        <w:tc>
          <w:tcPr>
            <w:tcW w:w="3000" w:type="dxa"/>
            <w:vAlign w:val="bottom"/>
          </w:tcPr>
          <w:p>
            <w:pPr>
              <w:ind w:left="660"/>
              <w:spacing w:after="0"/>
              <w:rPr>
                <w:sz w:val="20"/>
                <w:szCs w:val="20"/>
                <w:color w:val="auto"/>
              </w:rPr>
            </w:pPr>
            <w:r>
              <w:rPr>
                <w:rFonts w:ascii="Arial" w:cs="Arial" w:eastAsia="Arial" w:hAnsi="Arial"/>
                <w:sz w:val="20"/>
                <w:szCs w:val="20"/>
                <w:color w:val="auto"/>
              </w:rPr>
              <w:t>Section 5.21.</w:t>
            </w:r>
          </w:p>
        </w:tc>
        <w:tc>
          <w:tcPr>
            <w:tcW w:w="8340" w:type="dxa"/>
            <w:vAlign w:val="bottom"/>
            <w:gridSpan w:val="3"/>
          </w:tcPr>
          <w:p>
            <w:pPr>
              <w:spacing w:after="0"/>
              <w:rPr>
                <w:sz w:val="20"/>
                <w:szCs w:val="20"/>
                <w:color w:val="auto"/>
              </w:rPr>
            </w:pPr>
            <w:r>
              <w:rPr>
                <w:rFonts w:ascii="Arial" w:cs="Arial" w:eastAsia="Arial" w:hAnsi="Arial"/>
                <w:sz w:val="20"/>
                <w:szCs w:val="20"/>
                <w:color w:val="auto"/>
                <w:w w:val="94"/>
              </w:rPr>
              <w:t>Anti-Corruption Laws. The Borrower shall (a) maintain in effect and enforce policies and procedures</w:t>
            </w:r>
          </w:p>
        </w:tc>
      </w:tr>
      <w:tr>
        <w:trPr>
          <w:trHeight w:val="20"/>
        </w:trPr>
        <w:tc>
          <w:tcPr>
            <w:tcW w:w="3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spacing w:after="0" w:line="37"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designed to ensure compliance by the Borrower, its Subsidiaries and their respective directors, officers, employees and agents with Anti-Corruption Laws and applicable Sanctions and (b) not use, and shall procure that its Subsidiaries and its or their respective directors, officers, employees and agents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960" w:type="dxa"/>
            <w:vAlign w:val="bottom"/>
            <w:gridSpan w:val="3"/>
          </w:tcPr>
          <w:p>
            <w:pPr>
              <w:jc w:val="center"/>
              <w:ind w:right="4080"/>
              <w:spacing w:after="0"/>
              <w:rPr>
                <w:sz w:val="20"/>
                <w:szCs w:val="20"/>
                <w:color w:val="auto"/>
              </w:rPr>
            </w:pPr>
            <w:r>
              <w:rPr>
                <w:rFonts w:ascii="Arial" w:cs="Arial" w:eastAsia="Arial" w:hAnsi="Arial"/>
                <w:sz w:val="20"/>
                <w:szCs w:val="20"/>
                <w:color w:val="auto"/>
                <w:w w:val="99"/>
              </w:rPr>
              <w:t>ARTICLE VI</w:t>
            </w:r>
          </w:p>
        </w:tc>
      </w:tr>
      <w:tr>
        <w:trPr>
          <w:trHeight w:val="401"/>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20" w:type="dxa"/>
            <w:vAlign w:val="bottom"/>
            <w:gridSpan w:val="2"/>
          </w:tcPr>
          <w:p>
            <w:pPr>
              <w:jc w:val="center"/>
              <w:ind w:right="5040"/>
              <w:spacing w:after="0"/>
              <w:rPr>
                <w:sz w:val="20"/>
                <w:szCs w:val="20"/>
                <w:color w:val="auto"/>
              </w:rPr>
            </w:pPr>
            <w:r>
              <w:rPr>
                <w:rFonts w:ascii="Arial" w:cs="Arial" w:eastAsia="Arial" w:hAnsi="Arial"/>
                <w:sz w:val="20"/>
                <w:szCs w:val="20"/>
                <w:color w:val="auto"/>
                <w:w w:val="93"/>
              </w:rPr>
              <w:t>DEFAULTS</w:t>
            </w:r>
          </w:p>
        </w:tc>
      </w:tr>
      <w:tr>
        <w:trPr>
          <w:trHeight w:val="20"/>
        </w:trPr>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39"/>
        </w:trPr>
        <w:tc>
          <w:tcPr>
            <w:tcW w:w="2760" w:type="dxa"/>
            <w:vAlign w:val="bottom"/>
          </w:tcPr>
          <w:p>
            <w:pPr>
              <w:ind w:left="660"/>
              <w:spacing w:after="0"/>
              <w:rPr>
                <w:sz w:val="20"/>
                <w:szCs w:val="20"/>
                <w:color w:val="auto"/>
              </w:rPr>
            </w:pPr>
            <w:r>
              <w:rPr>
                <w:rFonts w:ascii="Arial" w:cs="Arial" w:eastAsia="Arial" w:hAnsi="Arial"/>
                <w:sz w:val="20"/>
                <w:szCs w:val="20"/>
                <w:color w:val="auto"/>
              </w:rPr>
              <w:t>Section 6.1.</w:t>
            </w:r>
          </w:p>
        </w:tc>
        <w:tc>
          <w:tcPr>
            <w:tcW w:w="8480" w:type="dxa"/>
            <w:vAlign w:val="bottom"/>
            <w:gridSpan w:val="5"/>
          </w:tcPr>
          <w:p>
            <w:pPr>
              <w:ind w:left="140"/>
              <w:spacing w:after="0"/>
              <w:rPr>
                <w:sz w:val="20"/>
                <w:szCs w:val="20"/>
                <w:color w:val="auto"/>
              </w:rPr>
            </w:pPr>
            <w:r>
              <w:rPr>
                <w:rFonts w:ascii="Arial" w:cs="Arial" w:eastAsia="Arial" w:hAnsi="Arial"/>
                <w:sz w:val="20"/>
                <w:szCs w:val="20"/>
                <w:color w:val="auto"/>
                <w:w w:val="91"/>
              </w:rPr>
              <w:t>Events of Default. An “Event of Default” shall have occurred if one or more of the following events shall</w:t>
            </w:r>
          </w:p>
        </w:tc>
      </w:tr>
      <w:tr>
        <w:trPr>
          <w:trHeight w:val="281"/>
        </w:trPr>
        <w:tc>
          <w:tcPr>
            <w:tcW w:w="2760" w:type="dxa"/>
            <w:vAlign w:val="bottom"/>
          </w:tcPr>
          <w:p>
            <w:pPr>
              <w:spacing w:after="0"/>
              <w:rPr>
                <w:sz w:val="20"/>
                <w:szCs w:val="20"/>
                <w:color w:val="auto"/>
              </w:rPr>
            </w:pPr>
            <w:r>
              <w:rPr>
                <w:rFonts w:ascii="Arial" w:cs="Arial" w:eastAsia="Arial" w:hAnsi="Arial"/>
                <w:sz w:val="20"/>
                <w:szCs w:val="20"/>
                <w:color w:val="auto"/>
                <w:w w:val="92"/>
              </w:rPr>
              <w:t>have occurred and be continuing:</w:t>
            </w:r>
          </w:p>
        </w:tc>
        <w:tc>
          <w:tcPr>
            <w:tcW w:w="1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222" w:lineRule="exact"/>
        <w:rPr>
          <w:sz w:val="20"/>
          <w:szCs w:val="20"/>
          <w:color w:val="auto"/>
        </w:rPr>
      </w:pPr>
    </w:p>
    <w:p>
      <w:pPr>
        <w:ind w:right="20" w:firstLine="1305"/>
        <w:spacing w:after="0" w:line="278" w:lineRule="auto"/>
        <w:tabs>
          <w:tab w:leader="none" w:pos="2164"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Borrower shall fail to (i) pay when due any principal of any Loan, or (ii) the Borrower shall fail to pay when due interest on any Loan or any fees or any other amount payable to the Administrative Agent or the Banks hereunder and the same shall continue for a period of five (5) days after the same becomes due; or</w:t>
      </w:r>
    </w:p>
    <w:p>
      <w:pPr>
        <w:spacing w:after="0" w:line="186" w:lineRule="exact"/>
        <w:rPr>
          <w:rFonts w:ascii="Arial" w:cs="Arial" w:eastAsia="Arial" w:hAnsi="Arial"/>
          <w:sz w:val="20"/>
          <w:szCs w:val="20"/>
          <w:color w:val="auto"/>
        </w:rPr>
      </w:pPr>
    </w:p>
    <w:p>
      <w:pPr>
        <w:jc w:val="both"/>
        <w:ind w:right="100" w:firstLine="1305"/>
        <w:spacing w:after="0" w:line="322" w:lineRule="auto"/>
        <w:tabs>
          <w:tab w:leader="none" w:pos="21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contained in Section 2.11, 2.16, 2,18, Section 5.1(d)(i), 5.1(i), 5.1(j), 5.1(k), 5.4, 5.9, 5.10, 5.11, 5.12, 5.13, 5.14, 5.15, 5.17, 5.18, 5.19, 5.20 or 5.21 and, (i) solely in the case of any failure to comply with Section 5.9(b) and Section 5.9(c), such failure shall continue unremedied for a period of thirty (30) days (it being understood that 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20" w:hanging="101"/>
        <w:spacing w:after="0"/>
        <w:tabs>
          <w:tab w:leader="none" w:pos="5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400"/>
          </w:cols>
          <w:pgMar w:left="240" w:top="595" w:right="259" w:bottom="1440" w:gutter="0" w:footer="0" w:header="0"/>
        </w:sectPr>
      </w:pPr>
    </w:p>
    <w:bookmarkStart w:id="97" w:name="page98"/>
    <w:bookmarkEnd w:id="97"/>
    <w:p>
      <w:pPr>
        <w:ind w:right="20"/>
        <w:spacing w:after="0" w:line="307" w:lineRule="auto"/>
        <w:rPr>
          <w:sz w:val="20"/>
          <w:szCs w:val="20"/>
          <w:color w:val="auto"/>
        </w:rPr>
      </w:pPr>
      <w:r>
        <w:rPr>
          <w:rFonts w:ascii="Arial" w:cs="Arial" w:eastAsia="Arial" w:hAnsi="Arial"/>
          <w:sz w:val="18"/>
          <w:szCs w:val="18"/>
          <w:color w:val="auto"/>
        </w:rPr>
        <w:t>such failure to comply with (x) Section 5.9(b) may be remedied by a prepayment of the Loans or adding assets as Covered Assets pursuant to Section 2.18 prior to or during such 30-day period so long as after giving effect to any such prepayment or addition of Covered Asset the Borrower is in pro forma compliance with Section 5.9(b) and (y) Section 5.9(c) may be remedied by adding or withdrawing Credit Tenant Lease Assets as Covered Assets pursuant to Section 2.18 prior to or during such period so long as after giving effect to any such addition or withdrawal of Credit Tenant Lease Assets the Borrower is in pro forma compliance with Section 5.9(c)) and (ii) solely in the case of any failure to comply with Section 5.1(d)(i), such failure shall continue unremedied for a period of 10 days; or</w:t>
      </w:r>
    </w:p>
    <w:p>
      <w:pPr>
        <w:spacing w:after="0" w:line="167" w:lineRule="exact"/>
        <w:rPr>
          <w:sz w:val="20"/>
          <w:szCs w:val="20"/>
          <w:color w:val="auto"/>
        </w:rPr>
      </w:pPr>
    </w:p>
    <w:p>
      <w:pPr>
        <w:ind w:firstLine="1305"/>
        <w:spacing w:after="0" w:line="288" w:lineRule="auto"/>
        <w:tabs>
          <w:tab w:leader="none" w:pos="216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Borrower or any Covered Party shall fail to observe or perform any covenant or agreement contained in this Agreement or any other Loan Document (other than those covered by clause (a), (b), (e), (f), (g), (h), (i), (l) or (n) of this Section 6.1) for 30 days after written notice thereof has been given to the Borrower by the Administrative Agent; or if such default is of such a nature that it cannot with reasonable effort be completely remedied within said period of thirty (30) days such additional period of time as may be reasonably necessary to cure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commences such cure within said thirty (30) day period and diligently prosecutes same, until completion, but in no event shall such extended period exceed ninety (90) days; or</w:t>
      </w:r>
    </w:p>
    <w:p>
      <w:pPr>
        <w:spacing w:after="0" w:line="182" w:lineRule="exact"/>
        <w:rPr>
          <w:rFonts w:ascii="Arial" w:cs="Arial" w:eastAsia="Arial" w:hAnsi="Arial"/>
          <w:sz w:val="19"/>
          <w:szCs w:val="19"/>
          <w:color w:val="auto"/>
        </w:rPr>
      </w:pPr>
    </w:p>
    <w:p>
      <w:pPr>
        <w:ind w:right="320" w:firstLine="1305"/>
        <w:spacing w:after="0" w:line="274" w:lineRule="auto"/>
        <w:tabs>
          <w:tab w:leader="none" w:pos="217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representation, warranty, certification or statement that is made by the Borrower in this Agreement or by the Borrower or any other Covered Party in any other Loan Document to which it is a party or that is contained in any certificate, financial statement or other document delivered pursuant to this Agreement or any other Loan Document, shall prove to have been incorrect in any material respect when made (or deemed made); or</w:t>
      </w:r>
    </w:p>
    <w:p>
      <w:pPr>
        <w:spacing w:after="0" w:line="192" w:lineRule="exact"/>
        <w:rPr>
          <w:rFonts w:ascii="Arial" w:cs="Arial" w:eastAsia="Arial" w:hAnsi="Arial"/>
          <w:sz w:val="20"/>
          <w:szCs w:val="20"/>
          <w:color w:val="auto"/>
        </w:rPr>
      </w:pPr>
    </w:p>
    <w:p>
      <w:pPr>
        <w:ind w:right="80" w:firstLine="1305"/>
        <w:spacing w:after="0" w:line="286" w:lineRule="auto"/>
        <w:tabs>
          <w:tab w:leader="none" w:pos="2164"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Borrower or any Subsidiary shall default in the payment when due (whether by scheduled maturity, required prepayment, acceleration, demand or otherwise) of any amount owing in respect of any Recourse Debt (other than the Obligations) for which the aggregate outstanding principal amounts exceed $75,000,000 and such default shall continue beyond the giving of any required notice and the expiration of any applicable grace period and such default has not been waived, in writing, by the holder of any such Recourse Debt; or the Borrower or any Subsidiary shall default in the performance or observance of any obligation or condition with respect to any such Recourse Debt or any other event shall occur or condition exist beyond the giving of any required notice and the expiration of any applicable grace period, if the effect of such default, event or condition is to accelerate the maturity of any such indebtedness or to permit (without any further requirement of notice or lapse of time) the holder or holders thereof, or any trustee or agent for such holders, to accelerate the maturity of any such indebtedness; or</w:t>
      </w:r>
    </w:p>
    <w:p>
      <w:pPr>
        <w:spacing w:after="0" w:line="182" w:lineRule="exact"/>
        <w:rPr>
          <w:rFonts w:ascii="Arial" w:cs="Arial" w:eastAsia="Arial" w:hAnsi="Arial"/>
          <w:sz w:val="19"/>
          <w:szCs w:val="19"/>
          <w:color w:val="auto"/>
        </w:rPr>
      </w:pPr>
    </w:p>
    <w:p>
      <w:pPr>
        <w:ind w:right="40" w:firstLine="1305"/>
        <w:spacing w:after="0" w:line="270" w:lineRule="auto"/>
        <w:tabs>
          <w:tab w:leader="none" w:pos="2143" w:val="left"/>
        </w:tabs>
        <w:numPr>
          <w:ilvl w:val="0"/>
          <w:numId w:val="90"/>
        </w:numPr>
        <w:rPr>
          <w:rFonts w:ascii="Arial" w:cs="Arial" w:eastAsia="Arial" w:hAnsi="Arial"/>
          <w:sz w:val="20"/>
          <w:szCs w:val="20"/>
          <w:color w:val="auto"/>
        </w:rPr>
      </w:pPr>
      <w:r>
        <w:rPr>
          <w:rFonts w:ascii="Arial" w:cs="Arial" w:eastAsia="Arial" w:hAnsi="Arial"/>
          <w:sz w:val="20"/>
          <w:szCs w:val="20"/>
          <w:color w:val="auto"/>
        </w:rPr>
        <w:t>(i) the Borrower or (ii) any Subsidiary of the Borrower or any Investment Affiliate of the Borrower to which, either individually or in the aggregate, $100,000,000 or more of the Borrower’s Consolidated Tangible Net Worth is attributable, or (iii) a Pledged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action to authorize any of the foregoing; or</w:t>
      </w:r>
    </w:p>
    <w:p>
      <w:pPr>
        <w:spacing w:after="0" w:line="199" w:lineRule="exact"/>
        <w:rPr>
          <w:rFonts w:ascii="Arial" w:cs="Arial" w:eastAsia="Arial" w:hAnsi="Arial"/>
          <w:sz w:val="20"/>
          <w:szCs w:val="20"/>
          <w:color w:val="auto"/>
        </w:rPr>
      </w:pPr>
    </w:p>
    <w:p>
      <w:pPr>
        <w:ind w:firstLine="1305"/>
        <w:spacing w:after="0" w:line="278" w:lineRule="auto"/>
        <w:tabs>
          <w:tab w:leader="none" w:pos="217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 involuntary case or other proceeding shall be commenced against (i) the Borrower, (ii) any Subsidiary of the Borrower or any Investment Affiliate of the Borrower to which, either individually or in the aggregate, $100,000,000 or more of the Borrower’s Consolidated Tangible Net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20" w:hanging="101"/>
        <w:spacing w:after="0"/>
        <w:tabs>
          <w:tab w:leader="none" w:pos="5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00"/>
          </w:cols>
          <w:pgMar w:left="240" w:top="595" w:right="259" w:bottom="1440" w:gutter="0" w:footer="0" w:header="0"/>
        </w:sectPr>
      </w:pPr>
    </w:p>
    <w:bookmarkStart w:id="98" w:name="page99"/>
    <w:bookmarkEnd w:id="98"/>
    <w:p>
      <w:pPr>
        <w:ind w:right="100"/>
        <w:spacing w:after="0" w:line="290" w:lineRule="auto"/>
        <w:rPr>
          <w:sz w:val="20"/>
          <w:szCs w:val="20"/>
          <w:color w:val="auto"/>
        </w:rPr>
      </w:pPr>
      <w:r>
        <w:rPr>
          <w:rFonts w:ascii="Arial" w:cs="Arial" w:eastAsia="Arial" w:hAnsi="Arial"/>
          <w:sz w:val="19"/>
          <w:szCs w:val="19"/>
          <w:color w:val="auto"/>
        </w:rPr>
        <w:t>Worth is attributable, or (iii) any Pledged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Borrower, any such Subsidiary of the Borrower or any such Investment Affiliate under the federal bankruptcy laws as now or hereafter in effect; or</w:t>
      </w:r>
    </w:p>
    <w:p>
      <w:pPr>
        <w:spacing w:after="0" w:line="179" w:lineRule="exact"/>
        <w:rPr>
          <w:sz w:val="20"/>
          <w:szCs w:val="20"/>
          <w:color w:val="auto"/>
        </w:rPr>
      </w:pPr>
    </w:p>
    <w:p>
      <w:pPr>
        <w:ind w:right="20" w:firstLine="1305"/>
        <w:spacing w:after="0" w:line="273" w:lineRule="auto"/>
        <w:tabs>
          <w:tab w:leader="none" w:pos="2175" w:val="left"/>
        </w:tabs>
        <w:numPr>
          <w:ilvl w:val="0"/>
          <w:numId w:val="91"/>
        </w:numPr>
        <w:rPr>
          <w:rFonts w:ascii="Arial" w:cs="Arial" w:eastAsia="Arial" w:hAnsi="Arial"/>
          <w:sz w:val="20"/>
          <w:szCs w:val="20"/>
          <w:color w:val="auto"/>
        </w:rPr>
      </w:pPr>
      <w:r>
        <w:rPr>
          <w:rFonts w:ascii="Arial" w:cs="Arial" w:eastAsia="Arial" w:hAnsi="Arial"/>
          <w:sz w:val="20"/>
          <w:szCs w:val="20"/>
          <w:color w:val="auto"/>
        </w:rPr>
        <w:t>one or more final, non-appealable judgments or decrees in an aggregate amount of $75,000,000 or more shall be entered by a court or courts of competent jurisdiction against the Borrower or any Subsidiary of the Borrower (other than any judgment as to which, and only to the extent, a reputable insurance company has acknowledged coverage of such claim in writing), and (i) any such judgments or decrees shall not be stayed, discharged, paid, bonded or vacated within ninety (90) days or (ii) enforcement proceedings shall be commenced by any creditor on any such judgments or decrees; or</w:t>
      </w:r>
    </w:p>
    <w:p>
      <w:pPr>
        <w:spacing w:after="0" w:line="191" w:lineRule="exact"/>
        <w:rPr>
          <w:rFonts w:ascii="Arial" w:cs="Arial" w:eastAsia="Arial" w:hAnsi="Arial"/>
          <w:sz w:val="20"/>
          <w:szCs w:val="20"/>
          <w:color w:val="auto"/>
        </w:rPr>
      </w:pPr>
    </w:p>
    <w:p>
      <w:pPr>
        <w:ind w:right="60" w:firstLine="1305"/>
        <w:spacing w:after="0" w:line="314" w:lineRule="auto"/>
        <w:tabs>
          <w:tab w:leader="none" w:pos="21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shall be a replacement of a majority of the Board of Directors of the Borrower over a two-year period from the directors who constituted the Board of Directors of the Borrower at the beginning of such period, and such replacement shall not have been approved by a vote of at least a majority of the Board of Directors of the Borrower then still in office who were either members of such Board of Directors at the beginning of such period or whose election as a member of such Board of Directors was previously so approved; or</w:t>
      </w:r>
    </w:p>
    <w:p>
      <w:pPr>
        <w:spacing w:after="0" w:line="159" w:lineRule="exact"/>
        <w:rPr>
          <w:rFonts w:ascii="Arial" w:cs="Arial" w:eastAsia="Arial" w:hAnsi="Arial"/>
          <w:sz w:val="18"/>
          <w:szCs w:val="18"/>
          <w:color w:val="auto"/>
        </w:rPr>
      </w:pPr>
    </w:p>
    <w:p>
      <w:pPr>
        <w:ind w:firstLine="1305"/>
        <w:spacing w:after="0" w:line="278" w:lineRule="auto"/>
        <w:tabs>
          <w:tab w:leader="none" w:pos="2132"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Person or “group” (as such term is defined in applicable federal securities laws and regulations) shall become the owner, directly or indirectly, beneficially or of record, of shares representing more than forty percent (40%) of the aggregate ordinary voting power represented by the issued and outstanding common shares of the Borrower; or</w:t>
      </w:r>
    </w:p>
    <w:p>
      <w:pPr>
        <w:spacing w:after="0" w:line="186" w:lineRule="exact"/>
        <w:rPr>
          <w:rFonts w:ascii="Arial" w:cs="Arial" w:eastAsia="Arial" w:hAnsi="Arial"/>
          <w:sz w:val="20"/>
          <w:szCs w:val="20"/>
          <w:color w:val="auto"/>
        </w:rPr>
      </w:pPr>
    </w:p>
    <w:p>
      <w:pPr>
        <w:ind w:right="40" w:firstLine="1305"/>
        <w:spacing w:after="0" w:line="286" w:lineRule="auto"/>
        <w:tabs>
          <w:tab w:leader="none" w:pos="2175"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any Termination Event with respect to a Plan or Multiemployer Plan shall occur as a result of which Termination Event or Events any member of the ERISA Group has incurred or may incur any liability to the PBGC or any other Person and the sum (determined as of the date of occurrence of such Termination Event) of the insufficiency of such Plan or Multiemployer Plan and the insufficiency of any and all other Plans and Multiemployer Plans with respect to which such a Termination Event shall occur and be continuing (or, in the case of a Multiple Employer Plan with respect to which a Termination Event described in clause (ii) of the definition of Termination Event shall occur and be continuing and in the case of a liability with respect to a Termination Event which is or could be a liability of the Borrower rather than a liability of the Plan, the liability of the Borrower) is equal to or greater than $10,000,000 and which the Required Banks reasonably determine will have a Material Adverse Effect; or</w:t>
      </w:r>
    </w:p>
    <w:p>
      <w:pPr>
        <w:spacing w:after="0" w:line="185" w:lineRule="exact"/>
        <w:rPr>
          <w:rFonts w:ascii="Arial" w:cs="Arial" w:eastAsia="Arial" w:hAnsi="Arial"/>
          <w:sz w:val="19"/>
          <w:szCs w:val="19"/>
          <w:color w:val="auto"/>
        </w:rPr>
      </w:pPr>
    </w:p>
    <w:p>
      <w:pPr>
        <w:ind w:right="120" w:firstLine="1305"/>
        <w:spacing w:after="0" w:line="293" w:lineRule="auto"/>
        <w:tabs>
          <w:tab w:leader="none" w:pos="2132"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any member of the ERISA Group shall commit a failure described in Section 302(f)(1) of ERISA or Section 412(n)(1) of the Code and the amount of the lien determined under Section 302(f)(3) of ERISA or Section 412(n)(3) of the Code that could reasonably be expected to be imposed on any member of the ERISA Group or their assets in respect of such failure shall be equal to or greater than $10,000,000 and which the Required Banks reasonably determine will have a Material Adverse Effect; or</w:t>
      </w:r>
    </w:p>
    <w:p>
      <w:pPr>
        <w:spacing w:after="0" w:line="175" w:lineRule="exact"/>
        <w:rPr>
          <w:rFonts w:ascii="Arial" w:cs="Arial" w:eastAsia="Arial" w:hAnsi="Arial"/>
          <w:sz w:val="19"/>
          <w:szCs w:val="19"/>
          <w:color w:val="auto"/>
        </w:rPr>
      </w:pPr>
    </w:p>
    <w:p>
      <w:pPr>
        <w:ind w:right="220" w:firstLine="1305"/>
        <w:spacing w:after="0" w:line="278" w:lineRule="auto"/>
        <w:tabs>
          <w:tab w:leader="none" w:pos="2231"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assets of the Borrower shall constitute “assets” (within the meaning of ERISA or Section 4975 of the Code, including but not limited to 29 C.F.R. § 2510.3-101 or any successor regulation thereto) of an “employee benefit plan” within the meaning of Section 3(3) of ERISA or a “plan” within the meaning of Section 4975(e)(1) of the Code;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20" w:hanging="101"/>
        <w:spacing w:after="0"/>
        <w:tabs>
          <w:tab w:leader="none" w:pos="5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00"/>
          </w:cols>
          <w:pgMar w:left="240" w:top="595" w:right="259" w:bottom="1440" w:gutter="0" w:footer="0" w:header="0"/>
        </w:sectPr>
      </w:pPr>
    </w:p>
    <w:bookmarkStart w:id="99" w:name="page100"/>
    <w:bookmarkEnd w:id="99"/>
    <w:p>
      <w:pPr>
        <w:jc w:val="both"/>
        <w:ind w:right="20" w:firstLine="1305"/>
        <w:spacing w:after="0" w:line="347" w:lineRule="auto"/>
        <w:tabs>
          <w:tab w:leader="none" w:pos="21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any time, for any reason the Borrower repudiates in writing its payment obligations under any Loan Document or any Covered Party repudiates in writing its negative pledge obligations under the Negative Pledge Agreement or any other Loan Document; or</w:t>
      </w:r>
    </w:p>
    <w:p>
      <w:pPr>
        <w:spacing w:after="0" w:line="130" w:lineRule="exact"/>
        <w:rPr>
          <w:rFonts w:ascii="Arial" w:cs="Arial" w:eastAsia="Arial" w:hAnsi="Arial"/>
          <w:sz w:val="18"/>
          <w:szCs w:val="18"/>
          <w:color w:val="auto"/>
        </w:rPr>
      </w:pPr>
    </w:p>
    <w:p>
      <w:pPr>
        <w:ind w:right="80" w:firstLine="1305"/>
        <w:spacing w:after="0" w:line="273" w:lineRule="auto"/>
        <w:tabs>
          <w:tab w:leader="none" w:pos="2175"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Collateral Document shall not, for any reason, be in full force and effect (or any Covered Party shall so assert), or any security interest purported to be created by any of the Collateral Documents shall not be a valid, enforceable and perfected security interest having the priority required by the Collateral Documents (or any Covered Party shall so assert) (other than (i) pursuant to the terms of this Agreement or any other Loan Document (including any release pursuant to the terms hereof or thereof) or (ii) as a result of acts or omissions by the Administrative Agent); or</w:t>
      </w:r>
    </w:p>
    <w:p>
      <w:pPr>
        <w:spacing w:after="0" w:line="191" w:lineRule="exact"/>
        <w:rPr>
          <w:rFonts w:ascii="Arial" w:cs="Arial" w:eastAsia="Arial" w:hAnsi="Arial"/>
          <w:sz w:val="20"/>
          <w:szCs w:val="20"/>
          <w:color w:val="auto"/>
        </w:rPr>
      </w:pPr>
    </w:p>
    <w:p>
      <w:pPr>
        <w:ind w:right="120" w:firstLine="1305"/>
        <w:spacing w:after="0" w:line="289" w:lineRule="auto"/>
        <w:tabs>
          <w:tab w:leader="none" w:pos="2175" w:val="left"/>
        </w:tabs>
        <w:numPr>
          <w:ilvl w:val="0"/>
          <w:numId w:val="92"/>
        </w:numPr>
        <w:rPr>
          <w:rFonts w:ascii="Arial" w:cs="Arial" w:eastAsia="Arial" w:hAnsi="Arial"/>
          <w:sz w:val="20"/>
          <w:szCs w:val="20"/>
          <w:color w:val="auto"/>
        </w:rPr>
      </w:pPr>
      <w:r>
        <w:rPr>
          <w:rFonts w:ascii="Arial" w:cs="Arial" w:eastAsia="Arial" w:hAnsi="Arial"/>
          <w:sz w:val="20"/>
          <w:szCs w:val="20"/>
          <w:color w:val="auto"/>
        </w:rPr>
        <w:t>at any time Borrower shall fail to directly or indirectly own and control 100% of the outstanding equity interests in any Covered Subsidiary at any time such Covered Subsidiary owns Covered Assets.</w:t>
      </w:r>
    </w:p>
    <w:p>
      <w:pPr>
        <w:spacing w:after="0" w:line="175"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Rights and Remedies</w:t>
      </w:r>
      <w:r>
        <w:rPr>
          <w:rFonts w:ascii="Arial" w:cs="Arial" w:eastAsia="Arial" w:hAnsi="Arial"/>
          <w:sz w:val="19"/>
          <w:szCs w:val="19"/>
          <w:color w:val="auto"/>
        </w:rPr>
        <w:t>. (a) Upon the occurrence of any Event of Default described in Section 6.1(f) or Section 6.1(g), the Commitments shall immediately terminate and the unpaid principal amount of, and any and all accrued interest on, the Loans and any and all accrued fees and other Obligations hereunder shall automatically become immediately due and payable, with all additional interest from time to time accrued thereon and without presentation, demand, or protest or other requirements of any kind (including, without limitation, valuation and appraisement, diligence, presentment, notice of intent to demand or accelerate and notice of acceleration), all of which are hereby expressly waived by the Borrower for itself; and upon the occurrence and during the continuance of any other Event of Default, the Administrative Agent, following consultation with the Banks, may (and upon the demand of the Required Banks shall), by written notice to the Borrower, in addition to the exercise of all of the rights and remedies permitted the Administrative Agent, and the Banks at law or equity or under any of the other Loan Documents, declare that the Commitments are terminated and declare the unpaid principal amount of and any and all accrued and unpaid interest on the Loans and any and all accrued fees and other Obligations hereunder to be, and the same shall thereupon be, immediately due and payable with all additional interest from time to time accrued thereon and (except as otherwise provided in the Loan Documents) without presentation, demand, or protest or other requirements of any kind (including, without limitation, valuation and appraisement, diligence, presentment, notice of intent to demand or accelerate and notice of acceleration), all of which are hereby expressly waived by the Borrower for itself.</w:t>
      </w:r>
    </w:p>
    <w:p>
      <w:pPr>
        <w:spacing w:after="0" w:line="189" w:lineRule="exact"/>
        <w:rPr>
          <w:sz w:val="20"/>
          <w:szCs w:val="20"/>
          <w:color w:val="auto"/>
        </w:rPr>
      </w:pPr>
    </w:p>
    <w:p>
      <w:pPr>
        <w:ind w:right="40" w:firstLine="1305"/>
        <w:spacing w:after="0" w:line="286" w:lineRule="auto"/>
        <w:tabs>
          <w:tab w:leader="none" w:pos="2175"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or in any other Loan Document, the Administrative Agent and the Banks each agree that any exercise or enforcement of the rights and remedies granted to the Administrative Agent or the Banks under this Agreement or any other Loan Document or at law or in equity with respect to this Agreement or any other Loan Documents shall be commenced and maintained solely by the Administrative Agent, in each case on behalf of the Administrative Agent, any other Agent and/or the Banks. The Administrative Agent shall act at the direction of the Required Banks in connection with the exercise of any and all remedies at law, in equity or under any of the Loan Documents or, if the Required Banks are unable to reach agreement after being afforded reasonable notice and opportunity to consent, then, from and after an Event of Default, the Administrative Agent may pursue such rights and remedies as it may determine.</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Notice of Default</w:t>
      </w:r>
      <w:r>
        <w:rPr>
          <w:rFonts w:ascii="Arial" w:cs="Arial" w:eastAsia="Arial" w:hAnsi="Arial"/>
          <w:sz w:val="20"/>
          <w:szCs w:val="20"/>
          <w:color w:val="auto"/>
        </w:rPr>
        <w:t>. The Administrative Agent shall give notice to the Borrower under Section 6.1(b), Section 6.1(c) and Section 6.1(d) promptly upon being requested to do so by the Required Banks and shall thereupon notify all the Banks thereof. The Administrative Agent shall not be deemed to have knowledge or notice of the occurrence of any Default or Event of Default (other than nonpayment of principal of or interest on the Loans) unless the Administrative Agent has received notice in writing from a Bank or the Borrower referring to this Agreement or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80"/>
          </w:cols>
          <w:pgMar w:left="240" w:top="595" w:right="279" w:bottom="1440" w:gutter="0" w:footer="0" w:header="0"/>
        </w:sectPr>
      </w:pPr>
    </w:p>
    <w:bookmarkStart w:id="100" w:name="page101"/>
    <w:bookmarkEnd w:id="100"/>
    <w:p>
      <w:pPr>
        <w:jc w:val="both"/>
        <w:spacing w:after="0" w:line="278" w:lineRule="auto"/>
        <w:rPr>
          <w:sz w:val="20"/>
          <w:szCs w:val="20"/>
          <w:color w:val="auto"/>
        </w:rPr>
      </w:pPr>
      <w:r>
        <w:rPr>
          <w:rFonts w:ascii="Arial" w:cs="Arial" w:eastAsia="Arial" w:hAnsi="Arial"/>
          <w:sz w:val="20"/>
          <w:szCs w:val="20"/>
          <w:color w:val="auto"/>
        </w:rPr>
        <w:t>describing such event or condition. Should the Administrative Agent receive notice of the occurrence of a Default or Event of Default expressly stating that such notice is a notice of a Default or Event of Default, or should the Administrative Agent send the Borrower a notice of Default or Event of Default, the Administrative Agent shall promptly give notice thereof to each Bank.</w:t>
      </w:r>
    </w:p>
    <w:p>
      <w:pPr>
        <w:spacing w:after="0" w:line="187" w:lineRule="exact"/>
        <w:rPr>
          <w:sz w:val="20"/>
          <w:szCs w:val="20"/>
          <w:color w:val="auto"/>
        </w:rPr>
      </w:pPr>
    </w:p>
    <w:p>
      <w:pPr>
        <w:ind w:firstLine="648"/>
        <w:spacing w:after="0" w:line="322"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Distribution of Proceeds after Default</w:t>
      </w:r>
      <w:r>
        <w:rPr>
          <w:rFonts w:ascii="Arial" w:cs="Arial" w:eastAsia="Arial" w:hAnsi="Arial"/>
          <w:sz w:val="18"/>
          <w:szCs w:val="18"/>
          <w:color w:val="auto"/>
        </w:rPr>
        <w:t>. Notwithstanding anything contained herein to the contrary, from and after an Event of Default, to the extent proceeds are received by the Administrative Agent, such proceeds shall be distributed to the Banks pro rata in accordance with the unpaid principal amount of the Loans (giving effect to any participations granted therein pursuant to Section 9.6).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THE AGENTS; CERTAIN MATTERS RELATING TO THE BANKS</w:t>
      </w:r>
    </w:p>
    <w:p>
      <w:pPr>
        <w:spacing w:after="0" w:line="22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Appointment and Authorization</w:t>
      </w:r>
      <w:r>
        <w:rPr>
          <w:rFonts w:ascii="Arial" w:cs="Arial" w:eastAsia="Arial" w:hAnsi="Arial"/>
          <w:sz w:val="18"/>
          <w:szCs w:val="18"/>
          <w:color w:val="auto"/>
        </w:rPr>
        <w:t>. Each Bank irrevocably appoints and authorizes the Administrative Agent</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to take such action as agent on its behalf, including execution of the other Loan Documents, and to exercise such powers under this Agreement and the other Loan Documents as are delegated to the Administrative Agent by the terms hereof or thereof, together with all such powers as are reasonably incidental thereto. Except as set forth in Section 7.8 hereof, the provisions of this Article VII are solely for the benefit of the Administrative Agent, the other Agents and the Banks, and the Borrower shall not have any rights to rely on or enforce any of the provisions hereof. In performing its functions and duties under this Agreement and the other Loan Documents, the Administrative Agent shall act solely as an agent of the Banks and shall not assume and shall not be deemed to have assumed any obligation toward or relationship of agency or trust with or for the Borrower or any other Covered Party. Notwithstanding any provision to the contrary elsewhere in this Agreement, the Agents shall not have any duties or responsibilities, except those expressly set forth herein, or any fiduciary relationship with any Bank, and no implied covenants, functions, responsibilities, duties, obligations or liabilities shall be read into this Agreement or any other Loan Document or otherwise exist against the Agents.</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Administrative Agency and Affiliates</w:t>
      </w:r>
      <w:r>
        <w:rPr>
          <w:rFonts w:ascii="Arial" w:cs="Arial" w:eastAsia="Arial" w:hAnsi="Arial"/>
          <w:sz w:val="19"/>
          <w:szCs w:val="19"/>
          <w:color w:val="auto"/>
        </w:rPr>
        <w:t>. JPMorgan Chase Bank, N.A. has the same rights and powers under this Agreement as any other Bank and may exercise or refrain from exercising the same as though it were not the Administrative Agent and JPMorgan Chase Bank, N.A. and each of its affiliates, may accept deposits from, lend money to, and generally engage in any kind of business with the Borrower or any Subsidiary or affiliate of the foregoing as if they were not the Administrative Agent hereunder, and the term “Bank” and “Banks” shall include each of JPMorgan Chase Bank, N.A. each in its individual capacity.</w:t>
      </w:r>
    </w:p>
    <w:p>
      <w:pPr>
        <w:spacing w:after="0" w:line="17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u w:val="single" w:color="auto"/>
          <w:color w:val="auto"/>
        </w:rPr>
        <w:t>Action by Agents</w:t>
      </w:r>
      <w:r>
        <w:rPr>
          <w:rFonts w:ascii="Arial" w:cs="Arial" w:eastAsia="Arial" w:hAnsi="Arial"/>
          <w:sz w:val="18"/>
          <w:szCs w:val="18"/>
          <w:color w:val="auto"/>
        </w:rPr>
        <w:t>.</w:t>
      </w:r>
    </w:p>
    <w:p>
      <w:pPr>
        <w:spacing w:after="0" w:line="243" w:lineRule="exact"/>
        <w:rPr>
          <w:sz w:val="20"/>
          <w:szCs w:val="20"/>
          <w:color w:val="auto"/>
        </w:rPr>
      </w:pPr>
    </w:p>
    <w:p>
      <w:pPr>
        <w:ind w:right="40" w:firstLine="1305"/>
        <w:spacing w:after="0" w:line="270" w:lineRule="auto"/>
        <w:tabs>
          <w:tab w:leader="none" w:pos="2164"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obligations of each of the Agents hereunder are only those expressly set forth herein. Without limiting the generality of the foregoing, each of the Agents shall not be required to take any action with respect to any Default or Event of Default, except as expressly provided in Article VI. The duties of each Agent shall be administrative in nature. Subject to the provisions of Section 7.1, Section 7.5 and Section 7.6, each Agent shall administer the Loans in the same manner as each administers its own loans. Without limiting the generality of the foregoing, (a) the Administrative Agent shall not be subject to any fiduciary or other implied duties, regardless of whether a Default or Event of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Banks, (c) except for notices, reports and other documents expressly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5620" w:hanging="101"/>
        <w:spacing w:after="0"/>
        <w:tabs>
          <w:tab w:leader="none" w:pos="5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595" w:right="239" w:bottom="1440" w:gutter="0" w:footer="0" w:header="0"/>
        </w:sectPr>
      </w:pPr>
    </w:p>
    <w:bookmarkStart w:id="101" w:name="page102"/>
    <w:bookmarkEnd w:id="101"/>
    <w:p>
      <w:pPr>
        <w:ind w:right="300"/>
        <w:spacing w:after="0" w:line="272" w:lineRule="auto"/>
        <w:rPr>
          <w:sz w:val="20"/>
          <w:szCs w:val="20"/>
          <w:color w:val="auto"/>
        </w:rPr>
      </w:pPr>
      <w:r>
        <w:rPr>
          <w:rFonts w:ascii="Arial" w:cs="Arial" w:eastAsia="Arial" w:hAnsi="Arial"/>
          <w:sz w:val="20"/>
          <w:szCs w:val="20"/>
          <w:color w:val="auto"/>
        </w:rPr>
        <w:t>required to be furnished to the Banks by the Administrative Agent hereunder, the Administrative Agent shall not have any duty or responsibility to provide any Bank with any credit or other information concerning the business, operations, property, condition (financial or otherwise), prospects or creditworthiness of the Covered Party or any affiliate of the Covered Party that may come into the possession of the Administrative Agent or any of its officers, directors, employees, agents, advisors, attorneys in fact or affiliates and (d) the Administrative Agent shall not be required to take any action that (in its opinion or the opinion of its counsel) exposes it to personal liability or which is contrary to the Loan Documents or applicable law.</w:t>
      </w:r>
    </w:p>
    <w:p>
      <w:pPr>
        <w:spacing w:after="0" w:line="192" w:lineRule="exact"/>
        <w:rPr>
          <w:sz w:val="20"/>
          <w:szCs w:val="20"/>
          <w:color w:val="auto"/>
        </w:rPr>
      </w:pPr>
    </w:p>
    <w:p>
      <w:pPr>
        <w:ind w:right="60" w:firstLine="1305"/>
        <w:spacing w:after="0" w:line="272" w:lineRule="auto"/>
        <w:tabs>
          <w:tab w:leader="none" w:pos="2175"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Administrative Agent may execute any of its duties under this Agreement and the other Loan Documents by or through agents or attorneys in fact (including without limitation, a custodian to administer the Collateral) and shall be entitled to advice of counsel concerning all matters pertaining to such duties. The Administrative Agent shall not be responsible for the negligence or misconduct of any agents or attorneys in fact selected by it with reasonable care. In furtherance of the foregoing, each Bank hereby authorizes the Administrative Agent to enter into such documents and instruments as it deems reasonably necessary to implement its duties under this Agreement and the other Loan Documents.</w:t>
      </w:r>
    </w:p>
    <w:p>
      <w:pPr>
        <w:spacing w:after="0" w:line="192" w:lineRule="exact"/>
        <w:rPr>
          <w:sz w:val="20"/>
          <w:szCs w:val="20"/>
          <w:color w:val="auto"/>
        </w:rPr>
      </w:pPr>
    </w:p>
    <w:p>
      <w:pPr>
        <w:jc w:val="both"/>
        <w:ind w:right="80" w:firstLine="648"/>
        <w:spacing w:after="0" w:line="274"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Consultation with Experts</w:t>
      </w:r>
      <w:r>
        <w:rPr>
          <w:rFonts w:ascii="Arial" w:cs="Arial" w:eastAsia="Arial" w:hAnsi="Arial"/>
          <w:sz w:val="20"/>
          <w:szCs w:val="20"/>
          <w:color w:val="auto"/>
        </w:rPr>
        <w:t>. As between any Agent on the one hand and the Banks on the other hand, such Agent may consult with legal counsel (who may be counsel for the Borrower), independent public accountants and other experts selected by it and shall not be liable for any action taken or omitted to be taken by it in good faith in accordance with the advice of such counsel, accountants or experts.</w:t>
      </w:r>
    </w:p>
    <w:p>
      <w:pPr>
        <w:spacing w:after="0" w:line="192" w:lineRule="exact"/>
        <w:rPr>
          <w:sz w:val="20"/>
          <w:szCs w:val="20"/>
          <w:color w:val="auto"/>
        </w:rPr>
      </w:pPr>
    </w:p>
    <w:p>
      <w:pPr>
        <w:ind w:firstLine="648"/>
        <w:spacing w:after="0" w:line="300"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Liability of Agents</w:t>
      </w:r>
      <w:r>
        <w:rPr>
          <w:rFonts w:ascii="Arial" w:cs="Arial" w:eastAsia="Arial" w:hAnsi="Arial"/>
          <w:sz w:val="18"/>
          <w:szCs w:val="18"/>
          <w:color w:val="auto"/>
        </w:rPr>
        <w:t>. As between each Agent on the one hand and the Banks on the other hand, none of the Agents nor any of their affiliates nor any of their respective directors, officers, agents or employees shall be liable for any action taken or not taken by it in connection herewith (i) with the consent or at the request of the Required Banks or (ii) in the absence of its own gross negligence or willful misconduct. As between each Agent on the one hand and the Banks on the other hand, none of the Agents nor any of their respective directors, officers, agents or employees shall be responsible for or have any duty to ascertain, inquire into or verify (i) any statement, warranty or representation made in connection with this Agreement, any other Loan Document, or any Borrowing hereunder; (ii) the performance or observance of any of the covenants or agreements of the Borrower or any other Covered Party; (iii) the satisfaction of any condition specified in Article III, except receipt of items required to be delivered to such Agent, or (iv) the validity, effectiveness or genuineness of this Agreement, the other Loan Documents or any other instrument or writing furnished in connection herewith. As between each Agent on the one hand and the Banks on the other hand, none of the Agents shall incur any liability by acting in reliance upon any notice, consent, certificate, statement, or other writing (which may be a bank wire, telex, email message, facsimile or similar writing) believed by it to be genuine or to be signed by the proper party or parties. The Administrative Agent shall not be deemed to have knowledge or notice of the occurrence of any Default or Event of Default unless the Administrative Agent has received notice from a Bank or the Borrower referring to this Agreement, describing such Default or Event of Default and stating that such notice is a “notice of default”. The Administrative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also may rely upon any statement made to it orally or by telephone and believed by it to have been made by the proper Person, and shall not incur any liability for relying thereon. In determining compliance with any condition hereunder that by its terms must be fulfilled to the satisfaction of a Bank, the Administrative Agent may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595" w:right="239" w:bottom="1440" w:gutter="0" w:footer="0" w:header="0"/>
        </w:sectPr>
      </w:pPr>
    </w:p>
    <w:bookmarkStart w:id="102" w:name="page103"/>
    <w:bookmarkEnd w:id="102"/>
    <w:p>
      <w:pPr>
        <w:ind w:right="180"/>
        <w:spacing w:after="0" w:line="289" w:lineRule="auto"/>
        <w:rPr>
          <w:sz w:val="20"/>
          <w:szCs w:val="20"/>
          <w:color w:val="auto"/>
        </w:rPr>
      </w:pPr>
      <w:r>
        <w:rPr>
          <w:rFonts w:ascii="Arial" w:cs="Arial" w:eastAsia="Arial" w:hAnsi="Arial"/>
          <w:sz w:val="20"/>
          <w:szCs w:val="20"/>
          <w:color w:val="auto"/>
        </w:rPr>
        <w:t>presume that such condition is satisfactory to such Bank unless the Administrative Agent shall have received notice to the contrary from such Bank prior to the applicable extension of credit or other action.</w:t>
      </w:r>
    </w:p>
    <w:p>
      <w:pPr>
        <w:spacing w:after="0" w:line="175" w:lineRule="exact"/>
        <w:rPr>
          <w:sz w:val="20"/>
          <w:szCs w:val="20"/>
          <w:color w:val="auto"/>
        </w:rPr>
      </w:pPr>
    </w:p>
    <w:p>
      <w:pPr>
        <w:ind w:firstLine="648"/>
        <w:spacing w:after="0" w:line="301"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Indemnification</w:t>
      </w:r>
      <w:r>
        <w:rPr>
          <w:rFonts w:ascii="Arial" w:cs="Arial" w:eastAsia="Arial" w:hAnsi="Arial"/>
          <w:sz w:val="18"/>
          <w:szCs w:val="18"/>
          <w:color w:val="auto"/>
        </w:rPr>
        <w:t>. Each Bank shall, ratably in accordance with its Commitments or Loans, as applicable, outstanding, indemnify the Agents and their affiliates and their respective directors, officers, agents, advisors and employees (to the extent not reimbursed by the Borrower) against any cost, expense (including, without limitation, counsel fees and disbursements), claim, demand, action, loss or liability (except such as result from such indemnitee’s gross negligence or willful misconduct) that such indemnitee may suffer or incur in connection with its duties as Agent under this Agreement, the other Loan Documents or any action taken or omitted by such indemnitee hereunder. In the event that any Agent shall, subsequent to its receipt of indemnification payment(s) from Banks in accordance with this section, recoup any amount from the Borrower, or any other party liable therefor in connection with such indemnification, such Agent shall reimburse the Banks which previously made the payment(s) pro rata, based upon the actual amounts which were theretofore paid by each Bank. Each Agent shall reimburse such Banks so entitled to reimbursement within two (2) Business Days of its receipt of such funds from the Borrower or such other party liable therefor. In the case of an investigation, litigation or proceeding to which the indemnity in this paragraph applies, such indemnity shall be effective whether or not such investigation, litigation or proceeding is brought by a Bank, an indemnitee or any other Person, whether or not an indemnitee is otherwise a party thereto. The agreements in this Section shall survive the termination of this Agreement and the payment of the Loans and all other amounts payable hereunder.</w:t>
      </w:r>
    </w:p>
    <w:p>
      <w:pPr>
        <w:spacing w:after="0" w:line="177" w:lineRule="exact"/>
        <w:rPr>
          <w:sz w:val="20"/>
          <w:szCs w:val="20"/>
          <w:color w:val="auto"/>
        </w:rPr>
      </w:pPr>
    </w:p>
    <w:p>
      <w:pPr>
        <w:ind w:right="100" w:firstLine="648"/>
        <w:spacing w:after="0" w:line="273"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Credit Decision</w:t>
      </w:r>
      <w:r>
        <w:rPr>
          <w:rFonts w:ascii="Arial" w:cs="Arial" w:eastAsia="Arial" w:hAnsi="Arial"/>
          <w:sz w:val="20"/>
          <w:szCs w:val="20"/>
          <w:color w:val="auto"/>
        </w:rPr>
        <w:t>. Each Bank acknowledges that it has, independently and without reliance upon any Agent or any other Bank, and based on such documents and information as it has deemed appropriate, made its own credit analysis and decision to enter into this Agreement. Each Bank also acknowledges that it will, independently and without reliance upon any Agent or any other Bank, and based on such documents and information as it shall deem appropriate at the time, continue to make its own credit decisions in taking or not taking any action under this Agreement.</w:t>
      </w:r>
    </w:p>
    <w:p>
      <w:pPr>
        <w:spacing w:after="0" w:line="191" w:lineRule="exact"/>
        <w:rPr>
          <w:sz w:val="20"/>
          <w:szCs w:val="20"/>
          <w:color w:val="auto"/>
        </w:rPr>
      </w:pPr>
    </w:p>
    <w:p>
      <w:pPr>
        <w:ind w:firstLine="648"/>
        <w:spacing w:after="0" w:line="300"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Successor Agent</w:t>
      </w:r>
      <w:r>
        <w:rPr>
          <w:rFonts w:ascii="Arial" w:cs="Arial" w:eastAsia="Arial" w:hAnsi="Arial"/>
          <w:sz w:val="18"/>
          <w:szCs w:val="18"/>
          <w:color w:val="auto"/>
        </w:rPr>
        <w:t>. The Administrative Agent may resign at any time by giving notice thereof to the Banks and the Borrower. Upon any such resignation, the Required Banks shall have the right to appoint a successor Administrative Agent, which successor Administrative Agent shall, provided no Event of Default has occurred and is then continuing, be subject to the Borrower’s approval, which approval shall not be unreasonably withheld or delayed. If no successor Administrative Agent shall have been so appointed by the Required Banks and approved by the Borrower, and shall have accepted such appointment, within 10 days after the retiring Administrative Agent gives notice of resignation, then the retiring Administrative Agent may (but shall not be required to), on behalf of the Banks, appoint a successor Administrative Agent which shall be the Administrative Agent, who shall act until the Required Banks shall appoint an Administrative Agent. Any appointment of a successor Administrative Agent by Required Banks or the retiring Administrative Agent, pursuant to the preceding sentence shall, provided no Event of Default has occurred and is then continuing, be subject to the Borrower’s approval, which approval shall not be unreasonably withheld or delayed. If no successor Administrative Agent has accepted appointment as Administrative Agent by the date that is 10 days following a retiring Administrative Agent’s notice of resignation (and no successor agent has been appointed as successor Administrative Agent by the retiring Administrative Agent), the retiring Administrative Agent’s resignation shall nevertheless thereupon become effective, and the Banks shall assume and perform all of the duties of the Administrative Agent hereunder until such time, if any, as the Required Banks appoint a successor agent as provided for above. Upon the acceptance of its appointment as the Administrative Agent hereunder by a successor Administrative Agent, such successor Administrative Agent shall thereupon succeed to and become vested with all the rights and duties of the retiring Administrative Agent and the retiring Administrative Agent, shall be discharged from its duties and obligations hereunder. After any retiring Administrative Agent’s resignation hereunder, the provisions of this Article shall inure to 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595" w:right="259" w:bottom="1440" w:gutter="0" w:footer="0" w:header="0"/>
        </w:sectPr>
      </w:pPr>
    </w:p>
    <w:bookmarkStart w:id="103" w:name="page104"/>
    <w:bookmarkEnd w:id="103"/>
    <w:p>
      <w:pPr>
        <w:ind w:right="120"/>
        <w:spacing w:after="0" w:line="347" w:lineRule="auto"/>
        <w:rPr>
          <w:sz w:val="20"/>
          <w:szCs w:val="20"/>
          <w:color w:val="auto"/>
        </w:rPr>
      </w:pPr>
      <w:r>
        <w:rPr>
          <w:rFonts w:ascii="Arial" w:cs="Arial" w:eastAsia="Arial" w:hAnsi="Arial"/>
          <w:sz w:val="18"/>
          <w:szCs w:val="18"/>
          <w:color w:val="auto"/>
        </w:rPr>
        <w:t>benefit as to any actions taken or omitted to be taken by it while it was the Administrative Agent. Such resignation or removal shall take effect upon the acceptance of appointment by a successor Administrative Agent in accordance with the provisions of this Section 7.8.</w:t>
      </w:r>
    </w:p>
    <w:p>
      <w:pPr>
        <w:spacing w:after="0" w:line="131" w:lineRule="exact"/>
        <w:rPr>
          <w:sz w:val="20"/>
          <w:szCs w:val="20"/>
          <w:color w:val="auto"/>
        </w:rPr>
      </w:pPr>
    </w:p>
    <w:p>
      <w:pPr>
        <w:ind w:right="620" w:firstLine="648"/>
        <w:spacing w:after="0" w:line="322"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Exculpation of BPO Broker</w:t>
      </w:r>
      <w:r>
        <w:rPr>
          <w:rFonts w:ascii="Arial" w:cs="Arial" w:eastAsia="Arial" w:hAnsi="Arial"/>
          <w:sz w:val="18"/>
          <w:szCs w:val="18"/>
          <w:color w:val="auto"/>
        </w:rPr>
        <w:t>. Each Bank acknowledges and agrees, for the benefit of the Agents, the Borrower and each of the BPO Brokers and each of their respective affiliates and each of their respective partners, directors, officers, employees, agents, counsel, auditors, advisors and other representatives (collectively,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as follows:</w:t>
      </w:r>
    </w:p>
    <w:p>
      <w:pPr>
        <w:spacing w:after="0" w:line="153" w:lineRule="exact"/>
        <w:rPr>
          <w:sz w:val="20"/>
          <w:szCs w:val="20"/>
          <w:color w:val="auto"/>
        </w:rPr>
      </w:pPr>
    </w:p>
    <w:p>
      <w:pPr>
        <w:ind w:right="140" w:firstLine="1305"/>
        <w:spacing w:after="0" w:line="274" w:lineRule="auto"/>
        <w:tabs>
          <w:tab w:leader="none" w:pos="2164" w:val="left"/>
        </w:tabs>
        <w:numPr>
          <w:ilvl w:val="0"/>
          <w:numId w:val="96"/>
        </w:numPr>
        <w:rPr>
          <w:rFonts w:ascii="Arial" w:cs="Arial" w:eastAsia="Arial" w:hAnsi="Arial"/>
          <w:sz w:val="20"/>
          <w:szCs w:val="20"/>
          <w:color w:val="auto"/>
        </w:rPr>
      </w:pPr>
      <w:r>
        <w:rPr>
          <w:rFonts w:ascii="Arial" w:cs="Arial" w:eastAsia="Arial" w:hAnsi="Arial"/>
          <w:sz w:val="20"/>
          <w:szCs w:val="20"/>
          <w:color w:val="auto"/>
        </w:rPr>
        <w:t>Each BPO Broker prepared its respective BPO relying primarily on information provided by the Borrower, and neither any BPO Broker nor any Agent is responsible or liable for any inaccuracy or omission in the information provided to the BPO Brokers by the Borrower. None of the BPO Brokers or Agents has made or makes any express or implied representation or warranty as to the accuracy or completeness of such information.</w:t>
      </w:r>
    </w:p>
    <w:p>
      <w:pPr>
        <w:spacing w:after="0" w:line="192" w:lineRule="exact"/>
        <w:rPr>
          <w:rFonts w:ascii="Arial" w:cs="Arial" w:eastAsia="Arial" w:hAnsi="Arial"/>
          <w:sz w:val="20"/>
          <w:szCs w:val="20"/>
          <w:color w:val="auto"/>
        </w:rPr>
      </w:pPr>
    </w:p>
    <w:p>
      <w:pPr>
        <w:ind w:right="60" w:firstLine="1305"/>
        <w:spacing w:after="0" w:line="347" w:lineRule="auto"/>
        <w:tabs>
          <w:tab w:leader="none" w:pos="21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None of the BPO Brokers or Agents has any obligation to engage in any further diligence regarding the information provided to it by the Borrower or to obtain any additional information for purposes of the BPO Brokers preparing their respective BPOs.</w:t>
      </w:r>
    </w:p>
    <w:p>
      <w:pPr>
        <w:spacing w:after="0" w:line="130" w:lineRule="exact"/>
        <w:rPr>
          <w:rFonts w:ascii="Arial" w:cs="Arial" w:eastAsia="Arial" w:hAnsi="Arial"/>
          <w:sz w:val="18"/>
          <w:szCs w:val="18"/>
          <w:color w:val="auto"/>
        </w:rPr>
      </w:pPr>
    </w:p>
    <w:p>
      <w:pPr>
        <w:ind w:firstLine="1305"/>
        <w:spacing w:after="0" w:line="278" w:lineRule="auto"/>
        <w:tabs>
          <w:tab w:leader="none" w:pos="2164" w:val="left"/>
        </w:tabs>
        <w:numPr>
          <w:ilvl w:val="0"/>
          <w:numId w:val="96"/>
        </w:numPr>
        <w:rPr>
          <w:rFonts w:ascii="Arial" w:cs="Arial" w:eastAsia="Arial" w:hAnsi="Arial"/>
          <w:sz w:val="20"/>
          <w:szCs w:val="20"/>
          <w:color w:val="auto"/>
        </w:rPr>
      </w:pPr>
      <w:r>
        <w:rPr>
          <w:rFonts w:ascii="Arial" w:cs="Arial" w:eastAsia="Arial" w:hAnsi="Arial"/>
          <w:sz w:val="20"/>
          <w:szCs w:val="20"/>
          <w:color w:val="auto"/>
        </w:rPr>
        <w:t>None of the BPO Brokers or Agents has engaged an auditor to perform an audit or review of the financial statements of the Borrower, and none of the BPO Brokers or Agents is providing any assurance of the accuracy of the information in such financial statements.</w:t>
      </w:r>
    </w:p>
    <w:p>
      <w:pPr>
        <w:spacing w:after="0" w:line="186" w:lineRule="exact"/>
        <w:rPr>
          <w:rFonts w:ascii="Arial" w:cs="Arial" w:eastAsia="Arial" w:hAnsi="Arial"/>
          <w:sz w:val="20"/>
          <w:szCs w:val="20"/>
          <w:color w:val="auto"/>
        </w:rPr>
      </w:pPr>
    </w:p>
    <w:p>
      <w:pPr>
        <w:ind w:right="200" w:firstLine="1305"/>
        <w:spacing w:after="0" w:line="289" w:lineRule="auto"/>
        <w:tabs>
          <w:tab w:leader="none" w:pos="2175"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There is no assurance that the BPOs will accurately predict the actual future performance and/or operations of any asset and/or property reviewed for purposes of the BPOs.</w:t>
      </w:r>
    </w:p>
    <w:p>
      <w:pPr>
        <w:spacing w:after="0" w:line="175" w:lineRule="exact"/>
        <w:rPr>
          <w:rFonts w:ascii="Arial" w:cs="Arial" w:eastAsia="Arial" w:hAnsi="Arial"/>
          <w:sz w:val="20"/>
          <w:szCs w:val="20"/>
          <w:color w:val="auto"/>
        </w:rPr>
      </w:pPr>
    </w:p>
    <w:p>
      <w:pPr>
        <w:jc w:val="both"/>
        <w:ind w:right="320" w:firstLine="1305"/>
        <w:spacing w:after="0" w:line="278" w:lineRule="auto"/>
        <w:tabs>
          <w:tab w:leader="none" w:pos="2164" w:val="left"/>
        </w:tabs>
        <w:numPr>
          <w:ilvl w:val="0"/>
          <w:numId w:val="96"/>
        </w:numPr>
        <w:rPr>
          <w:rFonts w:ascii="Arial" w:cs="Arial" w:eastAsia="Arial" w:hAnsi="Arial"/>
          <w:sz w:val="20"/>
          <w:szCs w:val="20"/>
          <w:color w:val="auto"/>
        </w:rPr>
      </w:pPr>
      <w:r>
        <w:rPr>
          <w:rFonts w:ascii="Arial" w:cs="Arial" w:eastAsia="Arial" w:hAnsi="Arial"/>
          <w:sz w:val="20"/>
          <w:szCs w:val="20"/>
          <w:color w:val="auto"/>
        </w:rPr>
        <w:t>No Agent shall be responsible or liable for the preparation or the contents of the BPOs or such Bank’s use of the BPOs, and such Bank agrees that such Bank will not bring or assert any claim, suit or action against any Agent or any of its Representatives with respect to, or arising out of, the BPOs or such Bank’s use thereof.</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u w:val="single" w:color="auto"/>
          <w:color w:val="auto"/>
        </w:rPr>
        <w:t>Proofs of Claim</w:t>
      </w:r>
      <w:r>
        <w:rPr>
          <w:rFonts w:ascii="Arial" w:cs="Arial" w:eastAsia="Arial" w:hAnsi="Arial"/>
          <w:sz w:val="20"/>
          <w:szCs w:val="20"/>
          <w:color w:val="auto"/>
        </w:rPr>
        <w:t>. In case of the pendency of any proceeding under any federal, state or foreign bankruptcy, insolvency, receivership or similar law or any other judicial proceeding relative to any Covered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1" w:lineRule="exact"/>
        <w:rPr>
          <w:sz w:val="20"/>
          <w:szCs w:val="20"/>
          <w:color w:val="auto"/>
        </w:rPr>
      </w:pPr>
    </w:p>
    <w:p>
      <w:pPr>
        <w:ind w:right="20" w:firstLine="1305"/>
        <w:spacing w:after="0" w:line="290" w:lineRule="auto"/>
        <w:tabs>
          <w:tab w:leader="none" w:pos="2164" w:val="left"/>
        </w:tabs>
        <w:numPr>
          <w:ilvl w:val="0"/>
          <w:numId w:val="97"/>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Banks and the Administrative Agent (including any claim for the reasonable compensation, expenses, disbursements and advances of the Banks and the Administrative Agent and their respective agents and counsel and all other amounts due the Banks and the Administrative Agent hereunder) allowed in such judicial proceeding; and</w:t>
      </w:r>
    </w:p>
    <w:p>
      <w:pPr>
        <w:spacing w:after="0" w:line="179" w:lineRule="exact"/>
        <w:rPr>
          <w:rFonts w:ascii="Arial" w:cs="Arial" w:eastAsia="Arial" w:hAnsi="Arial"/>
          <w:sz w:val="19"/>
          <w:szCs w:val="19"/>
          <w:color w:val="auto"/>
        </w:rPr>
      </w:pPr>
    </w:p>
    <w:p>
      <w:pPr>
        <w:ind w:right="200" w:firstLine="1305"/>
        <w:spacing w:after="0" w:line="273" w:lineRule="auto"/>
        <w:tabs>
          <w:tab w:leader="none" w:pos="217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Bank to make such payments to the Administrative Agent and, if the Administrative Agent shall consent to the making of such payments directly to the Banks, to pay to the Administrative Agent any amount due for the reasonable compensation, expenses, disbursements and advances of the Administrative Agent and its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5620" w:hanging="101"/>
        <w:spacing w:after="0"/>
        <w:tabs>
          <w:tab w:leader="none" w:pos="5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420"/>
          </w:cols>
          <w:pgMar w:left="240" w:top="595" w:right="239" w:bottom="1440" w:gutter="0" w:footer="0" w:header="0"/>
        </w:sectPr>
      </w:pPr>
    </w:p>
    <w:bookmarkStart w:id="104" w:name="page105"/>
    <w:bookmarkEnd w:id="104"/>
    <w:p>
      <w:pPr>
        <w:ind w:right="140"/>
        <w:spacing w:after="0" w:line="274" w:lineRule="auto"/>
        <w:rPr>
          <w:sz w:val="20"/>
          <w:szCs w:val="20"/>
          <w:color w:val="auto"/>
        </w:rPr>
      </w:pPr>
      <w:r>
        <w:rPr>
          <w:rFonts w:ascii="Arial" w:cs="Arial" w:eastAsia="Arial" w:hAnsi="Arial"/>
          <w:sz w:val="20"/>
          <w:szCs w:val="20"/>
          <w:color w:val="auto"/>
        </w:rPr>
        <w:t>agents and counsel, and any other amounts due the Administrative Agent hereunder. Nothing in this Section 7.10 shall be deemed to authorize the Administrative Agent to authorize or consent to or accept or adopt on behalf of any Bank any plan of reorganization, arrangement, adjustment or composition affecting the Obligations or the rights of any Bank to authorize the Administrative Agent to vote in respect of the claim of any Bank in any such proceeding.</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CHANGE IN CIRCUMSTANCES</w:t>
      </w:r>
    </w:p>
    <w:p>
      <w:pPr>
        <w:spacing w:after="0" w:line="229" w:lineRule="exact"/>
        <w:rPr>
          <w:sz w:val="20"/>
          <w:szCs w:val="20"/>
          <w:color w:val="auto"/>
        </w:rPr>
      </w:pPr>
    </w:p>
    <w:p>
      <w:pPr>
        <w:ind w:right="40" w:firstLine="648"/>
        <w:spacing w:after="0" w:line="29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Basis for Determining Interest Rate Inadequate or Unfair</w:t>
      </w:r>
      <w:r>
        <w:rPr>
          <w:rFonts w:ascii="Arial" w:cs="Arial" w:eastAsia="Arial" w:hAnsi="Arial"/>
          <w:sz w:val="18"/>
          <w:szCs w:val="18"/>
          <w:color w:val="auto"/>
        </w:rPr>
        <w:t>. If on or prior to the first day of any Interest Period for any Eurodollar Borrowing the Administrative Agent or the Required Banks determine in good faith that deposits in Dollars are not being offered in the relevant market for such Interest Period or that the Eurodollar Rate for such Interest Period will not adequately reflect the cost to the Banks or the Required Banks, as the case may be, of making, funding or maintaining such Eurodollar Borrowing for such Interest Period, the Administrative Agent shall forthwith give notice thereof to the Borrower and the Banks, whereupon until the Administrative Agent notifies the Borrower that the circumstances giving rise to such suspension no longer exist, the obligations of the Banks to make, continue, or convert Loans into, Eurodollar Loans in Dollars shall be suspended. In such event, unless the Borrower notifies the Administrative Agent on or before the second (2</w:t>
      </w:r>
      <w:r>
        <w:rPr>
          <w:rFonts w:ascii="Arial" w:cs="Arial" w:eastAsia="Arial" w:hAnsi="Arial"/>
          <w:sz w:val="23"/>
          <w:szCs w:val="23"/>
          <w:color w:val="auto"/>
          <w:vertAlign w:val="superscript"/>
        </w:rPr>
        <w:t>nd</w:t>
      </w:r>
      <w:r>
        <w:rPr>
          <w:rFonts w:ascii="Arial" w:cs="Arial" w:eastAsia="Arial" w:hAnsi="Arial"/>
          <w:sz w:val="18"/>
          <w:szCs w:val="18"/>
          <w:color w:val="auto"/>
        </w:rPr>
        <w:t>) Eurodollar Business Day before, but excluding, the date of any Eurodollar Borrowing for which a Notice of Borrowing has previously been given that it elects not to borrow on such date, such Borrowing shall instead be made as a Base Rate Borrowing.</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Illegality</w:t>
      </w:r>
      <w:r>
        <w:rPr>
          <w:rFonts w:ascii="Arial" w:cs="Arial" w:eastAsia="Arial" w:hAnsi="Arial"/>
          <w:sz w:val="19"/>
          <w:szCs w:val="19"/>
          <w:color w:val="auto"/>
        </w:rPr>
        <w:t>. If, on or after the date of this Agreement,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Eurodollar Lending Office) with any request or directive (whether or not having the force of law) made after the Closing Date of any such authority, central bank or comparable agency shall make it unlawful for any Bank (or its Eurodollar Lending Office) to make, maintain or fund its Eurodollar Loans in a particular currency, the Administrative Agent shall forthwith give notice thereof to the other Banks and the Borrower, whereupon until such Bank notifies the Borrower and the Administrative Agent that the circumstances giving rise to such suspension no longer exist, the obligation of such Bank in the case of the event described above to make Eurodollar Loans in such currency, shall be suspended. With respect to Eurodollar Loans, before giving any notice to the Administrative Agent pursuant to this Section 8.2, such Bank shall designate a different Eurodollar Lending Office if such designation will avoid the need for giving such notice and will not, in the reasonable judgment of such Bank, be otherwise commercially disadvantageous to such Bank.</w:t>
      </w:r>
    </w:p>
    <w:p>
      <w:pPr>
        <w:spacing w:after="0" w:line="171" w:lineRule="exact"/>
        <w:rPr>
          <w:sz w:val="20"/>
          <w:szCs w:val="20"/>
          <w:color w:val="auto"/>
        </w:rPr>
      </w:pPr>
    </w:p>
    <w:p>
      <w:pPr>
        <w:ind w:right="20" w:firstLine="1297"/>
        <w:spacing w:after="0" w:line="258" w:lineRule="auto"/>
        <w:rPr>
          <w:sz w:val="20"/>
          <w:szCs w:val="20"/>
          <w:color w:val="auto"/>
        </w:rPr>
      </w:pPr>
      <w:r>
        <w:rPr>
          <w:rFonts w:ascii="Arial" w:cs="Arial" w:eastAsia="Arial" w:hAnsi="Arial"/>
          <w:sz w:val="19"/>
          <w:szCs w:val="19"/>
          <w:color w:val="auto"/>
        </w:rPr>
        <w:t>If at any time, it shall be unlawful for any Bank to make, maintain or fund any of its Eurodollar Loans, the Borrower shall have the right, upon five (5) Business Days’ notice to the Administrative Agent, to either (x) cause a bank, reasonably acceptable to the Administrative Agent, to offer to purchase the Loans of such Bank for an amount equal to such Bank’s outstanding Loans, together with accrued and unpaid interest and fees thereon and all other amounts due to such Bank are concurrently therewith paid in full to such Bank, and to become a Bank hereunder, or obtain the agreement of one or more existing Banks to offer to purchase the Loans of such Bank for such amount, which offer such Bank is hereby required to accept, or (y) to repay in full all Loans then outstanding of such Bank, together with interest due thereon and any and all fees and other amounts due hereunder.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595" w:right="259" w:bottom="1440" w:gutter="0" w:footer="0" w:header="0"/>
        </w:sectPr>
      </w:pPr>
    </w:p>
    <w:bookmarkStart w:id="105" w:name="page106"/>
    <w:bookmarkEnd w:id="105"/>
    <w:p>
      <w:pPr>
        <w:spacing w:after="0"/>
        <w:tabs>
          <w:tab w:leader="none" w:pos="222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6"/>
          <w:szCs w:val="16"/>
          <w:u w:val="single" w:color="auto"/>
          <w:color w:val="auto"/>
        </w:rPr>
        <w:t>Increased Cost and Reduced Return</w:t>
      </w:r>
      <w:r>
        <w:rPr>
          <w:rFonts w:ascii="Arial" w:cs="Arial" w:eastAsia="Arial" w:hAnsi="Arial"/>
          <w:sz w:val="16"/>
          <w:szCs w:val="16"/>
          <w:color w:val="auto"/>
        </w:rPr>
        <w:t>.</w:t>
      </w:r>
    </w:p>
    <w:p>
      <w:pPr>
        <w:spacing w:after="0" w:line="243" w:lineRule="exact"/>
        <w:rPr>
          <w:sz w:val="20"/>
          <w:szCs w:val="20"/>
          <w:color w:val="auto"/>
        </w:rPr>
      </w:pPr>
    </w:p>
    <w:p>
      <w:pPr>
        <w:ind w:left="-660" w:firstLine="1305"/>
        <w:spacing w:after="0" w:line="300" w:lineRule="auto"/>
        <w:tabs>
          <w:tab w:leader="none" w:pos="15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on or after the date hereof,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Applicable Lending Office) with any request or directive (whether or not having the force of law) made after the Closing Date of any such authority, central bank or comparable agency, (i) shall subject any Bank to any tax on its capital reserves (or any similar tax) with respect to this Agreement or any Eurodollar Loan made by it (except for Non-Excluded Taxes and Other Taxes covered by Section 8.4 and changes in the rate of tax on the overall net income or profits of such Bank); (ii) shall impose, modify or deem applicable any reserve (including, without limitation, any such requirement imposed by the Board of Governors of the Federal Reserve System (but excluding with respect to any Eurodollar Loan any such requirement reflected in an applicable Eurodollar Reserve Percentage)), special deposit, insurance assessment or similar requirement against assets of, deposits with or for the account of, or credit extended by, any Bank (or its Applicable Lending Office) or (iii) shall impose on any Bank (or its Applicable Lending Office) or on the interbank market any other condition materially more burdensome in nature, extent or consequence than those in existence as of the date hereof affecting such Bank’s Eurodollar Loans or its obligation to make Eurodollar Loans, and the result of any of the foregoing is to increase the cost to such Bank (or its Applicable Lending Office) of making or maintaining any Eurodollar Loan, or to reduce the amount of any sum received or receivable by such Bank (or its Applicable Lending Office) under this Agreement or under its Note with respect to such Eurodollar Loans, by an amount reasonable determined by such Bank to be material, then, within 15 days after demand by such Bank (with a copy to the Administrative Agent), the Borrower shall pay to such Bank such additional amount or amounts (based upon a reasonable allocation thereof by such Bank to the Eurodollar Loans made by such Bank hereunder) as will compensate such Bank for such increased cost or reduction to the extent such Bank generally imposes such additional amounts on other borrowers of such Bank in similar circumstances; provided however, that notwithstanding anything herein to the contrary, the Dodd-Frank Wall Street Reform and Consumer Protection Act and Basel III all requests, rules, guidelines or directives thereunder or issued in connection therewith shall be deemed to be a change in law, regardless of the date enacted, adopted or issued.</w:t>
      </w:r>
    </w:p>
    <w:p>
      <w:pPr>
        <w:spacing w:after="0" w:line="171" w:lineRule="exact"/>
        <w:rPr>
          <w:rFonts w:ascii="Arial" w:cs="Arial" w:eastAsia="Arial" w:hAnsi="Arial"/>
          <w:sz w:val="18"/>
          <w:szCs w:val="18"/>
          <w:color w:val="auto"/>
        </w:rPr>
      </w:pPr>
    </w:p>
    <w:p>
      <w:pPr>
        <w:ind w:left="-660" w:right="100" w:firstLine="1305"/>
        <w:spacing w:after="0" w:line="303" w:lineRule="auto"/>
        <w:tabs>
          <w:tab w:leader="none" w:pos="15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Bank shall have reasonably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made after the Closing Date of any such authority, central bank or comparable agency, has or would have the effect of reducing the rate of return on capital of such Bank (or its Parent) as a consequence of such Bank’s obligations hereunder to a level below that which such Bank (or its Parent) could have achieved but for such adoption, change, request or directive (taking into consideration its policies with respect to capital adequacy) by an amount reasonably deemed by such Bank to be material, then from time to time, within 15 days after demand by such Bank (with a copy to the Administrative Agent), the Borrower shall pay to such Bank such additional amount or amounts as will compensate such Bank (or its Parent) for such reduction to the extent such Bank generally imposes such additional amounts on other borrowers of such Bank in similar circumstances.</w:t>
      </w:r>
    </w:p>
    <w:p>
      <w:pPr>
        <w:spacing w:after="0" w:line="168" w:lineRule="exact"/>
        <w:rPr>
          <w:rFonts w:ascii="Arial" w:cs="Arial" w:eastAsia="Arial" w:hAnsi="Arial"/>
          <w:sz w:val="18"/>
          <w:szCs w:val="18"/>
          <w:color w:val="auto"/>
        </w:rPr>
      </w:pPr>
    </w:p>
    <w:p>
      <w:pPr>
        <w:ind w:left="-660" w:right="20" w:firstLine="1305"/>
        <w:spacing w:after="0" w:line="293" w:lineRule="auto"/>
        <w:tabs>
          <w:tab w:leader="none" w:pos="1504"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4960" w:hanging="101"/>
        <w:spacing w:after="0"/>
        <w:tabs>
          <w:tab w:leader="none" w:pos="49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760"/>
          </w:cols>
          <w:pgMar w:left="900" w:top="595" w:right="239" w:bottom="1440" w:gutter="0" w:footer="0" w:header="0"/>
        </w:sectPr>
      </w:pPr>
    </w:p>
    <w:bookmarkStart w:id="106" w:name="page107"/>
    <w:bookmarkEnd w:id="106"/>
    <w:p>
      <w:pPr>
        <w:ind w:right="120"/>
        <w:spacing w:after="0" w:line="289" w:lineRule="auto"/>
        <w:rPr>
          <w:sz w:val="20"/>
          <w:szCs w:val="20"/>
          <w:color w:val="auto"/>
        </w:rPr>
      </w:pPr>
      <w:r>
        <w:rPr>
          <w:rFonts w:ascii="Arial" w:cs="Arial" w:eastAsia="Arial" w:hAnsi="Arial"/>
          <w:sz w:val="20"/>
          <w:szCs w:val="20"/>
          <w:color w:val="auto"/>
        </w:rPr>
        <w:t>connection therewith or in implementation thereof, shall in each case be deemed to be a change in law, regardless of the date enacted, adopted, issued or implemented.</w:t>
      </w:r>
    </w:p>
    <w:p>
      <w:pPr>
        <w:spacing w:after="0" w:line="175" w:lineRule="exact"/>
        <w:rPr>
          <w:sz w:val="20"/>
          <w:szCs w:val="20"/>
          <w:color w:val="auto"/>
        </w:rPr>
      </w:pPr>
    </w:p>
    <w:p>
      <w:pPr>
        <w:ind w:firstLine="1305"/>
        <w:spacing w:after="0" w:line="294" w:lineRule="auto"/>
        <w:tabs>
          <w:tab w:leader="none" w:pos="21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Bank will promptly notify the Borrower and the Administrative Agent of any event of which it has knowledge, occurring after the date hereof, which will entitle such Bank to compensation pursuant to this Section and will designate a different Applicable Lending Office if such designation will avoid the need for, or reduce the amount of, such compensation and will not, in the reasonable judgment of such Bank, be otherwise disadvantageous to such Bank. Notwithstanding the foregoing, if such Bank shall fail to notify the Borrower of any such event within ninety (90) days following the end of the month during which such event occurred, then the Borrower’s liability for any amounts described in this Section incurred by such Bank as a result of such event shall be limited to those attributable to the period occurring subsequent to the ninetieth (90</w:t>
      </w:r>
      <w:r>
        <w:rPr>
          <w:rFonts w:ascii="Arial" w:cs="Arial" w:eastAsia="Arial" w:hAnsi="Arial"/>
          <w:sz w:val="23"/>
          <w:szCs w:val="23"/>
          <w:color w:val="auto"/>
          <w:vertAlign w:val="superscript"/>
        </w:rPr>
        <w:t>th</w:t>
      </w:r>
      <w:r>
        <w:rPr>
          <w:rFonts w:ascii="Arial" w:cs="Arial" w:eastAsia="Arial" w:hAnsi="Arial"/>
          <w:sz w:val="18"/>
          <w:szCs w:val="18"/>
          <w:color w:val="auto"/>
        </w:rPr>
        <w:t>) day prior to, but excluding, the date upon which such Bank actually notified the Borrower of the occurrence of such event. A certificate of any Bank claiming compensation under this Section and setting forth a reasonably detailed calculation of the additional amount or amounts to be paid to it hereunder shall be conclusive in the absence of demonstrable error. In determining such amount, such Bank may use any reasonable averaging and attribution methods.</w:t>
      </w:r>
    </w:p>
    <w:p>
      <w:pPr>
        <w:spacing w:after="0" w:line="176" w:lineRule="exact"/>
        <w:rPr>
          <w:rFonts w:ascii="Arial" w:cs="Arial" w:eastAsia="Arial" w:hAnsi="Arial"/>
          <w:sz w:val="18"/>
          <w:szCs w:val="18"/>
          <w:color w:val="auto"/>
        </w:rPr>
      </w:pPr>
    </w:p>
    <w:p>
      <w:pPr>
        <w:ind w:right="40" w:firstLine="1305"/>
        <w:spacing w:after="0" w:line="288" w:lineRule="auto"/>
        <w:tabs>
          <w:tab w:leader="none" w:pos="2164"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at any time, any Bank has demanded compensation pursuant to this Section 8.3, the Borrower shall have the right, upon five (5) Business Day’s notice to the Administrative Agent to either (x) in accordance with Section 9.6(c), cause an Assignee to offer to purchase the Loans of such Bank for an amount equal to such Bank’s outstanding Loans plus accrued interest, fees and other amounts due to such Bank, and to become a Bank hereunder, or to obtain the agreement of one or more existing Banks to offer to purchase the Loans of such Bank for such amount, which offer such Bank is hereby required to accept, or (y) to repay in full all Loans then outstanding of such Bank, together with interest and all other amounts due thereon.</w:t>
      </w:r>
    </w:p>
    <w:p>
      <w:pPr>
        <w:spacing w:after="0" w:line="183"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8.4.</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43" w:lineRule="exact"/>
        <w:rPr>
          <w:sz w:val="20"/>
          <w:szCs w:val="20"/>
          <w:color w:val="auto"/>
        </w:rPr>
      </w:pPr>
    </w:p>
    <w:p>
      <w:pPr>
        <w:ind w:firstLine="1305"/>
        <w:spacing w:after="0" w:line="300" w:lineRule="auto"/>
        <w:tabs>
          <w:tab w:leader="none" w:pos="21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and all payments made by or on behalf of the Borrower to or for the account of any Bank or the Administrative Agent hereunder or under any other Loan Document shall be made free and clear of and without deduction for or on account of any and all present or future taxes, duties, levies, imposts, deductions, charges or withholdings, and all liabilities with respect thereto, excluding (i) in the case of each Bank and the Administrative Agent, taxes imposed on its income, and franchise taxes imposed on it, by (A) the jurisdiction under the laws of which such Bank or the Administrative Agent (as the case may be) is organized or any political subdivision thereof, (B) in the case of each Bank, the jurisdiction of such Bank’s Applicable Lending Office or any political subdivision thereof or (C) any other jurisdiction (or any political subdivision thereof) as a result of a present or former connection between such Bank or the Administrative Agent and such other jurisdiction, except to the extent that such connection would not have arisen but for entering into the transactions contemplated hereby and (ii) U.S. federal withholding taxes imposed under FATCA (all such non-excluded taxes, duties, levies, imposts, deductions, charges, withholdings and liabilities being hereinafter referred to as “</w:t>
      </w:r>
      <w:r>
        <w:rPr>
          <w:rFonts w:ascii="Arial" w:cs="Arial" w:eastAsia="Arial" w:hAnsi="Arial"/>
          <w:sz w:val="18"/>
          <w:szCs w:val="18"/>
          <w:u w:val="single" w:color="auto"/>
          <w:color w:val="auto"/>
        </w:rPr>
        <w:t>Non-Excluded Taxes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Non-Excluded Taxes are required to be deducted from or in respect of any sum payable hereunder or under any other Loan Document, as determined in good faith by the applicable withholding agent, (w) the sum payable by the Borrower shall be increased as necessary so that after making all required deductions (including, without limitation, deductions applicable to additional sums payable under this Section 8.4) such Bank or the Administrative Agent (as the case may be) receives an amount equal to the sum it would have received had no such deductions been made, (x) the Borrower shall make or cause to be made such deductions, (y) the Borrower shall pay or cause to be paid the full amount deducted to the relevant taxation authority or other authority in accordance with applicable law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hanging="101"/>
        <w:spacing w:after="0"/>
        <w:tabs>
          <w:tab w:leader="none" w:pos="56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20"/>
          </w:cols>
          <w:pgMar w:left="240" w:top="595" w:right="239" w:bottom="1440" w:gutter="0" w:footer="0" w:header="0"/>
        </w:sectPr>
      </w:pPr>
    </w:p>
    <w:bookmarkStart w:id="107" w:name="page108"/>
    <w:bookmarkEnd w:id="107"/>
    <w:p>
      <w:pPr>
        <w:ind w:right="460"/>
        <w:spacing w:after="0" w:line="289" w:lineRule="auto"/>
        <w:rPr>
          <w:sz w:val="20"/>
          <w:szCs w:val="20"/>
          <w:color w:val="auto"/>
        </w:rPr>
      </w:pPr>
      <w:r>
        <w:rPr>
          <w:rFonts w:ascii="Arial" w:cs="Arial" w:eastAsia="Arial" w:hAnsi="Arial"/>
          <w:sz w:val="20"/>
          <w:szCs w:val="20"/>
          <w:color w:val="auto"/>
        </w:rPr>
        <w:t>and (z) the Borrower shall furnish to the Administrative Agent, at its address referred to in Section 9.1, the original or a certified copy of a receipt evidencing payment thereof.</w:t>
      </w:r>
    </w:p>
    <w:p>
      <w:pPr>
        <w:spacing w:after="0" w:line="175" w:lineRule="exact"/>
        <w:rPr>
          <w:sz w:val="20"/>
          <w:szCs w:val="20"/>
          <w:color w:val="auto"/>
        </w:rPr>
      </w:pPr>
    </w:p>
    <w:p>
      <w:pPr>
        <w:ind w:right="200" w:firstLine="1305"/>
        <w:spacing w:after="0" w:line="322" w:lineRule="auto"/>
        <w:tabs>
          <w:tab w:leader="none" w:pos="21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addition, the Borrower agrees to pay any present or future stamp or documentary taxes and any other excise or property taxes, or charges or similar levies which arise from any payment made hereunder or under any other Loan Document or from the execution or delivery of, or otherwise with respect to, this Agreement or any other Loan Document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right="200" w:firstLine="1305"/>
        <w:spacing w:after="0" w:line="273" w:lineRule="auto"/>
        <w:tabs>
          <w:tab w:leader="none" w:pos="216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Borrower agrees to indemnify each Bank and the Administrative Agent for the full amount of Non-Excluded Taxes or Other Taxes (including, without limitation, any Non-Excluded Taxes or Other Taxes imposed or asserted by any jurisdiction on amounts payable under this Section 8.4) payable or paid by such Bank or the Administrative Agent (as the case may be) and any liability for penalties and interest arising therefrom or with respect thereto. This indemnification shall be made within 15 days from the date such Bank or the Administrative Agent (as the case may be) makes demand therefor.</w:t>
      </w:r>
    </w:p>
    <w:p>
      <w:pPr>
        <w:spacing w:after="0" w:line="191" w:lineRule="exact"/>
        <w:rPr>
          <w:rFonts w:ascii="Arial" w:cs="Arial" w:eastAsia="Arial" w:hAnsi="Arial"/>
          <w:sz w:val="20"/>
          <w:szCs w:val="20"/>
          <w:color w:val="auto"/>
        </w:rPr>
      </w:pPr>
    </w:p>
    <w:p>
      <w:pPr>
        <w:ind w:firstLine="1305"/>
        <w:spacing w:after="0" w:line="299" w:lineRule="auto"/>
        <w:tabs>
          <w:tab w:leader="none" w:pos="21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Bank that is a United States person for U.S. federal income tax purposes, on or prior to the date of its execution and delivery of this Agreement in the case of each Bank listed on the signature pages hereof and on or prior to the date on which it becomes a Bank in the case of each other Bank (and from time to time thereafter upon the reasonable request of the Borrower or the Administrative Agent), shall provide the Borrower and the Administrative Agent with two duly completed copies of Internal Revenue Service Form W-9 or any successor form prescribed by the Internal Revenue Service and shall provide the Borrower and the Administrative Agent with two further copies of any such form on or before the date any such form or certification expires or becomes obsolete and after the occurrence of any event requiring a change in the most recent form previously delivered to the Borrower and the Administrative Agent. Each Bank that is not a United States person for U.S. federal income tax purposes, on or prior to the date of its execution and delivery of this Agreement in the case of each Bank listed on the signature pages hereof and on or prior to the date on which it becomes a Bank in the case of each other Bank (and from time to time thereafter upon the reasonable request of the Borrower or the Administrative Agent), shall provide the Borrower and the Administrative Agent with two duly completed copies of an Internal Revenue Service Form W-8BENE, W-8ECI, or W-8IMY as applicable to such Bank, or any successor form prescribed by the Internal Revenue Service, and shall provide the Borrower and the Administrative Agent with two further copies of any such form on or before the date that any such form expires or becomes obsolete and after the occurrence of any event requiring a change in the most recent form previously delivered by it to the Borrower and the Administrative Agent. A Bank that provides copies of the Internal Revenue Service Form W-8BENE and that is legally entitled to claim the portfolio interest exemption pursuant to Section 881(c) of the Code, shall further provide the Borrower and the Administrative Agent with, together with such Internal Revenue Service Form W-8BENE, a written confirmation of its entitlement to such exemption substantially in the form of Exhibit J. To the extent that it is legally entitled to do so, a Bank shall properly claim that such Bank is entitled to benefits under an income tax treaty to which the United States is a party which reduces the rate of, or eliminates, withholding tax on payments of interest hereunder. A Bank that is not a United States person and that grants a participating interest in a Loan or Commitment to any other Person shall provide, in addition to its own forms specified above, the Borrower and the Administrative Agent with two duly completed copies of the Internal Revenue Service form applicable to such other Person, each under the cover of an Internal Revenue Service Form W-8IMY and a withholding statement prepared in the manner prescribed by the Internal Revenue Service, or such other forms and/or certificates evidencing such Participant’s entitlement to any exemption from, or reduction in the rate of U.S. withholding tax, and shall provide the Borrower and the Administrative Agent with two further copies of any such forms and statements on or before the date any such forms or statements expire or become obsolete and after the occurrence of 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620" w:hanging="101"/>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20"/>
          </w:cols>
          <w:pgMar w:left="240" w:top="595" w:right="239" w:bottom="1440" w:gutter="0" w:footer="0" w:header="0"/>
        </w:sectPr>
      </w:pPr>
    </w:p>
    <w:bookmarkStart w:id="108" w:name="page109"/>
    <w:bookmarkEnd w:id="108"/>
    <w:p>
      <w:pPr>
        <w:ind w:right="140"/>
        <w:spacing w:after="0" w:line="301" w:lineRule="auto"/>
        <w:rPr>
          <w:sz w:val="20"/>
          <w:szCs w:val="20"/>
          <w:color w:val="auto"/>
        </w:rPr>
      </w:pPr>
      <w:r>
        <w:rPr>
          <w:rFonts w:ascii="Arial" w:cs="Arial" w:eastAsia="Arial" w:hAnsi="Arial"/>
          <w:sz w:val="18"/>
          <w:szCs w:val="18"/>
          <w:color w:val="auto"/>
        </w:rPr>
        <w:t>event requiring a change in the most recent form or statement previously delivered to the Borrower and the Administrative Agent. Each Bank that is not a United States person for U.S. federal income tax purposes shall deliver to the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 If a Bank fails to timely and properly provide or update such forms or statements (unless such failure is due to a change in treaty, law or regulation occurring subsequently to the time such Bank first becomes a party to this Agreement) or if the form or statement provided by a Bank at the time such Bank first becomes a party to this Agreement indicates a United States withholding tax rate in excess of zero, then backup withholding or withholding tax resulting from the foregoing shall be considered excluded from “Non-Excluded Taxes” as defined in Section 8.4(a), except to the extent that, in the case of United States withholding tax, such Bank’s assignor (if any) was entitled, at the time of assignment, to receive additional amounts from the Borrower or its Consolidated Subsidiary with respect to such United States withholding tax. Notwithstanding any other provision of this paragraph (d)(i), no Bank shall be required to deliver any form, statement, certificate or supplementary documentation pursuant to this paragraph (d)(i) that such Bank is not legally able to deliver.</w:t>
      </w:r>
    </w:p>
    <w:p>
      <w:pPr>
        <w:spacing w:after="0" w:line="177" w:lineRule="exact"/>
        <w:rPr>
          <w:sz w:val="20"/>
          <w:szCs w:val="20"/>
          <w:color w:val="auto"/>
        </w:rPr>
      </w:pPr>
    </w:p>
    <w:p>
      <w:pPr>
        <w:ind w:right="100" w:firstLine="1305"/>
        <w:spacing w:after="0" w:line="286" w:lineRule="auto"/>
        <w:tabs>
          <w:tab w:leader="none" w:pos="216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Upon reasonable demand by, and at the expense of, the Borrower or the Administrative Agent to any Bank, the Bank shall deliver to the Borrower and the Administrative Agent, or to such government or taxing authority as the Borrower or the Administrative Agent may reasonably direct, any form or document that may be required or reasonably requested in writing in order to allow a payment to be made hereunder or under any other Loan Document without any deduction or withholding for or on account of any Non-Excluded Taxes or with such deduction or withholding at a reduced rate (so long as the completion, execution or submission of such form or document would not materially prejudice the legal or commercial position of the party in receipt of such demand), with any such form or document to be accurate and completed in a manner reasonably satisfactory to the Borrower or the Administrative Agent making such demand and to be executed and to be delivered with any reasonably required certification.</w:t>
      </w:r>
    </w:p>
    <w:p>
      <w:pPr>
        <w:spacing w:after="0" w:line="185" w:lineRule="exact"/>
        <w:rPr>
          <w:rFonts w:ascii="Arial" w:cs="Arial" w:eastAsia="Arial" w:hAnsi="Arial"/>
          <w:sz w:val="19"/>
          <w:szCs w:val="19"/>
          <w:color w:val="auto"/>
        </w:rPr>
      </w:pPr>
    </w:p>
    <w:p>
      <w:pPr>
        <w:ind w:firstLine="1305"/>
        <w:spacing w:after="0" w:line="286" w:lineRule="auto"/>
        <w:tabs>
          <w:tab w:leader="none" w:pos="214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clause (f), “FATCA” shall include any amendments made to FATCA after the date of this Agreement.</w:t>
      </w:r>
    </w:p>
    <w:p>
      <w:pPr>
        <w:spacing w:after="0" w:line="182" w:lineRule="exact"/>
        <w:rPr>
          <w:rFonts w:ascii="Arial" w:cs="Arial" w:eastAsia="Arial" w:hAnsi="Arial"/>
          <w:sz w:val="19"/>
          <w:szCs w:val="19"/>
          <w:color w:val="auto"/>
        </w:rPr>
      </w:pPr>
    </w:p>
    <w:p>
      <w:pPr>
        <w:ind w:right="160" w:firstLine="1305"/>
        <w:spacing w:after="0" w:line="272" w:lineRule="auto"/>
        <w:tabs>
          <w:tab w:leader="none" w:pos="217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For any period with respect to which a Bank has failed to provide the Borrower and the Administrative Agent with the appropriate form pursuant to (and to the extent required by) paragraph (d)(i) (unless such failure is due to a change in treaty, law or regulation occurring subsequent to the date on which a form originally was required to be provided), such Bank shall not be entitled to indemnification under Section 8.4(c) with respect to Non-Excluded Taxes imposed by the United States, to the extent that such Non-Excluded Taxes would not have been imposed but for such Bank’s failure to provide such form; provided, however, that should a Bank, which is otherwise exempt from or subject to</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5620" w:hanging="101"/>
        <w:spacing w:after="0"/>
        <w:tabs>
          <w:tab w:leader="none" w:pos="5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420"/>
          </w:cols>
          <w:pgMar w:left="240" w:top="595" w:right="239" w:bottom="1440" w:gutter="0" w:footer="0" w:header="0"/>
        </w:sectPr>
      </w:pPr>
    </w:p>
    <w:bookmarkStart w:id="109" w:name="page110"/>
    <w:bookmarkEnd w:id="109"/>
    <w:p>
      <w:pPr>
        <w:ind w:right="300"/>
        <w:spacing w:after="0" w:line="278" w:lineRule="auto"/>
        <w:rPr>
          <w:sz w:val="20"/>
          <w:szCs w:val="20"/>
          <w:color w:val="auto"/>
        </w:rPr>
      </w:pPr>
      <w:r>
        <w:rPr>
          <w:rFonts w:ascii="Arial" w:cs="Arial" w:eastAsia="Arial" w:hAnsi="Arial"/>
          <w:sz w:val="20"/>
          <w:szCs w:val="20"/>
          <w:color w:val="auto"/>
        </w:rPr>
        <w:t>a reduced rate of withholding tax, become subject to Non-Excluded Taxes because of its failure to deliver a form required hereunder, the Borrower shall take such steps as such Bank shall reasonably request to assist such Bank to recover such taxes so long as the Borrower shall incur no cost or liability as a result thereof.</w:t>
      </w:r>
    </w:p>
    <w:p>
      <w:pPr>
        <w:spacing w:after="0" w:line="187" w:lineRule="exact"/>
        <w:rPr>
          <w:sz w:val="20"/>
          <w:szCs w:val="20"/>
          <w:color w:val="auto"/>
        </w:rPr>
      </w:pPr>
    </w:p>
    <w:p>
      <w:pPr>
        <w:ind w:right="60" w:firstLine="1305"/>
        <w:spacing w:after="0" w:line="307" w:lineRule="auto"/>
        <w:tabs>
          <w:tab w:leader="none" w:pos="21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Borrower is required to pay additional amounts to or for the account of any Bank pursuant to this Section 8.4, then such Bank will, if requested in writing by the Borrower, use reasonable efforts to change the jurisdiction of its Applicable Lending Office so as to eliminate or reduce any such additional payment which may thereafter accrue if such change, in the reasonable judgment of such Bank, will not subject such Bank to any unreimbursed cost or expense and is not otherwise disadvantageous to such Bank; provided, that nothing in this Section 8.4(h) shall affect or postpone any of the obligations of the Borrower or the rights of any Bank pursuant to this Section 8.4. The Borrower hereby agrees to pay all reasonable costs and expenses incurred by any Bank in connection with any such change.</w:t>
      </w:r>
    </w:p>
    <w:p>
      <w:pPr>
        <w:spacing w:after="0" w:line="167" w:lineRule="exact"/>
        <w:rPr>
          <w:rFonts w:ascii="Arial" w:cs="Arial" w:eastAsia="Arial" w:hAnsi="Arial"/>
          <w:sz w:val="18"/>
          <w:szCs w:val="18"/>
          <w:color w:val="auto"/>
        </w:rPr>
      </w:pPr>
    </w:p>
    <w:p>
      <w:pPr>
        <w:ind w:firstLine="1305"/>
        <w:spacing w:after="0" w:line="301" w:lineRule="auto"/>
        <w:tabs>
          <w:tab w:leader="none" w:pos="21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If at any time, any Bank has demanded compensation pursuant to Section 8.3 or Section 8.4 or the obligation of such Bank to make Eurodollar Loans has been suspended pursuant to Section 8.2, in any such case, the Borrower shall have the right, upon five (5) Business Day’s notice to the Administrative Agent to either (x) in accordance with Section 9.6(c), cause an Assignee to offer to purchase the Commitments of such Bank for an amount equal to such Bank’s outstanding Loans plus accrued interest, fees and other amounts due to such Bank, and to become a Bank hereunder, or to obtain the agreement of one or more existing Banks to offer to purchase the Commitments of such Bank for such amount, which offer such Bank is hereby required to accept, or (y) to repay in full all Loans then outstanding of such Bank, together with interest and all other amounts due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replacement of a Bank under this paragraph does not conflict with any organizational or governing documents of any Person and any law, treaty rule or regulation applicable to or binding upon such Person or any of its property, (ii) prior to any replacement under this paragraph, such Bank shall have taken no action under Section 8.4(h) so as to eliminate the continued need for payments of amounts owing pursuant to Section 8.3 or 8.4, (iii) the replacement financial institution shall be reasonably satisfactory to the Administrative Agent, (iv) the replaced Bank shall be obligated to make such replacement in accordance with the provisions of Section 9.6 (provided that the Borrower shall be obligated to pay the registration and processing fee referred to therein), (v) until such time as such replacement shall be consummated, the Borrower shall pay all additional amounts (if any) required pursuant to Section 8.3 or 8.4, as the case may be, and (vi) any such replacement shall not be deemed to be a waiver of any rights that the Borrower, the Administrative Agent or any other Bank shall have against the replaced Bank.</w:t>
      </w:r>
    </w:p>
    <w:p>
      <w:pPr>
        <w:spacing w:after="0" w:line="171" w:lineRule="exact"/>
        <w:rPr>
          <w:rFonts w:ascii="Arial" w:cs="Arial" w:eastAsia="Arial" w:hAnsi="Arial"/>
          <w:sz w:val="18"/>
          <w:szCs w:val="18"/>
          <w:color w:val="auto"/>
        </w:rPr>
      </w:pPr>
    </w:p>
    <w:p>
      <w:pPr>
        <w:ind w:right="80" w:firstLine="1305"/>
        <w:spacing w:after="0" w:line="285" w:lineRule="auto"/>
        <w:tabs>
          <w:tab w:leader="none" w:pos="213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Each Bank shall severally indemnify the Administrative Agent for the full amount of any taxes, duties, levies, imposts, deductions, charges or withholdings imposed by any taxation authority or other authority, that are attributable to (i) such Bank (but only to the extent that the Borrower has not already indemnified the Administrative Agent for such Non-Excluded Taxes or Other Taxes and without limiting the obligation of the Borrower to do so) or (ii) such Bank’s failure to comply with the provisions of Section 9.6(b) relating to the maintenance of a Participant Register and, in either case,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the Bank from any other source against any amount due to the Administrative Agent under this paragraph (j).</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5620" w:hanging="101"/>
        <w:spacing w:after="0"/>
        <w:tabs>
          <w:tab w:leader="none" w:pos="5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595" w:right="239" w:bottom="1440" w:gutter="0" w:footer="0" w:header="0"/>
        </w:sectPr>
      </w:pPr>
    </w:p>
    <w:bookmarkStart w:id="110" w:name="page111"/>
    <w:bookmarkEnd w:id="110"/>
    <w:p>
      <w:pPr>
        <w:jc w:val="both"/>
        <w:ind w:right="280" w:firstLine="1305"/>
        <w:spacing w:after="0" w:line="278" w:lineRule="auto"/>
        <w:tabs>
          <w:tab w:leader="none" w:pos="217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Each party’s obligations under this Section 8.4 shall survive the resignation or replacement of the Administrative Agent or any assignment of rights by, or the replacement of, a Bank, the termination of the Commitments and the repayment, satisfaction or discharge of all obligations under the Loan Documents.</w:t>
      </w:r>
    </w:p>
    <w:p>
      <w:pPr>
        <w:spacing w:after="0" w:line="187"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8"/>
          <w:szCs w:val="18"/>
          <w:u w:val="single" w:color="auto"/>
          <w:color w:val="auto"/>
        </w:rPr>
        <w:t>Base Rate Loans Substituted for Affected Eurodollar Loans</w:t>
      </w:r>
      <w:r>
        <w:rPr>
          <w:rFonts w:ascii="Arial" w:cs="Arial" w:eastAsia="Arial" w:hAnsi="Arial"/>
          <w:sz w:val="18"/>
          <w:szCs w:val="18"/>
          <w:color w:val="auto"/>
        </w:rPr>
        <w:t>. If (i) the obligation of any Bank to make</w:t>
      </w:r>
    </w:p>
    <w:p>
      <w:pPr>
        <w:spacing w:after="0" w:line="27" w:lineRule="exact"/>
        <w:rPr>
          <w:sz w:val="20"/>
          <w:szCs w:val="20"/>
          <w:color w:val="auto"/>
        </w:rPr>
      </w:pPr>
    </w:p>
    <w:p>
      <w:pPr>
        <w:ind w:right="300"/>
        <w:spacing w:after="0" w:line="293" w:lineRule="auto"/>
        <w:rPr>
          <w:sz w:val="20"/>
          <w:szCs w:val="20"/>
          <w:color w:val="auto"/>
        </w:rPr>
      </w:pPr>
      <w:r>
        <w:rPr>
          <w:rFonts w:ascii="Arial" w:cs="Arial" w:eastAsia="Arial" w:hAnsi="Arial"/>
          <w:sz w:val="19"/>
          <w:szCs w:val="19"/>
          <w:color w:val="auto"/>
        </w:rPr>
        <w:t>Eurodollar Loans has been suspended pursuant to Section 8.2 or (ii) any Bank has demanded compensation under Section 8.3 or Section 8.4 with respect to its Eurodollar Loans and the Borrower shall, by at least five Business Days’ prior notice to such Bank through the Administrative Agent, have elected that the provisions of this Section shall apply to such Bank, then, unless and until such Bank notifies the Borrower that the circumstances giving rise to such suspension or demand for compensation no longer exist:</w:t>
      </w:r>
    </w:p>
    <w:p>
      <w:pPr>
        <w:spacing w:after="0" w:line="176" w:lineRule="exact"/>
        <w:rPr>
          <w:sz w:val="20"/>
          <w:szCs w:val="20"/>
          <w:color w:val="auto"/>
        </w:rPr>
      </w:pPr>
    </w:p>
    <w:p>
      <w:pPr>
        <w:ind w:firstLine="1305"/>
        <w:spacing w:after="0" w:line="278" w:lineRule="auto"/>
        <w:tabs>
          <w:tab w:leader="none" w:pos="216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Borrower shall be deemed to have delivered a Notice of Interest Rate Election with respect to such affected Eurodollar Loans and thereafter all Loans which would otherwise be continued or converted by such Bank to the Borrower as Eurodollar Loans shall be made instead as Base Rate Loans; and</w:t>
      </w:r>
    </w:p>
    <w:p>
      <w:pPr>
        <w:spacing w:after="0" w:line="186" w:lineRule="exact"/>
        <w:rPr>
          <w:rFonts w:ascii="Arial" w:cs="Arial" w:eastAsia="Arial" w:hAnsi="Arial"/>
          <w:sz w:val="20"/>
          <w:szCs w:val="20"/>
          <w:color w:val="auto"/>
        </w:rPr>
      </w:pPr>
    </w:p>
    <w:p>
      <w:pPr>
        <w:ind w:right="240" w:firstLine="1305"/>
        <w:spacing w:after="0" w:line="289" w:lineRule="auto"/>
        <w:tabs>
          <w:tab w:leader="none" w:pos="217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after each of its Eurodollar Loans has been repaid, all payments of principal which would otherwise be applied to repay such Eurodollar Loans shall be applied to repay its Base Rate Loans instead; and</w:t>
      </w:r>
    </w:p>
    <w:p>
      <w:pPr>
        <w:spacing w:after="0" w:line="175" w:lineRule="exact"/>
        <w:rPr>
          <w:rFonts w:ascii="Arial" w:cs="Arial" w:eastAsia="Arial" w:hAnsi="Arial"/>
          <w:sz w:val="20"/>
          <w:szCs w:val="20"/>
          <w:color w:val="auto"/>
        </w:rPr>
      </w:pPr>
    </w:p>
    <w:p>
      <w:pPr>
        <w:ind w:right="300" w:firstLine="1305"/>
        <w:spacing w:after="0" w:line="289" w:lineRule="auto"/>
        <w:tabs>
          <w:tab w:leader="none" w:pos="216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Borrower will not be required to make any payment which would otherwise be required by Section 2.14 with respect to such Eurodollar Loans converted to Base Rate Loans pursuant to clause (a) above.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2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800" w:type="dxa"/>
            <w:vAlign w:val="bottom"/>
            <w:gridSpan w:val="2"/>
          </w:tcPr>
          <w:p>
            <w:pPr>
              <w:jc w:val="center"/>
              <w:ind w:right="4120"/>
              <w:spacing w:after="0"/>
              <w:rPr>
                <w:sz w:val="20"/>
                <w:szCs w:val="20"/>
                <w:color w:val="auto"/>
              </w:rPr>
            </w:pPr>
            <w:r>
              <w:rPr>
                <w:rFonts w:ascii="Arial" w:cs="Arial" w:eastAsia="Arial" w:hAnsi="Arial"/>
                <w:sz w:val="20"/>
                <w:szCs w:val="20"/>
                <w:color w:val="auto"/>
                <w:w w:val="99"/>
              </w:rPr>
              <w:t>ARTICLE IX</w:t>
            </w:r>
          </w:p>
        </w:tc>
      </w:tr>
      <w:tr>
        <w:trPr>
          <w:trHeight w:val="401"/>
        </w:trPr>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MISCELLANEOUS</w:t>
            </w:r>
          </w:p>
        </w:tc>
        <w:tc>
          <w:tcPr>
            <w:tcW w:w="4140" w:type="dxa"/>
            <w:vAlign w:val="bottom"/>
          </w:tcPr>
          <w:p>
            <w:pPr>
              <w:spacing w:after="0"/>
              <w:rPr>
                <w:sz w:val="24"/>
                <w:szCs w:val="24"/>
                <w:color w:val="auto"/>
              </w:rPr>
            </w:pPr>
          </w:p>
        </w:tc>
      </w:tr>
      <w:tr>
        <w:trPr>
          <w:trHeight w:val="439"/>
        </w:trPr>
        <w:tc>
          <w:tcPr>
            <w:tcW w:w="2240" w:type="dxa"/>
            <w:vAlign w:val="bottom"/>
          </w:tcPr>
          <w:p>
            <w:pPr>
              <w:spacing w:after="0"/>
              <w:rPr>
                <w:sz w:val="20"/>
                <w:szCs w:val="20"/>
                <w:color w:val="auto"/>
              </w:rPr>
            </w:pPr>
            <w:r>
              <w:rPr>
                <w:rFonts w:ascii="Arial" w:cs="Arial" w:eastAsia="Arial" w:hAnsi="Arial"/>
                <w:sz w:val="20"/>
                <w:szCs w:val="20"/>
                <w:color w:val="auto"/>
              </w:rPr>
              <w:t>Section 9.1.</w:t>
            </w:r>
          </w:p>
        </w:tc>
        <w:tc>
          <w:tcPr>
            <w:tcW w:w="7780" w:type="dxa"/>
            <w:vAlign w:val="bottom"/>
            <w:gridSpan w:val="4"/>
          </w:tcPr>
          <w:p>
            <w:pPr>
              <w:spacing w:after="0"/>
              <w:rPr>
                <w:sz w:val="20"/>
                <w:szCs w:val="20"/>
                <w:color w:val="auto"/>
              </w:rPr>
            </w:pPr>
            <w:r>
              <w:rPr>
                <w:rFonts w:ascii="Arial" w:cs="Arial" w:eastAsia="Arial" w:hAnsi="Arial"/>
                <w:sz w:val="20"/>
                <w:szCs w:val="20"/>
                <w:color w:val="auto"/>
                <w:w w:val="89"/>
              </w:rPr>
              <w:t>Notices. All notices, requests and other communications to any party hereunder shall be in writing</w:t>
            </w: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37"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 xml:space="preserve">(including bank wire, facsimile transmission followed by telephonic confirmation or similar writing) and shall be given to such party: (x) in the case of the Borrower and the Administrative Agent, at its address or facsimile number set forth on Exhibit K attached hereto with duplicate copies thereof, in the case of the Borrower, to the Borrower, at its address set forth on the signature page hereof, to its General Counsel and Chief Financial Officer, (y) in the case of any Bank, at its address or facsimile number set forth in its Administrative Questionnaire or (z) in the case of any party, such other address or facsimile number and/or email address as such party may hereafter specify for the purpose by notice to the Administrative Agent and the Borrower. Each such notice, request or other communication shall be effective (i) if given by telex or facsimile transmission, when such facsimile is transmitted to the facsimile number specified in this Section and the appropriate answerback or facsimile confirmation is received, and if not received during the recipient’s normal business hours, shall be deemed received at the opening of its next Business Day, (ii) if given by certified registered mail, return receipt requested, with first class postage prepaid, addressed as aforesaid, upon receipt or refusal to accept delivery, (iii) if given by a nationally recognized overnight carrier, 24 hours after such communication is deposited with such carrier with postage prepaid for next day delivery, or (iv) if given by any other means, when delivered at the address specified in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to the Administrative Agent under Article II or Article VIII shall not be effective until actually received.</w:t>
      </w:r>
    </w:p>
    <w:p>
      <w:pPr>
        <w:spacing w:after="0" w:line="191"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No Waivers</w:t>
      </w:r>
      <w:r>
        <w:rPr>
          <w:rFonts w:ascii="Arial" w:cs="Arial" w:eastAsia="Arial" w:hAnsi="Arial"/>
          <w:sz w:val="20"/>
          <w:szCs w:val="20"/>
          <w:color w:val="auto"/>
        </w:rPr>
        <w:t>. No failure or delay by the Administrative Agent or any Bank in exercising any right, power or privilege hereunder or under any Note shall operate as a waiver thereof nor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00"/>
          </w:cols>
          <w:pgMar w:left="240" w:top="595"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shall any single or partial exercise thereof preclude any other or further exercise thereof or the exercise of any other right, power or privilege.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 rights and remedies herein provided shall be cumulative and not exclusive of any rights or remedies provided by law.</w:t>
      </w:r>
    </w:p>
    <w:p>
      <w:pPr>
        <w:spacing w:after="0" w:line="243"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Expenses; Indemnification</w:t>
      </w:r>
      <w:r>
        <w:rPr>
          <w:rFonts w:ascii="Arial" w:cs="Arial" w:eastAsia="Arial" w:hAnsi="Arial"/>
          <w:sz w:val="18"/>
          <w:szCs w:val="18"/>
          <w:color w:val="auto"/>
        </w:rPr>
        <w:t>.</w:t>
      </w:r>
    </w:p>
    <w:p>
      <w:pPr>
        <w:spacing w:after="0" w:line="243" w:lineRule="exact"/>
        <w:rPr>
          <w:sz w:val="20"/>
          <w:szCs w:val="20"/>
          <w:color w:val="auto"/>
        </w:rPr>
      </w:pPr>
    </w:p>
    <w:p>
      <w:pPr>
        <w:ind w:right="40" w:firstLine="1305"/>
        <w:spacing w:after="0" w:line="301" w:lineRule="auto"/>
        <w:tabs>
          <w:tab w:leader="none" w:pos="21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shall pay within thirty (30) days after written notice from the Administrative Agent, (i) all reasonable out-of-pocket costs and expenses of the Administrative Agent (including, without limitation, reasonable and documented fees and disbursements of special counsel Simpson Thacher &amp; Bartlett LLP) in connection with any waiver or consent hereunder or any amendment hereof or any Default or alleged Default hereunder, (ii) all reasonable and documented fees and disbursements of special counsel in connection with the syndication of the Loans, and (iii) if an Event of Default occurs, all reasonable out-of-pocket expenses incurred by the Administrative Agent and each Bank, including, without limitation, reasonable and invoiced fees and disbursements of counsel for the Administrative Agent and each of the Banks, in connection with the enforcement of the Loan Documents and the instruments referred to therein and such Event of Default and collection, bankruptcy, insolvency and other enforcement proceedings resulting therefrom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attorneys’ fees and disbursements for which the Borrower is obligated under this subsection (a)(iii) shall be limited to the reasonable and invoiced non-duplicative fees and disbursements of (A) counsel for the Administrative Agent, and (B) counsel for all of the Banks as a group;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all other costs and expenses for which the Borrower is obligated under this subsection (a)(iii) shall be limited to the reasonable and invoiced non-duplicative costs and expenses of the Administrative Agent). For purposes of this subsection (a)(iii), (1) counsel for the Administrative Agent shall mean a single outside law firm representing the Administrative Agent and (2) counsel for all of the Banks as a group shall mean a single outside law firm representing such Banks as a group (which law firm may or may not be the same law firm representing the Administrative Agent).</w:t>
      </w:r>
    </w:p>
    <w:p>
      <w:pPr>
        <w:spacing w:after="0" w:line="171" w:lineRule="exact"/>
        <w:rPr>
          <w:rFonts w:ascii="Arial" w:cs="Arial" w:eastAsia="Arial" w:hAnsi="Arial"/>
          <w:sz w:val="18"/>
          <w:szCs w:val="18"/>
          <w:color w:val="auto"/>
        </w:rPr>
      </w:pPr>
    </w:p>
    <w:p>
      <w:pPr>
        <w:ind w:firstLine="1305"/>
        <w:spacing w:after="0" w:line="300" w:lineRule="auto"/>
        <w:tabs>
          <w:tab w:leader="none" w:pos="21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agrees to indemnify each Agent and each Bank, their respective affiliates and the respective directors, officers, agents and employees of the foregoing (each an “</w:t>
      </w:r>
      <w:r>
        <w:rPr>
          <w:rFonts w:ascii="Arial" w:cs="Arial" w:eastAsia="Arial" w:hAnsi="Arial"/>
          <w:sz w:val="18"/>
          <w:szCs w:val="18"/>
          <w:u w:val="single" w:color="auto"/>
          <w:color w:val="auto"/>
        </w:rPr>
        <w:t>Indemnitee</w:t>
      </w:r>
      <w:r>
        <w:rPr>
          <w:rFonts w:ascii="Arial" w:cs="Arial" w:eastAsia="Arial" w:hAnsi="Arial"/>
          <w:sz w:val="18"/>
          <w:szCs w:val="18"/>
          <w:color w:val="auto"/>
        </w:rPr>
        <w:t>”) and hold each Indemnitee harmless from and against any and all liabilities, losses, damages, costs and expenses of any kind, including, without limitation, the reasonable fees and disbursements of counsel, which may be incurred by such Indemnitee in connection with any investigative, administrative or judicial proceeding that may at any time (including, without limitation, at any time following the payment of the Obligations) be asserted against any Indemnitee, as a result of, or arising out of, or in any way related to or by reason of, (i) any of the transactions contemplated by the Loan Documents or the execution, delivery or performance of any Loan Document, (ii) any violation by the Borrower or the Environmental Affiliates of any applicable Environmental Law, (iii) any Environmental Claim arising out of the management, use, control, ownership or operation of property or assets by the Borrower or any of the Environmental Affiliates, including, without limitation, all on-site and off-site activities of the Borrower or any Environmental Affiliate involving Materials of Environmental Concern, (iv) the breach of any environmental representation or warranty set forth herein, but excluding those liabilities, losses, damages, costs and expenses (a) for which such Indemnitee has been compensated pursuant to the terms of this Agreement or that are excluded under Section 8.3, (b) incurred solely by reason of the gross negligence or willful misconduct of such Indemnitee as determined by a final judgment of a court of competent jurisdiction, (c) arising from any violation of Environmental Law relating to a Property, which violation is caused by the act or omission of such Indemnitee after such Indemnitee takes possession of such Property or (d) owing by such Indemnitee to any third party based upon contractual obligations of such Indemnitee owing to such third party which are not expressly set forth in the Loan Documents. In addition, the indemnification set forth in this Section 9.3(b) in favor of any director, officer, agent or employee of any Agent or any Bank shall be solely in their respective capacities as such director, officer, agent or employee. The Borrower’s obligations under this Section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00"/>
          </w:cols>
          <w:pgMar w:left="240" w:top="595" w:right="259" w:bottom="1440" w:gutter="0" w:footer="0" w:header="0"/>
        </w:sectPr>
      </w:pPr>
    </w:p>
    <w:bookmarkStart w:id="112" w:name="page113"/>
    <w:bookmarkEnd w:id="112"/>
    <w:p>
      <w:pPr>
        <w:spacing w:after="0" w:line="286" w:lineRule="auto"/>
        <w:rPr>
          <w:sz w:val="20"/>
          <w:szCs w:val="20"/>
          <w:color w:val="auto"/>
        </w:rPr>
      </w:pPr>
      <w:r>
        <w:rPr>
          <w:rFonts w:ascii="Arial" w:cs="Arial" w:eastAsia="Arial" w:hAnsi="Arial"/>
          <w:sz w:val="19"/>
          <w:szCs w:val="19"/>
          <w:color w:val="auto"/>
        </w:rPr>
        <w:t>shall survive the termination of this Agreement and the payment of the Obligations. Without limitation of the other provisions of this Section 9.3, the Borrower shall indemnify and hold each of the Agents and the Banks free and harmless from and against all loss, costs (including reasonable and documented attorneys’ fees and expenses), expenses, taxes, and damages (including consequential damages) that the Agents and the Banks may suffer or incur by reason of the investigation, defense and settlement of claims and in obtaining any prohibited transaction exemption under ERISA or the Code necessary in the Administrative Agent’s reasonable judgment by reason of the inaccuracy of the representations and warranties, or a breach of the provisions, set forth in Section 4.6(a). In the case of an investigation, litigation or proceeding to which the indemnity in this paragraph applies, such indemnity shall be effective whether or not such investigation, litigation or proceeding is brought by the Borrower, any of the Borrower’s equity holders or creditors, an Indemnitee or any other Person, whether or not an Indemnitee is otherwise a party thereto.</w:t>
      </w:r>
    </w:p>
    <w:p>
      <w:pPr>
        <w:spacing w:after="0" w:line="182" w:lineRule="exact"/>
        <w:rPr>
          <w:sz w:val="20"/>
          <w:szCs w:val="20"/>
          <w:color w:val="auto"/>
        </w:rPr>
      </w:pPr>
    </w:p>
    <w:p>
      <w:pPr>
        <w:ind w:right="20" w:firstLine="648"/>
        <w:spacing w:after="0" w:line="29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Sharing of Set-Offs</w:t>
      </w:r>
      <w:r>
        <w:rPr>
          <w:rFonts w:ascii="Arial" w:cs="Arial" w:eastAsia="Arial" w:hAnsi="Arial"/>
          <w:sz w:val="18"/>
          <w:szCs w:val="18"/>
          <w:color w:val="auto"/>
        </w:rPr>
        <w:t xml:space="preserve">. In addition to any rights now or hereafter granted under applicable law or otherwise, and not by way of limitation of any such rights, upon the occurrence and during the continuance of any Event of Default, each Bank is hereby authorized at any time or from time to time, without presentment, demand, protest or other notice of any kind to the Borrower or to any other Person, any such notice being hereby expressly waived, to set off and to appropriate and apply any and all deposits (general or special, time or demand, provisional or final) and any other indebtedness at any time held or owing by such Bank (including, without limitation, by branches, agencies and Affiliates of such Bank wherever located) to or for the credit or the account of the Borrower against and on account of the Obligations of the Borrower then due and payable to such Bank under this Agreement or under any of the other Loan Documents, including, without limitation, all interests in Obligations purchased by such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Defaulting Bank shall exercise any such right of set-off, (i) all amounts so set-off shall be paid over immediately to the Administrative Agent for further application in accordance with the provisions of this Agreement and, pending such payment, shall be segregated by such Defaulting Bank from its other funds and deemed held in trust for the benefit of the Administrative Agent and the Banks and (ii) the Defaulting Banks shall provide promptly to the Administrative Agent a statement describing in reasonable detail the obligations owing to such Defaulting Bank as to which it exercised such right of set-off. Each Bank agrees that if it shall, by exercising any right of set-off or counterclaim or otherwise, receive payment of a proportion of the aggregate amount of principal and interest due with respect to any Loan made by it, which is greater than the proportion received by any other Bank with respect to such due amount, the Bank receiving such proportionately greater payment shall purchase such participations in the Loans made by the other Banks, and such other adjustments shall be made, as may be required so that all such payments of principal and interest with respect to the Loans made by the Banks shall be shared by the Banks pro rata;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but subject to the proviso in the first sentence of this Section 9.4, nothing in this Section shall impair the right of any Bank to exercise any right of set-off or counterclaim it may have to any deposits not received in connection with the Loans and to apply the amount subject to such exercise to the payment of indebtedness of the Borrower other than its indebtedness under the Loans. The Borrower agrees, to the fullest extent it may effectively do so under applicable law, that any holder of a participation in a Loan, whether or not acquired pursuant to the foregoing arrangements, may exercise rights of set-off or counterclaim and other rights with respect to such participation as fully as if such holder of a participation were a direct creditor of the Borrower in the amount of such participation. Notwithstanding anything to the contrary contained herein, any Bank may, by separate agreement with the Borrower, waive its right to set off contained herein or granted by law and any such written waiver shall be effective against such Bank under this Section 9.4.</w:t>
      </w:r>
    </w:p>
    <w:p>
      <w:pPr>
        <w:spacing w:after="0" w:line="200" w:lineRule="exact"/>
        <w:rPr>
          <w:sz w:val="20"/>
          <w:szCs w:val="20"/>
          <w:color w:val="auto"/>
        </w:rPr>
      </w:pPr>
    </w:p>
    <w:p>
      <w:pPr>
        <w:spacing w:after="0" w:line="242" w:lineRule="exact"/>
        <w:rPr>
          <w:sz w:val="20"/>
          <w:szCs w:val="20"/>
          <w:color w:val="auto"/>
        </w:rPr>
      </w:pPr>
    </w:p>
    <w:p>
      <w:pPr>
        <w:ind w:right="80" w:firstLine="648"/>
        <w:spacing w:after="0" w:line="278" w:lineRule="auto"/>
        <w:rPr>
          <w:sz w:val="20"/>
          <w:szCs w:val="20"/>
          <w:color w:val="auto"/>
        </w:rPr>
      </w:pPr>
      <w:r>
        <w:rPr>
          <w:rFonts w:ascii="Arial" w:cs="Arial" w:eastAsia="Arial" w:hAnsi="Arial"/>
          <w:sz w:val="20"/>
          <w:szCs w:val="20"/>
          <w:color w:val="auto"/>
        </w:rPr>
        <w:t xml:space="preserve">Section 9.5. </w:t>
      </w:r>
      <w:r>
        <w:rPr>
          <w:rFonts w:ascii="Arial" w:cs="Arial" w:eastAsia="Arial" w:hAnsi="Arial"/>
          <w:sz w:val="20"/>
          <w:szCs w:val="20"/>
          <w:u w:val="single" w:color="auto"/>
          <w:color w:val="auto"/>
        </w:rPr>
        <w:t>Amendments and Waivers</w:t>
      </w:r>
      <w:r>
        <w:rPr>
          <w:rFonts w:ascii="Arial" w:cs="Arial" w:eastAsia="Arial" w:hAnsi="Arial"/>
          <w:sz w:val="20"/>
          <w:szCs w:val="20"/>
          <w:color w:val="auto"/>
        </w:rPr>
        <w:t>. (a) Any provision of this Agreement or the Notes or other Loan Documents may be amended or waived if, but only if, such amendment or waiver is in writing and is signed by the Borrower and the Required Banks (and, if the rights or duties of the Administrative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595" w:right="239" w:bottom="1440" w:gutter="0" w:footer="0" w:header="0"/>
        </w:sectPr>
      </w:pPr>
    </w:p>
    <w:bookmarkStart w:id="113" w:name="page114"/>
    <w:bookmarkEnd w:id="113"/>
    <w:p>
      <w:pPr>
        <w:ind w:right="160"/>
        <w:spacing w:after="0" w:line="334" w:lineRule="auto"/>
        <w:rPr>
          <w:sz w:val="20"/>
          <w:szCs w:val="20"/>
          <w:color w:val="auto"/>
        </w:rPr>
      </w:pPr>
      <w:r>
        <w:rPr>
          <w:rFonts w:ascii="Arial" w:cs="Arial" w:eastAsia="Arial" w:hAnsi="Arial"/>
          <w:sz w:val="16"/>
          <w:szCs w:val="16"/>
          <w:color w:val="auto"/>
        </w:rPr>
        <w:t xml:space="preserve">Agent in its capacity as the Administrative Agent are affected thereby,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amendment or waiver with respect to this Agreement, the Notes or any other Loan Document shall, unless signed by (x) each Bank directly affected thereby, (i) reduce the principal of or rate of interest on any Loan or any fees hereunder, (ii) postpone, whether through forbearance or otherwise, the date fixed for any payment of principal of or interest on any Loan or any fees hereunder or for any reduction or termination of any Commitments,</w:t>
      </w:r>
    </w:p>
    <w:p>
      <w:pPr>
        <w:spacing w:after="0" w:line="2" w:lineRule="exact"/>
        <w:rPr>
          <w:sz w:val="20"/>
          <w:szCs w:val="20"/>
          <w:color w:val="auto"/>
        </w:rPr>
      </w:pPr>
    </w:p>
    <w:p>
      <w:pPr>
        <w:ind w:firstLine="8"/>
        <w:spacing w:after="0" w:line="286" w:lineRule="auto"/>
        <w:tabs>
          <w:tab w:leader="none" w:pos="34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reduce the percentage specified in the definition of “Required Banks” or “Super Majority Banks” or otherwise change the aggregate unpaid principal amount of the Loans, or the number of Banks, which shall be required for the Banks or any of them to take any action under this Section or any other provision of this Agreement or any Collateral Document, (iv) release all or a substantial portion of the Collateral under the Collateral Documents (except as expressly permitted by the Collateral Documents or this Agreement), (v) modify the provisions of this Section 9.5, (vi) increase, extend or restate the Commitments of any Bank or subject any Bank to any additional obligation hereunder, or (vii) amend, modify or waive the definition of “Pro Rata Share” or any other provision that provides for the ratable or pro rata nature of disbursements by or payments to Banks, (y) each Bank, amend, modify or waive any provision of Sections 2.10 and Section 2.11, and (z) the Super Majority Banks, amend, modify or waive the definition of “Borrowing Base” or any component thereof or definition used therein if such amendment, modification or waiver is has the effect of increasing the Borrowing Base.</w:t>
      </w:r>
    </w:p>
    <w:p>
      <w:pPr>
        <w:spacing w:after="0" w:line="182" w:lineRule="exact"/>
        <w:rPr>
          <w:rFonts w:ascii="Arial" w:cs="Arial" w:eastAsia="Arial" w:hAnsi="Arial"/>
          <w:sz w:val="19"/>
          <w:szCs w:val="19"/>
          <w:color w:val="auto"/>
        </w:rPr>
      </w:pPr>
    </w:p>
    <w:p>
      <w:pPr>
        <w:ind w:right="20" w:firstLine="1305"/>
        <w:spacing w:after="0" w:line="272" w:lineRule="auto"/>
        <w:tabs>
          <w:tab w:leader="none" w:pos="2175"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Administrative Agent may, but shall have no obligation to, with the concurrence of any Bank, execute amendments, modifications, waivers or consents on behalf of such Bank. Any waiver or consent shall be effective only in the specific instance and for the specific purpose for which it was given. No notice to or demand on any Covered Party in any case shall entitle any Covered Party to any other or further notice or demand in similar or other circumstances. Any amendment, modification, termination, waiver or consent effected in accordance with this Section 9.5 shall be binding upon each Bank at the time outstanding, each future Bank and, if signed by a Covered Party, on such Covered Party.</w:t>
      </w:r>
    </w:p>
    <w:p>
      <w:pPr>
        <w:spacing w:after="0" w:line="192"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43" w:lineRule="exact"/>
        <w:rPr>
          <w:sz w:val="20"/>
          <w:szCs w:val="20"/>
          <w:color w:val="auto"/>
        </w:rPr>
      </w:pPr>
    </w:p>
    <w:p>
      <w:pPr>
        <w:jc w:val="both"/>
        <w:ind w:right="180" w:firstLine="1305"/>
        <w:spacing w:after="0" w:line="314" w:lineRule="auto"/>
        <w:tabs>
          <w:tab w:leader="none" w:pos="21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permitted assigns, except that (i) the Borrower may not assign or otherwise transfer any of its rights under this Agreement or the other Loan Documents without the prior written consent of all Banks and the Administrative Agent and (ii) a Bank may not assign or otherwise transfer any of its interest under this Agreement except as permitted in subsection (b) and (c) of this Section 9.6.</w:t>
      </w:r>
    </w:p>
    <w:p>
      <w:pPr>
        <w:spacing w:after="0" w:line="159" w:lineRule="exact"/>
        <w:rPr>
          <w:rFonts w:ascii="Arial" w:cs="Arial" w:eastAsia="Arial" w:hAnsi="Arial"/>
          <w:sz w:val="18"/>
          <w:szCs w:val="18"/>
          <w:color w:val="auto"/>
        </w:rPr>
      </w:pPr>
    </w:p>
    <w:p>
      <w:pPr>
        <w:ind w:right="20" w:firstLine="1305"/>
        <w:spacing w:after="0" w:line="285" w:lineRule="auto"/>
        <w:tabs>
          <w:tab w:leader="none" w:pos="217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Prior to the occurrence of an Event of Default, any Bank may at any time, grant to a then existing Bank or any Affiliate thereof, one or more banks, finance companies, insurance companies or other financial institutions or trusts (a “</w:t>
      </w:r>
      <w:r>
        <w:rPr>
          <w:rFonts w:ascii="Arial" w:cs="Arial" w:eastAsia="Arial" w:hAnsi="Arial"/>
          <w:sz w:val="19"/>
          <w:szCs w:val="19"/>
          <w:u w:val="single" w:color="auto"/>
          <w:color w:val="auto"/>
        </w:rPr>
        <w:t>Participant</w:t>
      </w:r>
      <w:r>
        <w:rPr>
          <w:rFonts w:ascii="Arial" w:cs="Arial" w:eastAsia="Arial" w:hAnsi="Arial"/>
          <w:sz w:val="19"/>
          <w:szCs w:val="19"/>
          <w:color w:val="auto"/>
        </w:rPr>
        <w:t>”) participating interests in any or all of its Commitments or Loans. After the occurrence and during the continuance of an Event of Default, any Bank may at any time grant to any Person in any amount (also a “</w:t>
      </w:r>
      <w:r>
        <w:rPr>
          <w:rFonts w:ascii="Arial" w:cs="Arial" w:eastAsia="Arial" w:hAnsi="Arial"/>
          <w:sz w:val="19"/>
          <w:szCs w:val="19"/>
          <w:u w:val="single" w:color="auto"/>
          <w:color w:val="auto"/>
        </w:rPr>
        <w:t>Participant</w:t>
      </w:r>
      <w:r>
        <w:rPr>
          <w:rFonts w:ascii="Arial" w:cs="Arial" w:eastAsia="Arial" w:hAnsi="Arial"/>
          <w:sz w:val="19"/>
          <w:szCs w:val="19"/>
          <w:color w:val="auto"/>
        </w:rPr>
        <w:t>”), participating interests in any or all of its Loans. Any participation made during the continuation of an Event of Default shall not be affected by the subsequent cure of such Event of Default. In the event of any such grant by a Bank of a participating interest to a Participant, whether or not upon notice to the Borrower and the Administrative Agent, such Bank shall remain responsible for the performance of its obligations hereunder, and the Borrower and the Administrative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Borrower hereunder including, without limitation, the right to approve any amendment, modification or waiver of any provision of this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5620" w:hanging="101"/>
        <w:spacing w:after="0"/>
        <w:tabs>
          <w:tab w:leader="none" w:pos="5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00"/>
          </w:cols>
          <w:pgMar w:left="240" w:top="595" w:right="259" w:bottom="1440" w:gutter="0" w:footer="0" w:header="0"/>
        </w:sectPr>
      </w:pPr>
    </w:p>
    <w:bookmarkStart w:id="114" w:name="page115"/>
    <w:bookmarkEnd w:id="114"/>
    <w:p>
      <w:pPr>
        <w:spacing w:after="0" w:line="300" w:lineRule="auto"/>
        <w:rPr>
          <w:sz w:val="20"/>
          <w:szCs w:val="20"/>
          <w:color w:val="auto"/>
        </w:rPr>
      </w:pPr>
      <w:r>
        <w:rPr>
          <w:rFonts w:ascii="Arial" w:cs="Arial" w:eastAsia="Arial" w:hAnsi="Arial"/>
          <w:sz w:val="18"/>
          <w:szCs w:val="18"/>
          <w:color w:val="auto"/>
        </w:rPr>
        <w:t xml:space="preserve">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participation agreement may provide that such Bank will not agree to any modification, amendment or waiver of this Agreement described in Section 9.5(a)(x) or (y) without the consent of the Participant. The Borrower agrees that each Participant shall, to the extent provided in its participation agreement, be entitled to the benefits of Article VIII with respect to its participating interest (it being understood that the documentation required under Section 8.4(d) shall be delivered to the participating Bank) to the same extent as if it were a Bank and had acquired its interest by assignment pursuant to paragraph (c) of this Section 9.6;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(i) agrees to be subject to the provisions of Section 8.3 and Section 8.4 as if it were an assignee under paragraph (c) of this Section and (ii) shall not be entitled to receive any greater payment under Section 8.3 or Section 8.4, with respect to any participation, than its participating Bank would have been entitled to receive, except to the extent such entitlement to receive a greater payment results from an adoption of or any change in any requirement, interpretation or application of law or compliance by any Bank with any request or directive (whether or not having the force of law) from any central bank or relevant authority made subsequent to the Closing Date that occurs after the Participant acquired the applicable participation. Each Bank that grants participating interests in any or all of its Commitments or Loans, acting solely for this purpose as a non-fiduciary agent of the Borrower, shall maintain a register on which it enters the name and address of each Participant and principal amount of the Commitment or Loan and interest owing to each Participant (the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Bank shall have any obligations to disclose all or any portion of the Participant Register to any Person, except to the extent that such disclosure is necessary to establish that such Loan is in registered form under Section 5f.103-1(c) of the United States Treasury Regulations. The entries in the Participant Register shall be conclusive, and the Borrower, the Administrative Agent and the Banks shall treat each Person whose name is recorded in the Participant Register pursuant to the terms hereof as the owner of such participation for all purposes of this Agreement, notwithstanding notice to the contrary.</w:t>
      </w:r>
    </w:p>
    <w:p>
      <w:pPr>
        <w:spacing w:after="0" w:line="178" w:lineRule="exact"/>
        <w:rPr>
          <w:sz w:val="20"/>
          <w:szCs w:val="20"/>
          <w:color w:val="auto"/>
        </w:rPr>
      </w:pPr>
    </w:p>
    <w:p>
      <w:pPr>
        <w:ind w:right="100" w:firstLine="1305"/>
        <w:spacing w:after="0" w:line="278" w:lineRule="auto"/>
        <w:tabs>
          <w:tab w:leader="none" w:pos="216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 Subject to the conditions set forth in paragraph (c)(ii) below, any Bank may assign to one or more assignees (each, an “</w:t>
      </w:r>
      <w:r>
        <w:rPr>
          <w:rFonts w:ascii="Arial" w:cs="Arial" w:eastAsia="Arial" w:hAnsi="Arial"/>
          <w:sz w:val="20"/>
          <w:szCs w:val="20"/>
          <w:u w:val="single" w:color="auto"/>
          <w:color w:val="auto"/>
        </w:rPr>
        <w:t>Assignee</w:t>
      </w:r>
      <w:r>
        <w:rPr>
          <w:rFonts w:ascii="Arial" w:cs="Arial" w:eastAsia="Arial" w:hAnsi="Arial"/>
          <w:sz w:val="20"/>
          <w:szCs w:val="20"/>
          <w:color w:val="auto"/>
        </w:rPr>
        <w:t>”), other than a natural person, all or a portion of its rights and obligations under this Agreement (including all or a portion of its Commitments or Loans at the time owing to it) with the prior written consent of:</w:t>
      </w:r>
    </w:p>
    <w:p>
      <w:pPr>
        <w:spacing w:after="0" w:line="186" w:lineRule="exact"/>
        <w:rPr>
          <w:rFonts w:ascii="Arial" w:cs="Arial" w:eastAsia="Arial" w:hAnsi="Arial"/>
          <w:sz w:val="20"/>
          <w:szCs w:val="20"/>
          <w:color w:val="auto"/>
        </w:rPr>
      </w:pPr>
    </w:p>
    <w:p>
      <w:pPr>
        <w:ind w:left="1300" w:right="180" w:firstLine="653"/>
        <w:spacing w:after="0" w:line="273" w:lineRule="auto"/>
        <w:tabs>
          <w:tab w:leader="none" w:pos="2871" w:val="left"/>
        </w:tabs>
        <w:numPr>
          <w:ilvl w:val="1"/>
          <w:numId w:val="109"/>
        </w:numPr>
        <w:rPr>
          <w:rFonts w:ascii="Arial" w:cs="Arial" w:eastAsia="Arial" w:hAnsi="Arial"/>
          <w:sz w:val="20"/>
          <w:szCs w:val="20"/>
          <w:color w:val="auto"/>
        </w:rPr>
      </w:pPr>
      <w:r>
        <w:rPr>
          <w:rFonts w:ascii="Arial" w:cs="Arial" w:eastAsia="Arial" w:hAnsi="Arial"/>
          <w:sz w:val="20"/>
          <w:szCs w:val="20"/>
          <w:color w:val="auto"/>
        </w:rPr>
        <w:t xml:space="preserve">the Borrower (such consent not to be unreasonably withheld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10 Business Days after having received notice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shall be required for an assignment to a Bank, an affiliate of a Bank, an Approved Fund (as defined below) or, if an Event of Default has occurred and is continuing, any other Person; and</w:t>
      </w:r>
    </w:p>
    <w:p>
      <w:pPr>
        <w:spacing w:after="0" w:line="191" w:lineRule="exact"/>
        <w:rPr>
          <w:rFonts w:ascii="Arial" w:cs="Arial" w:eastAsia="Arial" w:hAnsi="Arial"/>
          <w:sz w:val="20"/>
          <w:szCs w:val="20"/>
          <w:color w:val="auto"/>
        </w:rPr>
      </w:pPr>
    </w:p>
    <w:p>
      <w:pPr>
        <w:ind w:left="1300" w:right="300" w:firstLine="653"/>
        <w:spacing w:after="0" w:line="278" w:lineRule="auto"/>
        <w:tabs>
          <w:tab w:leader="none" w:pos="286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Loan to a Bank, an affiliate of a Bank, an Approved Fund or an assignment to the Borrower as contemplated by Section 2.13.</w:t>
      </w:r>
    </w:p>
    <w:p>
      <w:pPr>
        <w:spacing w:after="0" w:line="187" w:lineRule="exact"/>
        <w:rPr>
          <w:sz w:val="20"/>
          <w:szCs w:val="20"/>
          <w:color w:val="auto"/>
        </w:rPr>
      </w:pPr>
    </w:p>
    <w:p>
      <w:pPr>
        <w:ind w:left="2200" w:hanging="895"/>
        <w:spacing w:after="0"/>
        <w:tabs>
          <w:tab w:leader="none" w:pos="22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42" w:lineRule="exact"/>
        <w:rPr>
          <w:rFonts w:ascii="Arial" w:cs="Arial" w:eastAsia="Arial" w:hAnsi="Arial"/>
          <w:sz w:val="20"/>
          <w:szCs w:val="20"/>
          <w:color w:val="auto"/>
        </w:rPr>
      </w:pPr>
    </w:p>
    <w:p>
      <w:pPr>
        <w:ind w:left="1300" w:firstLine="653"/>
        <w:spacing w:after="0" w:line="273" w:lineRule="auto"/>
        <w:tabs>
          <w:tab w:leader="none" w:pos="2871" w:val="left"/>
        </w:tabs>
        <w:numPr>
          <w:ilvl w:val="1"/>
          <w:numId w:val="110"/>
        </w:numPr>
        <w:rPr>
          <w:rFonts w:ascii="Arial" w:cs="Arial" w:eastAsia="Arial" w:hAnsi="Arial"/>
          <w:sz w:val="20"/>
          <w:szCs w:val="20"/>
          <w:color w:val="auto"/>
        </w:rPr>
      </w:pPr>
      <w:r>
        <w:rPr>
          <w:rFonts w:ascii="Arial" w:cs="Arial" w:eastAsia="Arial" w:hAnsi="Arial"/>
          <w:sz w:val="20"/>
          <w:szCs w:val="20"/>
          <w:color w:val="auto"/>
        </w:rPr>
        <w:t>except in the case of an assignment to a Bank, an affiliate of a Bank or an Approved Fund or an assignment of the entire remaining amount of the assigning Bank’s Commitments or Loans, the amount of the Commitments or Loans of the assigning Bank subject to each such assignment (determined as of the date the Assignment and Assumption with respect to such assignment is delivered to the Administrative Agent) shall not be less than $5,000,000 (which shall be calculated as necessary to include 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5620" w:hanging="101"/>
        <w:spacing w:after="0"/>
        <w:tabs>
          <w:tab w:leader="none" w:pos="56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380"/>
          </w:cols>
          <w:pgMar w:left="240" w:top="595" w:right="279" w:bottom="1440" w:gutter="0" w:footer="0" w:header="0"/>
        </w:sectPr>
      </w:pPr>
    </w:p>
    <w:bookmarkStart w:id="115" w:name="page116"/>
    <w:bookmarkEnd w:id="115"/>
    <w:p>
      <w:pPr>
        <w:ind w:left="1300" w:right="40"/>
        <w:spacing w:after="0" w:line="274" w:lineRule="auto"/>
        <w:rPr>
          <w:sz w:val="20"/>
          <w:szCs w:val="20"/>
          <w:color w:val="auto"/>
        </w:rPr>
      </w:pPr>
      <w:r>
        <w:rPr>
          <w:rFonts w:ascii="Arial" w:cs="Arial" w:eastAsia="Arial" w:hAnsi="Arial"/>
          <w:sz w:val="20"/>
          <w:szCs w:val="20"/>
          <w:color w:val="auto"/>
        </w:rPr>
        <w:t xml:space="preserve">concurrent assignments by the assignor to an affiliate, or an Approved Fund, of the assignee) unless each of the Borrower and the Administrative Agent otherwise consents,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no such consent of the Borrower shall be required if an Event of Default has occurred and is continuing and (2) such amounts shall be aggregated in respect of each Bank and its affiliates or Approved Funds, if any;</w:t>
      </w:r>
    </w:p>
    <w:p>
      <w:pPr>
        <w:spacing w:after="0" w:line="192" w:lineRule="exact"/>
        <w:rPr>
          <w:sz w:val="20"/>
          <w:szCs w:val="20"/>
          <w:color w:val="auto"/>
        </w:rPr>
      </w:pPr>
    </w:p>
    <w:p>
      <w:pPr>
        <w:jc w:val="both"/>
        <w:ind w:left="1300" w:right="20" w:firstLine="653"/>
        <w:spacing w:after="0" w:line="274" w:lineRule="auto"/>
        <w:tabs>
          <w:tab w:leader="none" w:pos="28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(1) the parties to each assignment shall execute and deliver to the Administrative Agent an Assignment and Assumption, together with a processing and recordation fee of $3,500 (other than in the case of an assignment to the Borrower as contemplated by Section 2.13) and (2) the assigning Bank shall have paid in full any amounts owing by it to the Administrative Agent; and</w:t>
      </w:r>
    </w:p>
    <w:p>
      <w:pPr>
        <w:spacing w:after="0" w:line="192" w:lineRule="exact"/>
        <w:rPr>
          <w:rFonts w:ascii="Arial" w:cs="Arial" w:eastAsia="Arial" w:hAnsi="Arial"/>
          <w:sz w:val="20"/>
          <w:szCs w:val="20"/>
          <w:color w:val="auto"/>
        </w:rPr>
      </w:pPr>
    </w:p>
    <w:p>
      <w:pPr>
        <w:ind w:left="1300" w:right="160" w:firstLine="653"/>
        <w:spacing w:after="0" w:line="290" w:lineRule="auto"/>
        <w:tabs>
          <w:tab w:leader="none" w:pos="28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Assignee, if it shall not be a Bank,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66" w:lineRule="exact"/>
        <w:rPr>
          <w:sz w:val="20"/>
          <w:szCs w:val="20"/>
          <w:color w:val="auto"/>
        </w:rPr>
      </w:pPr>
    </w:p>
    <w:p>
      <w:pPr>
        <w:ind w:firstLine="1297"/>
        <w:spacing w:after="0" w:line="291" w:lineRule="auto"/>
        <w:rPr>
          <w:sz w:val="20"/>
          <w:szCs w:val="20"/>
          <w:color w:val="auto"/>
        </w:rPr>
      </w:pPr>
      <w:r>
        <w:rPr>
          <w:rFonts w:ascii="Arial" w:cs="Arial" w:eastAsia="Arial" w:hAnsi="Arial"/>
          <w:sz w:val="18"/>
          <w:szCs w:val="18"/>
          <w:color w:val="auto"/>
        </w:rPr>
        <w:t>For the purposes of this Section 9.6, “Approved Fund”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65" w:lineRule="exact"/>
        <w:rPr>
          <w:sz w:val="20"/>
          <w:szCs w:val="20"/>
          <w:color w:val="auto"/>
        </w:rPr>
      </w:pPr>
    </w:p>
    <w:p>
      <w:pPr>
        <w:ind w:left="660" w:right="20" w:firstLine="645"/>
        <w:spacing w:after="0" w:line="286" w:lineRule="auto"/>
        <w:tabs>
          <w:tab w:leader="none" w:pos="225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(c)(iv)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8.3, 8.4 and 9.3). Any assignment or transfer by a Bank of rights or obligations under this Agreement that does not comply with this Section 9.6 shall be treated for purposes of this Agreement as a sale by such Bank of a participation in such rights and obligations in accordance with paragraph (b) of this Section.</w:t>
      </w:r>
    </w:p>
    <w:p>
      <w:pPr>
        <w:spacing w:after="0" w:line="182" w:lineRule="exact"/>
        <w:rPr>
          <w:rFonts w:ascii="Arial" w:cs="Arial" w:eastAsia="Arial" w:hAnsi="Arial"/>
          <w:sz w:val="19"/>
          <w:szCs w:val="19"/>
          <w:color w:val="auto"/>
        </w:rPr>
      </w:pPr>
    </w:p>
    <w:p>
      <w:pPr>
        <w:ind w:left="660" w:right="20" w:firstLine="645"/>
        <w:spacing w:after="0" w:line="307" w:lineRule="auto"/>
        <w:tabs>
          <w:tab w:leader="none" w:pos="22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and permitting access thereto to the Borrower, shall maintain at one of its offices a copy of each Assignment and Assumption delivered to it and a register for the recordation of the names and addresses of the Banks and each of their Assignees, and principal amount of the Loans and interest owing to, each Bank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and the Banks shall treat each Person whose name is recorded in the Register pursuant to the terms hereof as a Bank hereunder for all purposes of this Agreement, notwithstanding notice to the contrary.</w:t>
      </w:r>
    </w:p>
    <w:p>
      <w:pPr>
        <w:spacing w:after="0" w:line="167" w:lineRule="exact"/>
        <w:rPr>
          <w:rFonts w:ascii="Arial" w:cs="Arial" w:eastAsia="Arial" w:hAnsi="Arial"/>
          <w:sz w:val="18"/>
          <w:szCs w:val="18"/>
          <w:color w:val="auto"/>
        </w:rPr>
      </w:pPr>
    </w:p>
    <w:p>
      <w:pPr>
        <w:ind w:left="660" w:right="80" w:firstLine="645"/>
        <w:spacing w:after="0" w:line="278" w:lineRule="auto"/>
        <w:tabs>
          <w:tab w:leader="none" w:pos="218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20" w:hanging="101"/>
        <w:spacing w:after="0"/>
        <w:tabs>
          <w:tab w:leader="none" w:pos="5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380"/>
          </w:cols>
          <w:pgMar w:left="240" w:top="595" w:right="279" w:bottom="1440" w:gutter="0" w:footer="0" w:header="0"/>
        </w:sectPr>
      </w:pPr>
    </w:p>
    <w:bookmarkStart w:id="116" w:name="page117"/>
    <w:bookmarkEnd w:id="116"/>
    <w:p>
      <w:pPr>
        <w:ind w:left="660" w:right="160"/>
        <w:spacing w:after="0" w:line="378" w:lineRule="auto"/>
        <w:rPr>
          <w:sz w:val="20"/>
          <w:szCs w:val="20"/>
          <w:color w:val="auto"/>
        </w:rPr>
      </w:pPr>
      <w:r>
        <w:rPr>
          <w:rFonts w:ascii="Arial" w:cs="Arial" w:eastAsia="Arial" w:hAnsi="Arial"/>
          <w:sz w:val="16"/>
          <w:szCs w:val="16"/>
          <w:color w:val="auto"/>
        </w:rPr>
        <w:t>paragraph (c)(ii)(B) of this Section and any written consent to such assignment required by paragraph (c)(i)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7" w:lineRule="exact"/>
        <w:rPr>
          <w:sz w:val="20"/>
          <w:szCs w:val="20"/>
          <w:color w:val="auto"/>
        </w:rPr>
      </w:pPr>
    </w:p>
    <w:p>
      <w:pPr>
        <w:ind w:right="420" w:firstLine="1305"/>
        <w:spacing w:after="0" w:line="289" w:lineRule="auto"/>
        <w:tabs>
          <w:tab w:leader="none" w:pos="217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Bank may at any time assign all or any portion of its rights under this Agreement and its Note to a Federal Reserve Bank. No such assignment shall release the transferor Bank from its obligations hereunder.</w:t>
      </w:r>
    </w:p>
    <w:p>
      <w:pPr>
        <w:spacing w:after="0" w:line="175" w:lineRule="exact"/>
        <w:rPr>
          <w:rFonts w:ascii="Arial" w:cs="Arial" w:eastAsia="Arial" w:hAnsi="Arial"/>
          <w:sz w:val="20"/>
          <w:szCs w:val="20"/>
          <w:color w:val="auto"/>
        </w:rPr>
      </w:pPr>
    </w:p>
    <w:p>
      <w:pPr>
        <w:ind w:right="140" w:firstLine="1305"/>
        <w:spacing w:after="0" w:line="273" w:lineRule="auto"/>
        <w:tabs>
          <w:tab w:leader="none" w:pos="216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 Assignee, Participant or other transferee of any Bank’s rights shall be entitled to receive any greater payment under Section 8.3 or Section 8.4 than such Bank would have been entitled to receive with respect to the rights transferred, unless such transfer is made (i) with the Borrower’s prior written consent, (ii) by reason of the provisions of Section 8.2, Section 8.3 or Section 8.4 requiring such Bank to designate a different Applicable Lending Office under certain circumstances or (iii) at a time when the circumstances giving rise to such greater payment did not exist.</w:t>
      </w:r>
    </w:p>
    <w:p>
      <w:pPr>
        <w:spacing w:after="0" w:line="191" w:lineRule="exact"/>
        <w:rPr>
          <w:sz w:val="20"/>
          <w:szCs w:val="20"/>
          <w:color w:val="auto"/>
        </w:rPr>
      </w:pPr>
    </w:p>
    <w:p>
      <w:pPr>
        <w:ind w:firstLine="648"/>
        <w:spacing w:after="0" w:line="278" w:lineRule="auto"/>
        <w:rPr>
          <w:sz w:val="20"/>
          <w:szCs w:val="20"/>
          <w:color w:val="auto"/>
        </w:rPr>
      </w:pPr>
      <w:r>
        <w:rPr>
          <w:rFonts w:ascii="Arial" w:cs="Arial" w:eastAsia="Arial" w:hAnsi="Arial"/>
          <w:sz w:val="20"/>
          <w:szCs w:val="20"/>
          <w:color w:val="auto"/>
        </w:rPr>
        <w:t xml:space="preserve">Section 9.7. </w:t>
      </w:r>
      <w:r>
        <w:rPr>
          <w:rFonts w:ascii="Arial" w:cs="Arial" w:eastAsia="Arial" w:hAnsi="Arial"/>
          <w:sz w:val="20"/>
          <w:szCs w:val="20"/>
          <w:u w:val="single" w:color="auto"/>
          <w:color w:val="auto"/>
        </w:rPr>
        <w:t>Governing Law; Submission to Jurisdiction; Judgment Currency</w:t>
      </w:r>
      <w:r>
        <w:rPr>
          <w:rFonts w:ascii="Arial" w:cs="Arial" w:eastAsia="Arial" w:hAnsi="Arial"/>
          <w:sz w:val="20"/>
          <w:szCs w:val="20"/>
          <w:color w:val="auto"/>
        </w:rPr>
        <w:t>. (a)THIS AGREEMENT AND THE OTHER LOAN DOCUMENTS AND THE RIGHTS AND OBLIGATIONS OF THE PARTIES HEREUNDER AND THEREUNDER SHALL BE CONSTRUED IN ACCORDANCE WITH AND BE GOVERNED BY THE LAWS OF THE STATE OF NEW YORK.</w:t>
      </w:r>
    </w:p>
    <w:p>
      <w:pPr>
        <w:spacing w:after="0" w:line="187" w:lineRule="exact"/>
        <w:rPr>
          <w:sz w:val="20"/>
          <w:szCs w:val="20"/>
          <w:color w:val="auto"/>
        </w:rPr>
      </w:pPr>
    </w:p>
    <w:p>
      <w:pPr>
        <w:ind w:right="80" w:firstLine="1305"/>
        <w:spacing w:after="0" w:line="302" w:lineRule="auto"/>
        <w:tabs>
          <w:tab w:leader="none" w:pos="21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legal action or proceeding with respect to this Agreement or any other Loan Document and any action for enforcement of any judgment in respect thereof may be brought in the courts of the State of New York or of the United States of America for the Southern District of New York, in each case, which are located in New York County, and, by execution and delivery of this Agreement, the Borrower hereby accepts for itself and in respect of its property, generally and unconditionally, the non-exclusive jurisdiction of the aforesaid courts and appellate courts from any thereof. The Borrower irrevocably consents, for itself, to the service of process out of any of the aforementioned courts in any such action or proceeding by the hand delivery, or mailing of copies thereof by registered or certified mail, postage prepaid, to the Borrower at its address for notice as provided under Section 9.1 hereof. The Borrower hereby, for itself, irrevocably waives any objection which it may now or hereafter have to the laying of venue of any of the aforesaid actions or proceedings arising out of or in connection with this Agreement or any other Loan Document brought in the courts referred to above and hereby further irrevocably waives and agrees not to plead or claim in any such court that any such action or proceeding brought in any such court has been brought in an inconvenient forum. Nothing herein shall affect the right of the Administrative Agent to serve process in any other manner permitted by law or to commence legal proceedings or otherwise proceed against the Borrower in any other jurisdiction.</w:t>
      </w:r>
    </w:p>
    <w:p>
      <w:pPr>
        <w:spacing w:after="0" w:line="169" w:lineRule="exact"/>
        <w:rPr>
          <w:rFonts w:ascii="Arial" w:cs="Arial" w:eastAsia="Arial" w:hAnsi="Arial"/>
          <w:sz w:val="18"/>
          <w:szCs w:val="18"/>
          <w:color w:val="auto"/>
        </w:rPr>
      </w:pPr>
    </w:p>
    <w:p>
      <w:pPr>
        <w:ind w:right="20" w:firstLine="1305"/>
        <w:spacing w:after="0" w:line="363" w:lineRule="auto"/>
        <w:tabs>
          <w:tab w:leader="none" w:pos="216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for the purpose of obtaining judgment in any court it is necessary to convert a sum due hereunder in one currency into another currency, the parties hereto agree, to the fullest extent that they may effectively do so under applicable law, that the rate of exchange used shall be the spot rate at which in accordance with normal banking procedures the first currency could be purchased in New York City with such other currency by the person obtaining such judgment on the Business Day preceding that on which final judgment is given.</w:t>
      </w:r>
    </w:p>
    <w:p>
      <w:pPr>
        <w:spacing w:after="0" w:line="129" w:lineRule="exact"/>
        <w:rPr>
          <w:rFonts w:ascii="Arial" w:cs="Arial" w:eastAsia="Arial" w:hAnsi="Arial"/>
          <w:sz w:val="16"/>
          <w:szCs w:val="16"/>
          <w:color w:val="auto"/>
        </w:rPr>
      </w:pPr>
    </w:p>
    <w:p>
      <w:pPr>
        <w:ind w:right="120" w:firstLine="1305"/>
        <w:spacing w:after="0" w:line="293" w:lineRule="auto"/>
        <w:tabs>
          <w:tab w:leader="none" w:pos="217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parties agree, to the fullest extent that they may effectively do so under applicable law, that the obligations of the Borrower to make payments in any currency of the principal of and interest on the Loans of the Borrower and any other amounts due from the Borrower hereunder to the Administrative Agent as provided herein (i) shall not be discharged or satisfied by any tender, or any recovery pursuant to any judgment (whether or not entered in accordance with Section 9.7(c)), in 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5620" w:hanging="101"/>
        <w:spacing w:after="0"/>
        <w:tabs>
          <w:tab w:leader="none" w:pos="5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400"/>
          </w:cols>
          <w:pgMar w:left="240" w:top="595" w:right="259" w:bottom="1440" w:gutter="0" w:footer="0" w:header="0"/>
        </w:sectPr>
      </w:pPr>
    </w:p>
    <w:bookmarkStart w:id="117" w:name="page118"/>
    <w:bookmarkEnd w:id="117"/>
    <w:p>
      <w:pPr>
        <w:spacing w:after="0" w:line="287" w:lineRule="auto"/>
        <w:rPr>
          <w:sz w:val="20"/>
          <w:szCs w:val="20"/>
          <w:color w:val="auto"/>
        </w:rPr>
      </w:pPr>
      <w:r>
        <w:rPr>
          <w:rFonts w:ascii="Arial" w:cs="Arial" w:eastAsia="Arial" w:hAnsi="Arial"/>
          <w:sz w:val="19"/>
          <w:szCs w:val="19"/>
          <w:color w:val="auto"/>
        </w:rPr>
        <w:t>currency other than the relevant currency, except to the extent that such tender or recovery shall result in the actual receipt by the Administrative Agent at its relevant office on behalf of the Banks of the full amount of the relevant currency expressed to be payable in respect of the principal of and interest on the Loans and all other amounts due hereunder (it being assumed for purposes of this clause (i) that the Administrative Agent will convert any amount tendered or recovered into the relevant currency on the date of such tender or recovery), (ii) shall be enforceable as an alternative or additional cause of action for the purpose of recovering in the relevant currency the amount, if any, by which such actual receipt shall fall short of the full amount of the relevant currency so expressed to be payable and (iii) shall not be affected by an unrelated judgment being obtained for any other sum due under this Agreement.</w:t>
      </w:r>
    </w:p>
    <w:p>
      <w:pPr>
        <w:spacing w:after="0" w:line="183" w:lineRule="exact"/>
        <w:rPr>
          <w:sz w:val="20"/>
          <w:szCs w:val="20"/>
          <w:color w:val="auto"/>
        </w:rPr>
      </w:pPr>
    </w:p>
    <w:p>
      <w:pPr>
        <w:ind w:right="60" w:firstLine="648"/>
        <w:spacing w:after="0" w:line="307"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 This Agreement shall become effective upon receipt by the Administrative Agent and the Borrower of counterparts hereof signed by each of the parties hereto. Delivery of an executed signature page of this Agreement by email or facsimile transmission shall be effective as delivery of a manually executed counterpart hereof.</w:t>
      </w:r>
    </w:p>
    <w:p>
      <w:pPr>
        <w:spacing w:after="0" w:line="167" w:lineRule="exact"/>
        <w:rPr>
          <w:sz w:val="20"/>
          <w:szCs w:val="20"/>
          <w:color w:val="auto"/>
        </w:rPr>
      </w:pPr>
    </w:p>
    <w:p>
      <w:pPr>
        <w:jc w:val="both"/>
        <w:ind w:right="640" w:firstLine="648"/>
        <w:spacing w:after="0" w:line="299" w:lineRule="auto"/>
        <w:rPr>
          <w:sz w:val="20"/>
          <w:szCs w:val="20"/>
          <w:color w:val="auto"/>
        </w:rPr>
      </w:pPr>
      <w:r>
        <w:rPr>
          <w:rFonts w:ascii="Arial" w:cs="Arial" w:eastAsia="Arial" w:hAnsi="Arial"/>
          <w:sz w:val="19"/>
          <w:szCs w:val="19"/>
          <w:color w:val="auto"/>
        </w:rPr>
        <w:t xml:space="preserve">Section 9.9.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OF THE BORROWER, THE AGENTS AND THE BANKS HEREBY IRREVOCABLY AND UNCONDITIONALLY WAIVE TRIAL BY JURY IN ANY LEGAL ACTION OR PROCEEDING RELATING TO THIS AGREEMENT OR ANY OTHER LOAN DOCUMENT AND FOR ANY COUNTERCLAIM THEREIN.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660"/>
              <w:spacing w:after="0"/>
              <w:rPr>
                <w:sz w:val="20"/>
                <w:szCs w:val="20"/>
                <w:color w:val="auto"/>
              </w:rPr>
            </w:pPr>
            <w:r>
              <w:rPr>
                <w:rFonts w:ascii="Arial" w:cs="Arial" w:eastAsia="Arial" w:hAnsi="Arial"/>
                <w:sz w:val="20"/>
                <w:szCs w:val="20"/>
                <w:color w:val="auto"/>
              </w:rPr>
              <w:t>Section 9.10.</w:t>
            </w:r>
          </w:p>
        </w:tc>
        <w:tc>
          <w:tcPr>
            <w:tcW w:w="8260" w:type="dxa"/>
            <w:vAlign w:val="bottom"/>
            <w:gridSpan w:val="3"/>
          </w:tcPr>
          <w:p>
            <w:pPr>
              <w:spacing w:after="0"/>
              <w:rPr>
                <w:sz w:val="20"/>
                <w:szCs w:val="20"/>
                <w:color w:val="auto"/>
              </w:rPr>
            </w:pPr>
            <w:r>
              <w:rPr>
                <w:rFonts w:ascii="Arial" w:cs="Arial" w:eastAsia="Arial" w:hAnsi="Arial"/>
                <w:sz w:val="20"/>
                <w:szCs w:val="20"/>
                <w:color w:val="auto"/>
                <w:w w:val="91"/>
              </w:rPr>
              <w:t>Survival. All indemnities set forth herein shall survive the execution and delivery of this Agreement and</w:t>
            </w:r>
          </w:p>
        </w:tc>
      </w:tr>
      <w:tr>
        <w:trPr>
          <w:trHeight w:val="20"/>
        </w:trPr>
        <w:tc>
          <w:tcPr>
            <w:tcW w:w="3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81"/>
        </w:trPr>
        <w:tc>
          <w:tcPr>
            <w:tcW w:w="11260" w:type="dxa"/>
            <w:vAlign w:val="bottom"/>
            <w:gridSpan w:val="4"/>
          </w:tcPr>
          <w:p>
            <w:pPr>
              <w:spacing w:after="0"/>
              <w:rPr>
                <w:sz w:val="20"/>
                <w:szCs w:val="20"/>
                <w:color w:val="auto"/>
              </w:rPr>
            </w:pPr>
            <w:r>
              <w:rPr>
                <w:rFonts w:ascii="Arial" w:cs="Arial" w:eastAsia="Arial" w:hAnsi="Arial"/>
                <w:sz w:val="20"/>
                <w:szCs w:val="20"/>
                <w:color w:val="auto"/>
              </w:rPr>
              <w:t>the other Loan Documents and the making and repayment of the Loans hereunder.</w:t>
            </w:r>
          </w:p>
        </w:tc>
      </w:tr>
      <w:tr>
        <w:trPr>
          <w:trHeight w:val="428"/>
        </w:trPr>
        <w:tc>
          <w:tcPr>
            <w:tcW w:w="3000" w:type="dxa"/>
            <w:vAlign w:val="bottom"/>
          </w:tcPr>
          <w:p>
            <w:pPr>
              <w:ind w:left="660"/>
              <w:spacing w:after="0"/>
              <w:rPr>
                <w:sz w:val="20"/>
                <w:szCs w:val="20"/>
                <w:color w:val="auto"/>
              </w:rPr>
            </w:pPr>
            <w:r>
              <w:rPr>
                <w:rFonts w:ascii="Arial" w:cs="Arial" w:eastAsia="Arial" w:hAnsi="Arial"/>
                <w:sz w:val="20"/>
                <w:szCs w:val="20"/>
                <w:color w:val="auto"/>
              </w:rPr>
              <w:t>Section 9.11.</w:t>
            </w:r>
          </w:p>
        </w:tc>
        <w:tc>
          <w:tcPr>
            <w:tcW w:w="8260" w:type="dxa"/>
            <w:vAlign w:val="bottom"/>
            <w:gridSpan w:val="3"/>
          </w:tcPr>
          <w:p>
            <w:pPr>
              <w:spacing w:after="0"/>
              <w:rPr>
                <w:sz w:val="20"/>
                <w:szCs w:val="20"/>
                <w:color w:val="auto"/>
              </w:rPr>
            </w:pPr>
            <w:r>
              <w:rPr>
                <w:rFonts w:ascii="Arial" w:cs="Arial" w:eastAsia="Arial" w:hAnsi="Arial"/>
                <w:sz w:val="20"/>
                <w:szCs w:val="20"/>
                <w:color w:val="auto"/>
                <w:w w:val="91"/>
              </w:rPr>
              <w:t>Domicile of Loans. Subject to the provisions of Article VIII, each Bank may transfer and carry its Loans</w:t>
            </w:r>
          </w:p>
        </w:tc>
      </w:tr>
      <w:tr>
        <w:trPr>
          <w:trHeight w:val="20"/>
        </w:trPr>
        <w:tc>
          <w:tcPr>
            <w:tcW w:w="30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at, to or for the account of any domestic or foreign branch office, subsidiary or affiliate of such Bank.</w:t>
      </w:r>
    </w:p>
    <w:p>
      <w:pPr>
        <w:spacing w:after="0" w:line="243"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 claim may be made by the Borrower or any other Person acting by or through the Borrower against the Administrative Agent or any Bank or the affiliates, directors, officers, employees, attorneys or agent of any of them for any punitive, consequential, special or exemplary damages in respect of any claim for breach of contract or any other theory of liability arising out of or related to the transactions contemplated by this Agreement or by the other Loan Documents, or any act, omission or event occurring in connection therewith; and the Borrower hereby waives, releases and agrees not to sue upon any claim for any such damages, whether or not accrued and whether or not known or suspected to exist in its favor.</w:t>
      </w:r>
    </w:p>
    <w:p>
      <w:pPr>
        <w:spacing w:after="0" w:line="183" w:lineRule="exact"/>
        <w:rPr>
          <w:sz w:val="20"/>
          <w:szCs w:val="20"/>
          <w:color w:val="auto"/>
        </w:rPr>
      </w:pPr>
    </w:p>
    <w:p>
      <w:pPr>
        <w:ind w:right="120" w:firstLine="648"/>
        <w:spacing w:after="0" w:line="274"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u w:val="single" w:color="auto"/>
          <w:color w:val="auto"/>
        </w:rPr>
        <w:t>Recourse Obligation</w:t>
      </w:r>
      <w:r>
        <w:rPr>
          <w:rFonts w:ascii="Arial" w:cs="Arial" w:eastAsia="Arial" w:hAnsi="Arial"/>
          <w:sz w:val="20"/>
          <w:szCs w:val="20"/>
          <w:color w:val="auto"/>
        </w:rPr>
        <w:t>. This Agreement and the Obligations hereunder are fully recourse to the Borrower. Notwithstanding the foregoing, no recourse under or upon any obligation, covenant, or agreement contained in this Agreement shall be had against any officer, director, shareholder or employee of the Borrower except in the event of fraud or misappropriation of funds on the part of such officer, director, shareholder or employee.</w:t>
      </w:r>
    </w:p>
    <w:p>
      <w:pPr>
        <w:spacing w:after="0" w:line="192"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0"/>
          <w:szCs w:val="20"/>
          <w:color w:val="auto"/>
        </w:rPr>
        <w:t>Section 9.14.</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9"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Each of the Agents and the Banks understands that some of the information furnished to it pursuant to this Agreement and the other Loan Documents may be received by it prior to the time that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340"/>
          </w:cols>
          <w:pgMar w:left="240" w:top="595" w:right="319" w:bottom="1440" w:gutter="0" w:footer="0" w:header="0"/>
        </w:sectPr>
      </w:pPr>
    </w:p>
    <w:bookmarkStart w:id="118" w:name="page119"/>
    <w:bookmarkEnd w:id="118"/>
    <w:p>
      <w:pPr>
        <w:spacing w:after="0" w:line="268" w:lineRule="auto"/>
        <w:rPr>
          <w:sz w:val="20"/>
          <w:szCs w:val="20"/>
          <w:color w:val="auto"/>
        </w:rPr>
      </w:pPr>
      <w:r>
        <w:rPr>
          <w:rFonts w:ascii="Arial" w:cs="Arial" w:eastAsia="Arial" w:hAnsi="Arial"/>
          <w:sz w:val="18"/>
          <w:szCs w:val="18"/>
          <w:color w:val="auto"/>
        </w:rPr>
        <w:t xml:space="preserve">such information shall have been made public, and each of the Agents and the Banks hereby agrees that it will keep all Information (as defined below) received by it confidential except that each Agent and each Bank shall be permitted to disclose Information (i) only to such of its officers, directors, employees, agents, auditors, Affiliates and buyers as need to know such information in connection with this Agreement or any other Loan Document and who will be advised of the confidential nature of such Information; (ii) to any other party to this Agreement; (iii) to a proposed Assignee or Participant in accordance with Section 9.6 hereof or to a counterparty or prospective counterparty (or its advisors) to any swap or derivative transaction relating to the Borrower and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Person agrees in writing to keep such Information confidential on terms substantially similar to this Section 9.14; (iv) to the extent required by applicable law and regulations or by any subpoena or other legal process; (v) to the extent requested by any bank regulatory authority or other regulatory authority or self-regulatory organization; (vi) to the extent such information becomes publicly available other than as a result of a breach of this Agreement; (vii) to the extent the Borrower shall have consented to such disclosure or (viii) in connection with any legal or other enforcement proceeding in connection with any Loan Document or any of the transaction contemplated thereby. For the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the Borrower or its officers, directors, employees, agents, auditors, lawyers and Affiliates relating to the Borrower or any of its Subsidiaries or Affiliates (including Investment Affiliates) or any of their respective businesses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provided that, in the case of information received from the Borrower after the date hereof, such information is clearly identified at the time of delivery as confidential provided further, however, that all financial information delivered in connection with this Agreement and the other Loan Documents is deemed to be and shall be treated as confidential. In the event of any required disclosure of Information, any Person required to maintain the confidentiality of such Information as provided in this Section 9.14 agrees to use reasonable efforts to inform the Borrower as promptly as practicable of the circumstances and the Information required to be disclosed to the extent not prohibited by applicable law.</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Bank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Patriot Act</w:t>
      </w:r>
      <w:r>
        <w:rPr>
          <w:rFonts w:ascii="Arial" w:cs="Arial" w:eastAsia="Arial" w:hAnsi="Arial"/>
          <w:sz w:val="20"/>
          <w:szCs w:val="20"/>
          <w:color w:val="auto"/>
        </w:rPr>
        <w:t>”), it is required to obtain, verify and record information that identifies the Borrower, which information includes the name and address of the Borrower and other information that will allow such Bank to identify the Borrower in accordance with the Patriot Act.</w:t>
      </w:r>
    </w:p>
    <w:p>
      <w:pPr>
        <w:spacing w:after="0" w:line="192"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Acknowledgements</w:t>
      </w:r>
      <w:r>
        <w:rPr>
          <w:rFonts w:ascii="Arial" w:cs="Arial" w:eastAsia="Arial" w:hAnsi="Arial"/>
          <w:sz w:val="19"/>
          <w:szCs w:val="19"/>
          <w:color w:val="auto"/>
        </w:rPr>
        <w:t>. The Borrower hereby (a) acknowledges that (i) it has been advised by counsel in the negotiation, execution and delivery of this Agreement and that the Covered Parties have consulted their own accounting, regulatory and tax advisors to the extent the Covered Parties have deemed appropriate in the negotiation, execution and delivery of this Agreement and the other Loan Documents; (ii) none of the Agents or any Bank has any fiduciary, advisory or agency relationship with or duty to the Borrower arising out of or in connection with this Agreement or any of the other Loan Documents, and the relationship between the Agents and Banks, on one hand, and the Borrower, on the other hand, in connection herewith or therewith is solely that of debtor and creditor; (iii) no joint venture is created hereby or by the other Loan Documents or otherwise exists by virtue of the transactions contemplated hereby among the Banks or among the Borrower or any other Covered Parties and the Banks; (iv) the Agents and the Banks on the one hand, and the Covered Parties, on the other hand, have an arm’s length business relationship that does not directly or indirectly give rise to, nor do the Covered Parties rely on, any fiduciary duty to the Covered Parties or their affiliates on the part of the Agents or the Banks; (v) each Agent and Bank has been, is, and will be acting solely as a principal and, except as otherwise expressly agreed in writing by it and the relevant parties, has not been, is not, and will not be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582" w:right="279" w:bottom="1440" w:gutter="0" w:footer="0" w:header="0"/>
        </w:sectPr>
      </w:pPr>
    </w:p>
    <w:bookmarkStart w:id="119" w:name="page120"/>
    <w:bookmarkEnd w:id="119"/>
    <w:p>
      <w:pPr>
        <w:ind w:right="20"/>
        <w:spacing w:after="0" w:line="305" w:lineRule="auto"/>
        <w:rPr>
          <w:sz w:val="20"/>
          <w:szCs w:val="20"/>
          <w:color w:val="auto"/>
        </w:rPr>
      </w:pPr>
      <w:r>
        <w:rPr>
          <w:rFonts w:ascii="Arial" w:cs="Arial" w:eastAsia="Arial" w:hAnsi="Arial"/>
          <w:sz w:val="18"/>
          <w:szCs w:val="18"/>
          <w:color w:val="auto"/>
        </w:rPr>
        <w:t>acting as an advisor, agent or fiduciary for the Covered Parties, any of their affiliates or any other Person; (vi) none of the Agents or Banks has any obligation to the Covered Parties or their affiliates with respect to the transactions contemplated by this Agreement or the other Loan Documents except those obligations expressly set forth herein or therein or in any other express writing executed and delivered by such Agent or Bank and the Covered Parties or any such affiliate; and (vii) the Covered Parties are capable of evaluating and understanding, and the Covered Parties understand and accept, the terms, risks and conditions of the transactions contemplated by this Agreement and the other Loan Documents; and (b) waives and releases, to the fullest extent permitted by law, any claims that it may have against the Administrative Agent or any other Agent or Bank with respect to any breach or alleged breach of agency or fiduciary duty.</w:t>
      </w:r>
    </w:p>
    <w:p>
      <w:pPr>
        <w:spacing w:after="0" w:line="171"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0"/>
          <w:szCs w:val="20"/>
          <w:color w:val="auto"/>
        </w:rPr>
        <w:t>Section 9.17.</w:t>
      </w:r>
      <w:r>
        <w:rPr>
          <w:sz w:val="20"/>
          <w:szCs w:val="20"/>
          <w:color w:val="auto"/>
        </w:rPr>
        <w:tab/>
      </w:r>
      <w:r>
        <w:rPr>
          <w:rFonts w:ascii="Arial" w:cs="Arial" w:eastAsia="Arial" w:hAnsi="Arial"/>
          <w:sz w:val="16"/>
          <w:szCs w:val="16"/>
          <w:u w:val="single" w:color="auto"/>
          <w:color w:val="auto"/>
        </w:rPr>
        <w:t>Releases of Liens.</w:t>
      </w:r>
    </w:p>
    <w:p>
      <w:pPr>
        <w:spacing w:after="0" w:line="243" w:lineRule="exact"/>
        <w:rPr>
          <w:sz w:val="20"/>
          <w:szCs w:val="20"/>
          <w:color w:val="auto"/>
        </w:rPr>
      </w:pPr>
    </w:p>
    <w:p>
      <w:pPr>
        <w:ind w:firstLine="1305"/>
        <w:spacing w:after="0" w:line="271" w:lineRule="auto"/>
        <w:tabs>
          <w:tab w:leader="none" w:pos="216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any other Loan Document, the Administrative Agent is hereby irrevocably authorized by each Bank (without requirement of notice to or consent of any Bank except as expressly required by Section 9.5) to take any action requested by the Borrower (i) having the effect of releasing any Collateral (A) to the extent necessary to permit consummation of any transaction permitted by any Loan Document or that has been consented to in accordance with Section 9.5 or (B) under the circumstances described in paragraph (b) below and (ii) having the effect of confirming that a Covered Subsidiary or Covered Asset are no longer subject to the terms of this Agreement or the Collateral Documents and no longer constitute a “Covered Subsidiary” or “Covered Asset” as defined.</w:t>
      </w:r>
    </w:p>
    <w:p>
      <w:pPr>
        <w:spacing w:after="0" w:line="194" w:lineRule="exact"/>
        <w:rPr>
          <w:rFonts w:ascii="Arial" w:cs="Arial" w:eastAsia="Arial" w:hAnsi="Arial"/>
          <w:sz w:val="20"/>
          <w:szCs w:val="20"/>
          <w:color w:val="auto"/>
        </w:rPr>
      </w:pPr>
    </w:p>
    <w:p>
      <w:pPr>
        <w:ind w:right="60" w:firstLine="1305"/>
        <w:spacing w:after="0" w:line="363" w:lineRule="auto"/>
        <w:tabs>
          <w:tab w:leader="none" w:pos="217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such time as the Loans and the other Obligations under the Loan Documents shall have been paid in full and the Commitments have been terminated, the Collateral shall be released from the Liens created by the Collateral Documents, and the Collateral Documents and all obligations (other than those expressly stated to survive such termination) of the Administrative Agent and each Covered Party under the Collateral Documents shall terminate, all without delivery of any instrument or performance of any act by any Person.</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 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360"/>
          </w:cols>
          <w:pgMar w:left="240" w:top="595" w:right="299" w:bottom="1440" w:gutter="0" w:footer="0" w:header="0"/>
        </w:sectPr>
      </w:pPr>
    </w:p>
    <w:bookmarkStart w:id="120" w:name="page121"/>
    <w:bookmarkEnd w:id="120"/>
    <w:p>
      <w:pPr>
        <w:spacing w:after="0" w:line="34"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39"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iSTAR FINANCIAL INC.,</w:t>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as the Borrower</w:t>
      </w:r>
    </w:p>
    <w:p>
      <w:pPr>
        <w:spacing w:after="0" w:line="362" w:lineRule="exact"/>
        <w:rPr>
          <w:sz w:val="20"/>
          <w:szCs w:val="20"/>
          <w:color w:val="auto"/>
        </w:rPr>
      </w:pPr>
    </w:p>
    <w:p>
      <w:pPr>
        <w:ind w:left="7860"/>
        <w:spacing w:after="0"/>
        <w:tabs>
          <w:tab w:leader="none" w:pos="8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Nina B. Matis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27305</wp:posOffset>
            </wp:positionV>
            <wp:extent cx="1964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7"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Name: Nina B. Matis</w:t>
      </w:r>
    </w:p>
    <w:p>
      <w:pPr>
        <w:spacing w:after="0" w:line="54"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5"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as the Administrative Agent and a Bank</w:t>
      </w:r>
    </w:p>
    <w:p>
      <w:pPr>
        <w:spacing w:after="0" w:line="385" w:lineRule="exact"/>
        <w:rPr>
          <w:sz w:val="20"/>
          <w:szCs w:val="20"/>
          <w:color w:val="auto"/>
        </w:rPr>
      </w:pPr>
    </w:p>
    <w:p>
      <w:pPr>
        <w:ind w:left="7860"/>
        <w:spacing w:after="0"/>
        <w:tabs>
          <w:tab w:leader="none" w:pos="8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Chiara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27305</wp:posOffset>
            </wp:positionV>
            <wp:extent cx="1964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7"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Name: Chiara Carter</w:t>
      </w:r>
    </w:p>
    <w:p>
      <w:pPr>
        <w:spacing w:after="0" w:line="54"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5"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as a Bank</w:t>
      </w:r>
    </w:p>
    <w:p>
      <w:pPr>
        <w:spacing w:after="0" w:line="362" w:lineRule="exact"/>
        <w:rPr>
          <w:sz w:val="20"/>
          <w:szCs w:val="20"/>
          <w:color w:val="auto"/>
        </w:rPr>
      </w:pPr>
    </w:p>
    <w:p>
      <w:pPr>
        <w:ind w:left="7860"/>
        <w:spacing w:after="0"/>
        <w:tabs>
          <w:tab w:leader="none" w:pos="8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Ann E. 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27305</wp:posOffset>
            </wp:positionV>
            <wp:extent cx="1964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7"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Name: Ann E. Kenzie</w:t>
      </w:r>
    </w:p>
    <w:p>
      <w:pPr>
        <w:spacing w:after="0" w:line="54"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5"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BARCLAYS BANK PLC,</w:t>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as a Bank</w:t>
      </w:r>
    </w:p>
    <w:p>
      <w:pPr>
        <w:spacing w:after="0" w:line="362" w:lineRule="exact"/>
        <w:rPr>
          <w:sz w:val="20"/>
          <w:szCs w:val="20"/>
          <w:color w:val="auto"/>
        </w:rPr>
      </w:pPr>
    </w:p>
    <w:p>
      <w:pPr>
        <w:ind w:left="7860"/>
        <w:spacing w:after="0"/>
        <w:tabs>
          <w:tab w:leader="none" w:pos="8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Christine Aharonian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27305</wp:posOffset>
            </wp:positionV>
            <wp:extent cx="1964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7"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Name: Christine Aharonian</w:t>
      </w:r>
    </w:p>
    <w:p>
      <w:pPr>
        <w:spacing w:after="0" w:line="54"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[iStar New Credit Facility]</w:t>
      </w:r>
    </w:p>
    <w:p>
      <w:pPr>
        <w:sectPr>
          <w:pgSz w:w="11900" w:h="16838" w:orient="portrait"/>
          <w:cols w:equalWidth="0" w:num="1">
            <w:col w:w="11360"/>
          </w:cols>
          <w:pgMar w:left="240" w:top="1440" w:right="2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10.2</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1060450</wp:posOffset>
            </wp:positionV>
            <wp:extent cx="5411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147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1077595</wp:posOffset>
            </wp:positionV>
            <wp:extent cx="5411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SECURITY AGREEMENT</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made by</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iSTAR FINANCIAL INC.,</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the other parties hereto</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in favor of</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JPMORGAN CHASE BANK, N.A.,</w:t>
      </w:r>
    </w:p>
    <w:p>
      <w:pPr>
        <w:spacing w:after="0" w:line="11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Administrative Agent</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Dated as of March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302260</wp:posOffset>
            </wp:positionV>
            <wp:extent cx="5411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147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319405</wp:posOffset>
            </wp:positionV>
            <wp:extent cx="5411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ectPr>
          <w:pgSz w:w="11900" w:h="16838" w:orient="portrait"/>
          <w:cols w:equalWidth="0" w:num="1">
            <w:col w:w="10220"/>
          </w:cols>
          <w:pgMar w:left="1440" w:top="796" w:right="239" w:bottom="1440" w:gutter="0" w:footer="0" w:header="0"/>
        </w:sectPr>
      </w:pPr>
    </w:p>
    <w:bookmarkStart w:id="122" w:name="page123"/>
    <w:bookmarkEnd w:id="122"/>
    <w:p>
      <w:pPr>
        <w:ind w:left="3520"/>
        <w:spacing w:after="0"/>
        <w:rPr>
          <w:sz w:val="20"/>
          <w:szCs w:val="20"/>
          <w:color w:val="auto"/>
        </w:rPr>
      </w:pPr>
      <w:r>
        <w:rPr>
          <w:rFonts w:ascii="Arial" w:cs="Arial" w:eastAsia="Arial" w:hAnsi="Arial"/>
          <w:sz w:val="20"/>
          <w:szCs w:val="20"/>
          <w:color w:val="auto"/>
        </w:rPr>
        <w:t>TABLE OF CONTENTS</w:t>
      </w:r>
    </w:p>
    <w:p>
      <w:pPr>
        <w:spacing w:after="0" w:line="351" w:lineRule="exact"/>
        <w:rPr>
          <w:sz w:val="20"/>
          <w:szCs w:val="20"/>
          <w:color w:val="auto"/>
        </w:rPr>
      </w:pPr>
    </w:p>
    <w:p>
      <w:pPr>
        <w:jc w:val="right"/>
        <w:ind w:right="279"/>
        <w:spacing w:after="0"/>
        <w:rPr>
          <w:sz w:val="20"/>
          <w:szCs w:val="20"/>
          <w:color w:val="auto"/>
        </w:rPr>
      </w:pPr>
      <w:r>
        <w:rPr>
          <w:rFonts w:ascii="Arial" w:cs="Arial" w:eastAsia="Arial" w:hAnsi="Arial"/>
          <w:sz w:val="20"/>
          <w:szCs w:val="20"/>
          <w:u w:val="single" w:color="auto"/>
          <w:color w:val="auto"/>
        </w:rPr>
        <w:t>Page</w:t>
      </w:r>
    </w:p>
    <w:p>
      <w:pPr>
        <w:spacing w:after="0" w:line="351" w:lineRule="exact"/>
        <w:rPr>
          <w:sz w:val="20"/>
          <w:szCs w:val="20"/>
          <w:color w:val="auto"/>
        </w:rPr>
      </w:pPr>
    </w:p>
    <w:p>
      <w:pPr>
        <w:ind w:left="260"/>
        <w:spacing w:after="0"/>
        <w:tabs>
          <w:tab w:leader="dot" w:pos="8620" w:val="left"/>
        </w:tabs>
        <w:rPr>
          <w:sz w:val="20"/>
          <w:szCs w:val="20"/>
          <w:color w:val="auto"/>
        </w:rPr>
      </w:pPr>
      <w:r>
        <w:rPr>
          <w:rFonts w:ascii="Arial" w:cs="Arial" w:eastAsia="Arial" w:hAnsi="Arial"/>
          <w:sz w:val="20"/>
          <w:szCs w:val="20"/>
          <w:color w:val="auto"/>
        </w:rPr>
        <w:t>SECTION I DEFINED TERMS</w:t>
      </w:r>
      <w:r>
        <w:rPr>
          <w:sz w:val="20"/>
          <w:szCs w:val="20"/>
          <w:color w:val="auto"/>
        </w:rPr>
        <w:tab/>
      </w:r>
      <w:r>
        <w:rPr>
          <w:rFonts w:ascii="Arial" w:cs="Arial" w:eastAsia="Arial" w:hAnsi="Arial"/>
          <w:sz w:val="16"/>
          <w:szCs w:val="16"/>
          <w:color w:val="auto"/>
        </w:rPr>
        <w:t>1</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1.1.</w:t>
      </w:r>
      <w:r>
        <w:rPr>
          <w:rFonts w:ascii="Arial" w:cs="Arial" w:eastAsia="Arial" w:hAnsi="Arial"/>
          <w:sz w:val="20"/>
          <w:szCs w:val="20"/>
          <w:color w:val="auto"/>
        </w:rPr>
        <w:tab/>
        <w:t>Definitions</w:t>
      </w:r>
      <w:r>
        <w:rPr>
          <w:sz w:val="20"/>
          <w:szCs w:val="20"/>
          <w:color w:val="auto"/>
        </w:rPr>
        <w:tab/>
      </w:r>
      <w:r>
        <w:rPr>
          <w:rFonts w:ascii="Arial" w:cs="Arial" w:eastAsia="Arial" w:hAnsi="Arial"/>
          <w:sz w:val="16"/>
          <w:szCs w:val="16"/>
          <w:color w:val="auto"/>
        </w:rPr>
        <w:t>1</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1.2.</w:t>
      </w:r>
      <w:r>
        <w:rPr>
          <w:rFonts w:ascii="Arial" w:cs="Arial" w:eastAsia="Arial" w:hAnsi="Arial"/>
          <w:sz w:val="20"/>
          <w:szCs w:val="20"/>
          <w:color w:val="auto"/>
        </w:rPr>
        <w:tab/>
        <w:t>Other Definitional Provisions</w:t>
      </w:r>
      <w:r>
        <w:rPr>
          <w:sz w:val="20"/>
          <w:szCs w:val="20"/>
          <w:color w:val="auto"/>
        </w:rPr>
        <w:tab/>
      </w:r>
      <w:r>
        <w:rPr>
          <w:rFonts w:ascii="Arial" w:cs="Arial" w:eastAsia="Arial" w:hAnsi="Arial"/>
          <w:sz w:val="16"/>
          <w:szCs w:val="16"/>
          <w:color w:val="auto"/>
        </w:rPr>
        <w:t>2</w:t>
      </w:r>
    </w:p>
    <w:p>
      <w:pPr>
        <w:spacing w:after="0" w:line="351" w:lineRule="exact"/>
        <w:rPr>
          <w:sz w:val="20"/>
          <w:szCs w:val="20"/>
          <w:color w:val="auto"/>
        </w:rPr>
      </w:pPr>
    </w:p>
    <w:p>
      <w:pPr>
        <w:ind w:left="260"/>
        <w:spacing w:after="0"/>
        <w:tabs>
          <w:tab w:leader="dot" w:pos="8620" w:val="left"/>
        </w:tabs>
        <w:rPr>
          <w:sz w:val="20"/>
          <w:szCs w:val="20"/>
          <w:color w:val="auto"/>
        </w:rPr>
      </w:pPr>
      <w:r>
        <w:rPr>
          <w:rFonts w:ascii="Arial" w:cs="Arial" w:eastAsia="Arial" w:hAnsi="Arial"/>
          <w:sz w:val="20"/>
          <w:szCs w:val="20"/>
          <w:color w:val="auto"/>
        </w:rPr>
        <w:t>SECTION II GRANT OF SECURITY INTEREST</w:t>
      </w:r>
      <w:r>
        <w:rPr>
          <w:sz w:val="20"/>
          <w:szCs w:val="20"/>
          <w:color w:val="auto"/>
        </w:rPr>
        <w:tab/>
      </w:r>
      <w:r>
        <w:rPr>
          <w:rFonts w:ascii="Arial" w:cs="Arial" w:eastAsia="Arial" w:hAnsi="Arial"/>
          <w:sz w:val="16"/>
          <w:szCs w:val="16"/>
          <w:color w:val="auto"/>
        </w:rPr>
        <w:t>3</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2.1</w:t>
      </w:r>
      <w:r>
        <w:rPr>
          <w:rFonts w:ascii="Arial" w:cs="Arial" w:eastAsia="Arial" w:hAnsi="Arial"/>
          <w:sz w:val="20"/>
          <w:szCs w:val="20"/>
          <w:color w:val="auto"/>
        </w:rPr>
        <w:tab/>
        <w:t>Pledge and Grant of Security Interests</w:t>
      </w:r>
      <w:r>
        <w:rPr>
          <w:sz w:val="20"/>
          <w:szCs w:val="20"/>
          <w:color w:val="auto"/>
        </w:rPr>
        <w:tab/>
      </w:r>
      <w:r>
        <w:rPr>
          <w:rFonts w:ascii="Arial" w:cs="Arial" w:eastAsia="Arial" w:hAnsi="Arial"/>
          <w:sz w:val="16"/>
          <w:szCs w:val="16"/>
          <w:color w:val="auto"/>
        </w:rPr>
        <w:t>3</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2.2</w:t>
      </w:r>
      <w:r>
        <w:rPr>
          <w:rFonts w:ascii="Arial" w:cs="Arial" w:eastAsia="Arial" w:hAnsi="Arial"/>
          <w:sz w:val="20"/>
          <w:szCs w:val="20"/>
          <w:color w:val="auto"/>
        </w:rPr>
        <w:tab/>
        <w:t>Procedures for Adding, Withdrawing or Substituting Collateral</w:t>
      </w:r>
      <w:r>
        <w:rPr>
          <w:sz w:val="20"/>
          <w:szCs w:val="20"/>
          <w:color w:val="auto"/>
        </w:rPr>
        <w:tab/>
      </w:r>
      <w:r>
        <w:rPr>
          <w:rFonts w:ascii="Arial" w:cs="Arial" w:eastAsia="Arial" w:hAnsi="Arial"/>
          <w:sz w:val="16"/>
          <w:szCs w:val="16"/>
          <w:color w:val="auto"/>
        </w:rPr>
        <w:t>3</w:t>
      </w:r>
    </w:p>
    <w:p>
      <w:pPr>
        <w:spacing w:after="0" w:line="351" w:lineRule="exact"/>
        <w:rPr>
          <w:sz w:val="20"/>
          <w:szCs w:val="20"/>
          <w:color w:val="auto"/>
        </w:rPr>
      </w:pPr>
    </w:p>
    <w:p>
      <w:pPr>
        <w:ind w:left="260"/>
        <w:spacing w:after="0"/>
        <w:tabs>
          <w:tab w:leader="dot" w:pos="8620" w:val="left"/>
        </w:tabs>
        <w:rPr>
          <w:sz w:val="20"/>
          <w:szCs w:val="20"/>
          <w:color w:val="auto"/>
        </w:rPr>
      </w:pPr>
      <w:r>
        <w:rPr>
          <w:rFonts w:ascii="Arial" w:cs="Arial" w:eastAsia="Arial" w:hAnsi="Arial"/>
          <w:sz w:val="20"/>
          <w:szCs w:val="20"/>
          <w:color w:val="auto"/>
        </w:rPr>
        <w:t>SECTION III REPRESENTATIONS AND WARRANTIES</w:t>
      </w:r>
      <w:r>
        <w:rPr>
          <w:sz w:val="20"/>
          <w:szCs w:val="20"/>
          <w:color w:val="auto"/>
        </w:rPr>
        <w:tab/>
      </w:r>
      <w:r>
        <w:rPr>
          <w:rFonts w:ascii="Arial" w:cs="Arial" w:eastAsia="Arial" w:hAnsi="Arial"/>
          <w:sz w:val="16"/>
          <w:szCs w:val="16"/>
          <w:color w:val="auto"/>
        </w:rPr>
        <w:t>4</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3.1</w:t>
      </w:r>
      <w:r>
        <w:rPr>
          <w:rFonts w:ascii="Arial" w:cs="Arial" w:eastAsia="Arial" w:hAnsi="Arial"/>
          <w:sz w:val="20"/>
          <w:szCs w:val="20"/>
          <w:color w:val="auto"/>
        </w:rPr>
        <w:tab/>
        <w:t>Title; No Other Liens</w:t>
      </w:r>
      <w:r>
        <w:rPr>
          <w:sz w:val="20"/>
          <w:szCs w:val="20"/>
          <w:color w:val="auto"/>
        </w:rPr>
        <w:tab/>
      </w:r>
      <w:r>
        <w:rPr>
          <w:rFonts w:ascii="Arial" w:cs="Arial" w:eastAsia="Arial" w:hAnsi="Arial"/>
          <w:sz w:val="16"/>
          <w:szCs w:val="16"/>
          <w:color w:val="auto"/>
        </w:rPr>
        <w:t>4</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3.2</w:t>
      </w:r>
      <w:r>
        <w:rPr>
          <w:rFonts w:ascii="Arial" w:cs="Arial" w:eastAsia="Arial" w:hAnsi="Arial"/>
          <w:sz w:val="20"/>
          <w:szCs w:val="20"/>
          <w:color w:val="auto"/>
        </w:rPr>
        <w:tab/>
        <w:t>Perfected Security Interests</w:t>
      </w:r>
      <w:r>
        <w:rPr>
          <w:sz w:val="20"/>
          <w:szCs w:val="20"/>
          <w:color w:val="auto"/>
        </w:rPr>
        <w:tab/>
      </w:r>
      <w:r>
        <w:rPr>
          <w:rFonts w:ascii="Arial" w:cs="Arial" w:eastAsia="Arial" w:hAnsi="Arial"/>
          <w:sz w:val="16"/>
          <w:szCs w:val="16"/>
          <w:color w:val="auto"/>
        </w:rPr>
        <w:t>4</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3.3</w:t>
      </w:r>
      <w:r>
        <w:rPr>
          <w:rFonts w:ascii="Arial" w:cs="Arial" w:eastAsia="Arial" w:hAnsi="Arial"/>
          <w:sz w:val="20"/>
          <w:szCs w:val="20"/>
          <w:color w:val="auto"/>
        </w:rPr>
        <w:tab/>
        <w:t>Jurisdiction of Organization</w:t>
      </w:r>
      <w:r>
        <w:rPr>
          <w:sz w:val="20"/>
          <w:szCs w:val="20"/>
          <w:color w:val="auto"/>
        </w:rPr>
        <w:tab/>
      </w:r>
      <w:r>
        <w:rPr>
          <w:rFonts w:ascii="Arial" w:cs="Arial" w:eastAsia="Arial" w:hAnsi="Arial"/>
          <w:sz w:val="16"/>
          <w:szCs w:val="16"/>
          <w:color w:val="auto"/>
        </w:rPr>
        <w:t>4</w:t>
      </w:r>
    </w:p>
    <w:p>
      <w:pPr>
        <w:spacing w:after="0" w:line="351" w:lineRule="exact"/>
        <w:rPr>
          <w:sz w:val="20"/>
          <w:szCs w:val="20"/>
          <w:color w:val="auto"/>
        </w:rPr>
      </w:pPr>
    </w:p>
    <w:p>
      <w:pPr>
        <w:ind w:left="260"/>
        <w:spacing w:after="0"/>
        <w:tabs>
          <w:tab w:leader="dot" w:pos="8620" w:val="left"/>
        </w:tabs>
        <w:rPr>
          <w:sz w:val="20"/>
          <w:szCs w:val="20"/>
          <w:color w:val="auto"/>
        </w:rPr>
      </w:pPr>
      <w:r>
        <w:rPr>
          <w:rFonts w:ascii="Arial" w:cs="Arial" w:eastAsia="Arial" w:hAnsi="Arial"/>
          <w:sz w:val="20"/>
          <w:szCs w:val="20"/>
          <w:color w:val="auto"/>
        </w:rPr>
        <w:t>SECTION IV COVENANTS; MANAGEMENT</w:t>
      </w:r>
      <w:r>
        <w:rPr>
          <w:sz w:val="20"/>
          <w:szCs w:val="20"/>
          <w:color w:val="auto"/>
        </w:rPr>
        <w:tab/>
      </w:r>
      <w:r>
        <w:rPr>
          <w:rFonts w:ascii="Arial" w:cs="Arial" w:eastAsia="Arial" w:hAnsi="Arial"/>
          <w:sz w:val="16"/>
          <w:szCs w:val="16"/>
          <w:color w:val="auto"/>
        </w:rPr>
        <w:t>4</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4.1</w:t>
      </w:r>
      <w:r>
        <w:rPr>
          <w:rFonts w:ascii="Arial" w:cs="Arial" w:eastAsia="Arial" w:hAnsi="Arial"/>
          <w:sz w:val="20"/>
          <w:szCs w:val="20"/>
          <w:color w:val="auto"/>
        </w:rPr>
        <w:tab/>
        <w:t>Payment of Obligations</w:t>
      </w:r>
      <w:r>
        <w:rPr>
          <w:sz w:val="20"/>
          <w:szCs w:val="20"/>
          <w:color w:val="auto"/>
        </w:rPr>
        <w:tab/>
      </w:r>
      <w:r>
        <w:rPr>
          <w:rFonts w:ascii="Arial" w:cs="Arial" w:eastAsia="Arial" w:hAnsi="Arial"/>
          <w:sz w:val="16"/>
          <w:szCs w:val="16"/>
          <w:color w:val="auto"/>
        </w:rPr>
        <w:t>4</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4.2</w:t>
      </w:r>
      <w:r>
        <w:rPr>
          <w:rFonts w:ascii="Arial" w:cs="Arial" w:eastAsia="Arial" w:hAnsi="Arial"/>
          <w:sz w:val="20"/>
          <w:szCs w:val="20"/>
          <w:color w:val="auto"/>
        </w:rPr>
        <w:tab/>
        <w:t>Maintenance of Perfected Security Interest; Further Documentation</w:t>
      </w:r>
      <w:r>
        <w:rPr>
          <w:sz w:val="20"/>
          <w:szCs w:val="20"/>
          <w:color w:val="auto"/>
        </w:rPr>
        <w:tab/>
      </w:r>
      <w:r>
        <w:rPr>
          <w:rFonts w:ascii="Arial" w:cs="Arial" w:eastAsia="Arial" w:hAnsi="Arial"/>
          <w:sz w:val="16"/>
          <w:szCs w:val="16"/>
          <w:color w:val="auto"/>
        </w:rPr>
        <w:t>5</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4.3</w:t>
      </w:r>
      <w:r>
        <w:rPr>
          <w:rFonts w:ascii="Arial" w:cs="Arial" w:eastAsia="Arial" w:hAnsi="Arial"/>
          <w:sz w:val="20"/>
          <w:szCs w:val="20"/>
          <w:color w:val="auto"/>
        </w:rPr>
        <w:tab/>
        <w:t>Changes in Name, etc</w:t>
      </w:r>
      <w:r>
        <w:rPr>
          <w:sz w:val="20"/>
          <w:szCs w:val="20"/>
          <w:color w:val="auto"/>
        </w:rPr>
        <w:tab/>
      </w:r>
      <w:r>
        <w:rPr>
          <w:rFonts w:ascii="Arial" w:cs="Arial" w:eastAsia="Arial" w:hAnsi="Arial"/>
          <w:sz w:val="16"/>
          <w:szCs w:val="16"/>
          <w:color w:val="auto"/>
        </w:rPr>
        <w:t>5</w:t>
      </w:r>
    </w:p>
    <w:p>
      <w:pPr>
        <w:spacing w:after="0" w:line="351" w:lineRule="exact"/>
        <w:rPr>
          <w:sz w:val="20"/>
          <w:szCs w:val="20"/>
          <w:color w:val="auto"/>
        </w:rPr>
      </w:pPr>
    </w:p>
    <w:p>
      <w:pPr>
        <w:ind w:left="260"/>
        <w:spacing w:after="0"/>
        <w:tabs>
          <w:tab w:leader="dot" w:pos="8620" w:val="left"/>
        </w:tabs>
        <w:rPr>
          <w:sz w:val="20"/>
          <w:szCs w:val="20"/>
          <w:color w:val="auto"/>
        </w:rPr>
      </w:pPr>
      <w:r>
        <w:rPr>
          <w:rFonts w:ascii="Arial" w:cs="Arial" w:eastAsia="Arial" w:hAnsi="Arial"/>
          <w:sz w:val="20"/>
          <w:szCs w:val="20"/>
          <w:color w:val="auto"/>
        </w:rPr>
        <w:t>SECTION V REMEDIAL PROVISIONS</w:t>
      </w:r>
      <w:r>
        <w:rPr>
          <w:sz w:val="20"/>
          <w:szCs w:val="20"/>
          <w:color w:val="auto"/>
        </w:rPr>
        <w:tab/>
      </w:r>
      <w:r>
        <w:rPr>
          <w:rFonts w:ascii="Arial" w:cs="Arial" w:eastAsia="Arial" w:hAnsi="Arial"/>
          <w:sz w:val="16"/>
          <w:szCs w:val="16"/>
          <w:color w:val="auto"/>
        </w:rPr>
        <w:t>5</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5.1</w:t>
      </w:r>
      <w:r>
        <w:rPr>
          <w:rFonts w:ascii="Arial" w:cs="Arial" w:eastAsia="Arial" w:hAnsi="Arial"/>
          <w:sz w:val="20"/>
          <w:szCs w:val="20"/>
          <w:color w:val="auto"/>
        </w:rPr>
        <w:tab/>
        <w:t>Pledged Stocks</w:t>
      </w:r>
      <w:r>
        <w:rPr>
          <w:sz w:val="20"/>
          <w:szCs w:val="20"/>
          <w:color w:val="auto"/>
        </w:rPr>
        <w:tab/>
      </w:r>
      <w:r>
        <w:rPr>
          <w:rFonts w:ascii="Arial" w:cs="Arial" w:eastAsia="Arial" w:hAnsi="Arial"/>
          <w:sz w:val="16"/>
          <w:szCs w:val="16"/>
          <w:color w:val="auto"/>
        </w:rPr>
        <w:t>5</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5.2</w:t>
      </w:r>
      <w:r>
        <w:rPr>
          <w:rFonts w:ascii="Arial" w:cs="Arial" w:eastAsia="Arial" w:hAnsi="Arial"/>
          <w:sz w:val="20"/>
          <w:szCs w:val="20"/>
          <w:color w:val="auto"/>
        </w:rPr>
        <w:tab/>
        <w:t>Proceeds to be Turned Over to Administrative Agent</w:t>
      </w:r>
      <w:r>
        <w:rPr>
          <w:sz w:val="20"/>
          <w:szCs w:val="20"/>
          <w:color w:val="auto"/>
        </w:rPr>
        <w:tab/>
      </w:r>
      <w:r>
        <w:rPr>
          <w:rFonts w:ascii="Arial" w:cs="Arial" w:eastAsia="Arial" w:hAnsi="Arial"/>
          <w:sz w:val="16"/>
          <w:szCs w:val="16"/>
          <w:color w:val="auto"/>
        </w:rPr>
        <w:t>6</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5.3</w:t>
      </w:r>
      <w:r>
        <w:rPr>
          <w:rFonts w:ascii="Arial" w:cs="Arial" w:eastAsia="Arial" w:hAnsi="Arial"/>
          <w:sz w:val="20"/>
          <w:szCs w:val="20"/>
          <w:color w:val="auto"/>
        </w:rPr>
        <w:tab/>
        <w:t>Application of Proceeds</w:t>
      </w:r>
      <w:r>
        <w:rPr>
          <w:sz w:val="20"/>
          <w:szCs w:val="20"/>
          <w:color w:val="auto"/>
        </w:rPr>
        <w:tab/>
      </w:r>
      <w:r>
        <w:rPr>
          <w:rFonts w:ascii="Arial" w:cs="Arial" w:eastAsia="Arial" w:hAnsi="Arial"/>
          <w:sz w:val="16"/>
          <w:szCs w:val="16"/>
          <w:color w:val="auto"/>
        </w:rPr>
        <w:t>6</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5.4</w:t>
      </w:r>
      <w:r>
        <w:rPr>
          <w:rFonts w:ascii="Arial" w:cs="Arial" w:eastAsia="Arial" w:hAnsi="Arial"/>
          <w:sz w:val="20"/>
          <w:szCs w:val="20"/>
          <w:color w:val="auto"/>
        </w:rPr>
        <w:tab/>
        <w:t>Code and Other Remedies</w:t>
      </w:r>
      <w:r>
        <w:rPr>
          <w:sz w:val="20"/>
          <w:szCs w:val="20"/>
          <w:color w:val="auto"/>
        </w:rPr>
        <w:tab/>
      </w:r>
      <w:r>
        <w:rPr>
          <w:rFonts w:ascii="Arial" w:cs="Arial" w:eastAsia="Arial" w:hAnsi="Arial"/>
          <w:sz w:val="16"/>
          <w:szCs w:val="16"/>
          <w:color w:val="auto"/>
        </w:rPr>
        <w:t>7</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5.5</w:t>
      </w:r>
      <w:r>
        <w:rPr>
          <w:rFonts w:ascii="Arial" w:cs="Arial" w:eastAsia="Arial" w:hAnsi="Arial"/>
          <w:sz w:val="20"/>
          <w:szCs w:val="20"/>
          <w:color w:val="auto"/>
        </w:rPr>
        <w:tab/>
        <w:t>Securities Act, etc</w:t>
      </w:r>
      <w:r>
        <w:rPr>
          <w:sz w:val="20"/>
          <w:szCs w:val="20"/>
          <w:color w:val="auto"/>
        </w:rPr>
        <w:tab/>
      </w:r>
      <w:r>
        <w:rPr>
          <w:rFonts w:ascii="Arial" w:cs="Arial" w:eastAsia="Arial" w:hAnsi="Arial"/>
          <w:sz w:val="16"/>
          <w:szCs w:val="16"/>
          <w:color w:val="auto"/>
        </w:rPr>
        <w:t>7</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5.6</w:t>
      </w:r>
      <w:r>
        <w:rPr>
          <w:rFonts w:ascii="Arial" w:cs="Arial" w:eastAsia="Arial" w:hAnsi="Arial"/>
          <w:sz w:val="20"/>
          <w:szCs w:val="20"/>
          <w:color w:val="auto"/>
        </w:rPr>
        <w:tab/>
        <w:t>Deficiency</w:t>
      </w:r>
      <w:r>
        <w:rPr>
          <w:sz w:val="20"/>
          <w:szCs w:val="20"/>
          <w:color w:val="auto"/>
        </w:rPr>
        <w:tab/>
      </w:r>
      <w:r>
        <w:rPr>
          <w:rFonts w:ascii="Arial" w:cs="Arial" w:eastAsia="Arial" w:hAnsi="Arial"/>
          <w:sz w:val="16"/>
          <w:szCs w:val="16"/>
          <w:color w:val="auto"/>
        </w:rPr>
        <w:t>8</w:t>
      </w:r>
    </w:p>
    <w:p>
      <w:pPr>
        <w:spacing w:after="0" w:line="351" w:lineRule="exact"/>
        <w:rPr>
          <w:sz w:val="20"/>
          <w:szCs w:val="20"/>
          <w:color w:val="auto"/>
        </w:rPr>
      </w:pPr>
    </w:p>
    <w:p>
      <w:pPr>
        <w:ind w:left="260"/>
        <w:spacing w:after="0"/>
        <w:tabs>
          <w:tab w:leader="dot" w:pos="8620" w:val="left"/>
        </w:tabs>
        <w:rPr>
          <w:sz w:val="20"/>
          <w:szCs w:val="20"/>
          <w:color w:val="auto"/>
        </w:rPr>
      </w:pPr>
      <w:r>
        <w:rPr>
          <w:rFonts w:ascii="Arial" w:cs="Arial" w:eastAsia="Arial" w:hAnsi="Arial"/>
          <w:sz w:val="20"/>
          <w:szCs w:val="20"/>
          <w:color w:val="auto"/>
        </w:rPr>
        <w:t>SECTION VI THE ADMINISTRATIVE AGENT</w:t>
      </w:r>
      <w:r>
        <w:rPr>
          <w:sz w:val="20"/>
          <w:szCs w:val="20"/>
          <w:color w:val="auto"/>
        </w:rPr>
        <w:tab/>
      </w:r>
      <w:r>
        <w:rPr>
          <w:rFonts w:ascii="Arial" w:cs="Arial" w:eastAsia="Arial" w:hAnsi="Arial"/>
          <w:sz w:val="16"/>
          <w:szCs w:val="16"/>
          <w:color w:val="auto"/>
        </w:rPr>
        <w:t>8</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6.1</w:t>
      </w:r>
      <w:r>
        <w:rPr>
          <w:rFonts w:ascii="Arial" w:cs="Arial" w:eastAsia="Arial" w:hAnsi="Arial"/>
          <w:sz w:val="20"/>
          <w:szCs w:val="20"/>
          <w:color w:val="auto"/>
        </w:rPr>
        <w:tab/>
        <w:t>Administrative Agent’s Appointment as Attorney-in-Fact, etc</w:t>
      </w:r>
      <w:r>
        <w:rPr>
          <w:sz w:val="20"/>
          <w:szCs w:val="20"/>
          <w:color w:val="auto"/>
        </w:rPr>
        <w:tab/>
      </w:r>
      <w:r>
        <w:rPr>
          <w:rFonts w:ascii="Arial" w:cs="Arial" w:eastAsia="Arial" w:hAnsi="Arial"/>
          <w:sz w:val="16"/>
          <w:szCs w:val="16"/>
          <w:color w:val="auto"/>
        </w:rPr>
        <w:t>8</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6.2</w:t>
      </w:r>
      <w:r>
        <w:rPr>
          <w:rFonts w:ascii="Arial" w:cs="Arial" w:eastAsia="Arial" w:hAnsi="Arial"/>
          <w:sz w:val="20"/>
          <w:szCs w:val="20"/>
          <w:color w:val="auto"/>
        </w:rPr>
        <w:tab/>
        <w:t>Duty of Administrative Agent</w:t>
      </w:r>
      <w:r>
        <w:rPr>
          <w:sz w:val="20"/>
          <w:szCs w:val="20"/>
          <w:color w:val="auto"/>
        </w:rPr>
        <w:tab/>
      </w:r>
      <w:r>
        <w:rPr>
          <w:rFonts w:ascii="Arial" w:cs="Arial" w:eastAsia="Arial" w:hAnsi="Arial"/>
          <w:sz w:val="16"/>
          <w:szCs w:val="16"/>
          <w:color w:val="auto"/>
        </w:rPr>
        <w:t>9</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6.3</w:t>
      </w:r>
      <w:r>
        <w:rPr>
          <w:rFonts w:ascii="Arial" w:cs="Arial" w:eastAsia="Arial" w:hAnsi="Arial"/>
          <w:sz w:val="20"/>
          <w:szCs w:val="20"/>
          <w:color w:val="auto"/>
        </w:rPr>
        <w:tab/>
        <w:t>Authorization of Financing Statements</w:t>
      </w:r>
      <w:r>
        <w:rPr>
          <w:sz w:val="20"/>
          <w:szCs w:val="20"/>
          <w:color w:val="auto"/>
        </w:rPr>
        <w:tab/>
      </w:r>
      <w:r>
        <w:rPr>
          <w:rFonts w:ascii="Arial" w:cs="Arial" w:eastAsia="Arial" w:hAnsi="Arial"/>
          <w:sz w:val="16"/>
          <w:szCs w:val="16"/>
          <w:color w:val="auto"/>
        </w:rPr>
        <w:t>9</w:t>
      </w:r>
    </w:p>
    <w:p>
      <w:pPr>
        <w:spacing w:after="0" w:line="54" w:lineRule="exact"/>
        <w:rPr>
          <w:sz w:val="20"/>
          <w:szCs w:val="20"/>
          <w:color w:val="auto"/>
        </w:rPr>
      </w:pPr>
    </w:p>
    <w:p>
      <w:pPr>
        <w:ind w:left="640"/>
        <w:spacing w:after="0"/>
        <w:tabs>
          <w:tab w:leader="none" w:pos="1160" w:val="left"/>
          <w:tab w:leader="dot" w:pos="8620" w:val="left"/>
        </w:tabs>
        <w:rPr>
          <w:sz w:val="20"/>
          <w:szCs w:val="20"/>
          <w:color w:val="auto"/>
        </w:rPr>
      </w:pPr>
      <w:r>
        <w:rPr>
          <w:rFonts w:ascii="Arial" w:cs="Arial" w:eastAsia="Arial" w:hAnsi="Arial"/>
          <w:sz w:val="20"/>
          <w:szCs w:val="20"/>
          <w:color w:val="010000"/>
        </w:rPr>
        <w:t>6.4</w:t>
      </w:r>
      <w:r>
        <w:rPr>
          <w:rFonts w:ascii="Arial" w:cs="Arial" w:eastAsia="Arial" w:hAnsi="Arial"/>
          <w:sz w:val="20"/>
          <w:szCs w:val="20"/>
          <w:color w:val="auto"/>
        </w:rPr>
        <w:tab/>
        <w:t>Authority of Administrative Agent</w:t>
      </w:r>
      <w:r>
        <w:rPr>
          <w:sz w:val="20"/>
          <w:szCs w:val="20"/>
          <w:color w:val="auto"/>
        </w:rPr>
        <w:tab/>
      </w:r>
      <w:r>
        <w:rPr>
          <w:rFonts w:ascii="Arial" w:cs="Arial" w:eastAsia="Arial" w:hAnsi="Arial"/>
          <w:sz w:val="16"/>
          <w:szCs w:val="16"/>
          <w:color w:val="auto"/>
        </w:rPr>
        <w:t>9</w:t>
      </w:r>
    </w:p>
    <w:p>
      <w:pPr>
        <w:spacing w:after="0" w:line="351" w:lineRule="exact"/>
        <w:rPr>
          <w:sz w:val="20"/>
          <w:szCs w:val="20"/>
          <w:color w:val="auto"/>
        </w:rPr>
      </w:pPr>
    </w:p>
    <w:p>
      <w:pPr>
        <w:ind w:left="260"/>
        <w:spacing w:after="0"/>
        <w:tabs>
          <w:tab w:leader="dot" w:pos="8520" w:val="left"/>
        </w:tabs>
        <w:rPr>
          <w:sz w:val="20"/>
          <w:szCs w:val="20"/>
          <w:color w:val="auto"/>
        </w:rPr>
      </w:pPr>
      <w:r>
        <w:rPr>
          <w:rFonts w:ascii="Arial" w:cs="Arial" w:eastAsia="Arial" w:hAnsi="Arial"/>
          <w:sz w:val="20"/>
          <w:szCs w:val="20"/>
          <w:color w:val="auto"/>
        </w:rPr>
        <w:t>SECTION VII MISCELLANEOUS</w:t>
      </w:r>
      <w:r>
        <w:rPr>
          <w:sz w:val="20"/>
          <w:szCs w:val="20"/>
          <w:color w:val="auto"/>
        </w:rPr>
        <w:tab/>
      </w:r>
      <w:r>
        <w:rPr>
          <w:rFonts w:ascii="Arial" w:cs="Arial" w:eastAsia="Arial" w:hAnsi="Arial"/>
          <w:sz w:val="16"/>
          <w:szCs w:val="16"/>
          <w:color w:val="auto"/>
        </w:rPr>
        <w:t>10</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7.1</w:t>
      </w:r>
      <w:r>
        <w:rPr>
          <w:rFonts w:ascii="Arial" w:cs="Arial" w:eastAsia="Arial" w:hAnsi="Arial"/>
          <w:sz w:val="20"/>
          <w:szCs w:val="20"/>
          <w:color w:val="auto"/>
        </w:rPr>
        <w:tab/>
        <w:t>Amendments, Supplements and Waivers</w:t>
      </w:r>
      <w:r>
        <w:rPr>
          <w:sz w:val="20"/>
          <w:szCs w:val="20"/>
          <w:color w:val="auto"/>
        </w:rPr>
        <w:tab/>
      </w:r>
      <w:r>
        <w:rPr>
          <w:rFonts w:ascii="Arial" w:cs="Arial" w:eastAsia="Arial" w:hAnsi="Arial"/>
          <w:sz w:val="16"/>
          <w:szCs w:val="16"/>
          <w:color w:val="auto"/>
        </w:rPr>
        <w:t>10</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7.2</w:t>
      </w:r>
      <w:r>
        <w:rPr>
          <w:rFonts w:ascii="Arial" w:cs="Arial" w:eastAsia="Arial" w:hAnsi="Arial"/>
          <w:sz w:val="20"/>
          <w:szCs w:val="20"/>
          <w:color w:val="auto"/>
        </w:rPr>
        <w:tab/>
        <w:t>Notices</w:t>
      </w:r>
      <w:r>
        <w:rPr>
          <w:sz w:val="20"/>
          <w:szCs w:val="20"/>
          <w:color w:val="auto"/>
        </w:rPr>
        <w:tab/>
      </w:r>
      <w:r>
        <w:rPr>
          <w:rFonts w:ascii="Arial" w:cs="Arial" w:eastAsia="Arial" w:hAnsi="Arial"/>
          <w:sz w:val="16"/>
          <w:szCs w:val="16"/>
          <w:color w:val="auto"/>
        </w:rPr>
        <w:t>10</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7.3</w:t>
      </w:r>
      <w:r>
        <w:rPr>
          <w:rFonts w:ascii="Arial" w:cs="Arial" w:eastAsia="Arial" w:hAnsi="Arial"/>
          <w:sz w:val="20"/>
          <w:szCs w:val="20"/>
          <w:color w:val="auto"/>
        </w:rPr>
        <w:tab/>
        <w:t>No Waiver by Course of Conduct; Cumulative Remedies</w:t>
      </w:r>
      <w:r>
        <w:rPr>
          <w:sz w:val="20"/>
          <w:szCs w:val="20"/>
          <w:color w:val="auto"/>
        </w:rPr>
        <w:tab/>
      </w:r>
      <w:r>
        <w:rPr>
          <w:rFonts w:ascii="Arial" w:cs="Arial" w:eastAsia="Arial" w:hAnsi="Arial"/>
          <w:sz w:val="16"/>
          <w:szCs w:val="16"/>
          <w:color w:val="auto"/>
        </w:rPr>
        <w:t>10</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7.4</w:t>
      </w:r>
      <w:r>
        <w:rPr>
          <w:rFonts w:ascii="Arial" w:cs="Arial" w:eastAsia="Arial" w:hAnsi="Arial"/>
          <w:sz w:val="20"/>
          <w:szCs w:val="20"/>
          <w:color w:val="auto"/>
        </w:rPr>
        <w:tab/>
        <w:t>Successors and Assigns</w:t>
      </w:r>
      <w:r>
        <w:rPr>
          <w:sz w:val="20"/>
          <w:szCs w:val="20"/>
          <w:color w:val="auto"/>
        </w:rPr>
        <w:tab/>
      </w:r>
      <w:r>
        <w:rPr>
          <w:rFonts w:ascii="Arial" w:cs="Arial" w:eastAsia="Arial" w:hAnsi="Arial"/>
          <w:sz w:val="16"/>
          <w:szCs w:val="16"/>
          <w:color w:val="auto"/>
        </w:rPr>
        <w:t>10</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7.5</w:t>
      </w:r>
      <w:r>
        <w:rPr>
          <w:rFonts w:ascii="Arial" w:cs="Arial" w:eastAsia="Arial" w:hAnsi="Arial"/>
          <w:sz w:val="20"/>
          <w:szCs w:val="20"/>
          <w:color w:val="auto"/>
        </w:rPr>
        <w:tab/>
        <w:t>Counterparts</w:t>
      </w:r>
      <w:r>
        <w:rPr>
          <w:sz w:val="20"/>
          <w:szCs w:val="20"/>
          <w:color w:val="auto"/>
        </w:rPr>
        <w:tab/>
      </w:r>
      <w:r>
        <w:rPr>
          <w:rFonts w:ascii="Arial" w:cs="Arial" w:eastAsia="Arial" w:hAnsi="Arial"/>
          <w:sz w:val="16"/>
          <w:szCs w:val="16"/>
          <w:color w:val="auto"/>
        </w:rPr>
        <w:t>11</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7.6</w:t>
      </w:r>
      <w:r>
        <w:rPr>
          <w:rFonts w:ascii="Arial" w:cs="Arial" w:eastAsia="Arial" w:hAnsi="Arial"/>
          <w:sz w:val="20"/>
          <w:szCs w:val="20"/>
          <w:color w:val="auto"/>
        </w:rPr>
        <w:tab/>
        <w:t>Severability</w:t>
      </w:r>
      <w:r>
        <w:rPr>
          <w:sz w:val="20"/>
          <w:szCs w:val="20"/>
          <w:color w:val="auto"/>
        </w:rPr>
        <w:tab/>
      </w:r>
      <w:r>
        <w:rPr>
          <w:rFonts w:ascii="Arial" w:cs="Arial" w:eastAsia="Arial" w:hAnsi="Arial"/>
          <w:sz w:val="16"/>
          <w:szCs w:val="16"/>
          <w:color w:val="auto"/>
        </w:rPr>
        <w:t>11</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7.7</w:t>
      </w:r>
      <w:r>
        <w:rPr>
          <w:rFonts w:ascii="Arial" w:cs="Arial" w:eastAsia="Arial" w:hAnsi="Arial"/>
          <w:sz w:val="20"/>
          <w:szCs w:val="20"/>
          <w:color w:val="auto"/>
        </w:rPr>
        <w:tab/>
        <w:t>Section Headings</w:t>
      </w:r>
      <w:r>
        <w:rPr>
          <w:sz w:val="20"/>
          <w:szCs w:val="20"/>
          <w:color w:val="auto"/>
        </w:rPr>
        <w:tab/>
      </w:r>
      <w:r>
        <w:rPr>
          <w:rFonts w:ascii="Arial" w:cs="Arial" w:eastAsia="Arial" w:hAnsi="Arial"/>
          <w:sz w:val="16"/>
          <w:szCs w:val="16"/>
          <w:color w:val="auto"/>
        </w:rPr>
        <w:t>11</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7.8</w:t>
      </w:r>
      <w:r>
        <w:rPr>
          <w:rFonts w:ascii="Arial" w:cs="Arial" w:eastAsia="Arial" w:hAnsi="Arial"/>
          <w:sz w:val="20"/>
          <w:szCs w:val="20"/>
          <w:color w:val="auto"/>
        </w:rPr>
        <w:tab/>
        <w:t>Integration</w:t>
      </w:r>
      <w:r>
        <w:rPr>
          <w:sz w:val="20"/>
          <w:szCs w:val="20"/>
          <w:color w:val="auto"/>
        </w:rPr>
        <w:tab/>
      </w:r>
      <w:r>
        <w:rPr>
          <w:rFonts w:ascii="Arial" w:cs="Arial" w:eastAsia="Arial" w:hAnsi="Arial"/>
          <w:sz w:val="16"/>
          <w:szCs w:val="16"/>
          <w:color w:val="auto"/>
        </w:rPr>
        <w:t>11</w:t>
      </w:r>
    </w:p>
    <w:p>
      <w:pPr>
        <w:spacing w:after="0" w:line="48"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7.9</w:t>
      </w:r>
      <w:r>
        <w:rPr>
          <w:sz w:val="20"/>
          <w:szCs w:val="20"/>
          <w:color w:val="auto"/>
        </w:rPr>
        <w:tab/>
      </w:r>
      <w:r>
        <w:rPr>
          <w:rFonts w:ascii="Arial" w:cs="Arial" w:eastAsia="Arial" w:hAnsi="Arial"/>
          <w:sz w:val="20"/>
          <w:szCs w:val="20"/>
          <w:b w:val="1"/>
          <w:bCs w:val="1"/>
          <w:color w:val="auto"/>
        </w:rPr>
        <w:t>GOVERNING LAW</w:t>
      </w:r>
      <w:r>
        <w:rPr>
          <w:sz w:val="20"/>
          <w:szCs w:val="20"/>
          <w:color w:val="auto"/>
        </w:rPr>
        <w:tab/>
      </w:r>
      <w:r>
        <w:rPr>
          <w:rFonts w:ascii="Arial" w:cs="Arial" w:eastAsia="Arial" w:hAnsi="Arial"/>
          <w:sz w:val="16"/>
          <w:szCs w:val="16"/>
          <w:color w:val="auto"/>
        </w:rPr>
        <w:t>11</w:t>
      </w:r>
    </w:p>
    <w:p>
      <w:pPr>
        <w:spacing w:after="0" w:line="60"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7.10</w:t>
      </w:r>
      <w:r>
        <w:rPr>
          <w:rFonts w:ascii="Arial" w:cs="Arial" w:eastAsia="Arial" w:hAnsi="Arial"/>
          <w:sz w:val="20"/>
          <w:szCs w:val="20"/>
          <w:color w:val="auto"/>
        </w:rPr>
        <w:tab/>
        <w:t>Submission To Jurisdiction; Waivers</w:t>
      </w:r>
      <w:r>
        <w:rPr>
          <w:sz w:val="20"/>
          <w:szCs w:val="20"/>
          <w:color w:val="auto"/>
        </w:rPr>
        <w:tab/>
      </w:r>
      <w:r>
        <w:rPr>
          <w:rFonts w:ascii="Arial" w:cs="Arial" w:eastAsia="Arial" w:hAnsi="Arial"/>
          <w:sz w:val="16"/>
          <w:szCs w:val="16"/>
          <w:color w:val="auto"/>
        </w:rPr>
        <w:t>11</w:t>
      </w:r>
    </w:p>
    <w:p>
      <w:pPr>
        <w:spacing w:after="0" w:line="54"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7.11</w:t>
      </w:r>
      <w:r>
        <w:rPr>
          <w:rFonts w:ascii="Arial" w:cs="Arial" w:eastAsia="Arial" w:hAnsi="Arial"/>
          <w:sz w:val="20"/>
          <w:szCs w:val="20"/>
          <w:color w:val="auto"/>
        </w:rPr>
        <w:tab/>
        <w:t>Releases; Termination</w:t>
      </w:r>
      <w:r>
        <w:rPr>
          <w:sz w:val="20"/>
          <w:szCs w:val="20"/>
          <w:color w:val="auto"/>
        </w:rPr>
        <w:tab/>
      </w:r>
      <w:r>
        <w:rPr>
          <w:rFonts w:ascii="Arial" w:cs="Arial" w:eastAsia="Arial" w:hAnsi="Arial"/>
          <w:sz w:val="16"/>
          <w:szCs w:val="16"/>
          <w:color w:val="auto"/>
        </w:rPr>
        <w:t>11</w:t>
      </w:r>
    </w:p>
    <w:p>
      <w:pPr>
        <w:spacing w:after="0" w:line="48" w:lineRule="exact"/>
        <w:rPr>
          <w:sz w:val="20"/>
          <w:szCs w:val="20"/>
          <w:color w:val="auto"/>
        </w:rPr>
      </w:pPr>
    </w:p>
    <w:p>
      <w:pPr>
        <w:ind w:left="640"/>
        <w:spacing w:after="0"/>
        <w:tabs>
          <w:tab w:leader="none" w:pos="1160" w:val="left"/>
          <w:tab w:leader="dot" w:pos="8520" w:val="left"/>
        </w:tabs>
        <w:rPr>
          <w:sz w:val="20"/>
          <w:szCs w:val="20"/>
          <w:color w:val="auto"/>
        </w:rPr>
      </w:pPr>
      <w:r>
        <w:rPr>
          <w:rFonts w:ascii="Arial" w:cs="Arial" w:eastAsia="Arial" w:hAnsi="Arial"/>
          <w:sz w:val="20"/>
          <w:szCs w:val="20"/>
          <w:color w:val="010000"/>
        </w:rPr>
        <w:t>7.12</w:t>
      </w:r>
      <w:r>
        <w:rPr>
          <w:sz w:val="20"/>
          <w:szCs w:val="20"/>
          <w:color w:val="auto"/>
        </w:rPr>
        <w:tab/>
      </w:r>
      <w:r>
        <w:rPr>
          <w:rFonts w:ascii="Arial" w:cs="Arial" w:eastAsia="Arial" w:hAnsi="Arial"/>
          <w:sz w:val="20"/>
          <w:szCs w:val="20"/>
          <w:b w:val="1"/>
          <w:bCs w:val="1"/>
          <w:color w:val="auto"/>
        </w:rPr>
        <w:t>WAIVER OF JURY TRIAL</w:t>
      </w:r>
      <w:r>
        <w:rPr>
          <w:sz w:val="20"/>
          <w:szCs w:val="20"/>
          <w:color w:val="auto"/>
        </w:rPr>
        <w:tab/>
      </w:r>
      <w:r>
        <w:rPr>
          <w:rFonts w:ascii="Arial" w:cs="Arial" w:eastAsia="Arial" w:hAnsi="Arial"/>
          <w:sz w:val="16"/>
          <w:szCs w:val="16"/>
          <w:color w:val="auto"/>
        </w:rPr>
        <w:t>12</w:t>
      </w:r>
    </w:p>
    <w:p>
      <w:pPr>
        <w:sectPr>
          <w:pgSz w:w="11900" w:h="16838" w:orient="portrait"/>
          <w:cols w:equalWidth="0" w:num="1">
            <w:col w:w="9019"/>
          </w:cols>
          <w:pgMar w:left="1440" w:top="960" w:right="1440" w:bottom="667"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019"/>
          </w:cols>
          <w:pgMar w:left="1440" w:top="960" w:right="1440" w:bottom="667"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SCHEDULES</w:t>
            </w:r>
          </w:p>
        </w:tc>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49"/>
        </w:trPr>
        <w:tc>
          <w:tcPr>
            <w:tcW w:w="1180" w:type="dxa"/>
            <w:vAlign w:val="bottom"/>
            <w:gridSpan w:val="2"/>
          </w:tcPr>
          <w:p>
            <w:pPr>
              <w:spacing w:after="0"/>
              <w:rPr>
                <w:sz w:val="20"/>
                <w:szCs w:val="20"/>
                <w:color w:val="auto"/>
              </w:rPr>
            </w:pPr>
            <w:r>
              <w:rPr>
                <w:rFonts w:ascii="Arial" w:cs="Arial" w:eastAsia="Arial" w:hAnsi="Arial"/>
                <w:sz w:val="20"/>
                <w:szCs w:val="20"/>
                <w:color w:val="auto"/>
                <w:w w:val="99"/>
              </w:rPr>
              <w:t>Schedule 1.1</w:t>
            </w:r>
          </w:p>
        </w:tc>
        <w:tc>
          <w:tcPr>
            <w:tcW w:w="4020" w:type="dxa"/>
            <w:vAlign w:val="bottom"/>
          </w:tcPr>
          <w:p>
            <w:pPr>
              <w:ind w:left="40"/>
              <w:spacing w:after="0"/>
              <w:rPr>
                <w:sz w:val="20"/>
                <w:szCs w:val="20"/>
                <w:color w:val="auto"/>
              </w:rPr>
            </w:pPr>
            <w:r>
              <w:rPr>
                <w:rFonts w:ascii="Arial" w:cs="Arial" w:eastAsia="Arial" w:hAnsi="Arial"/>
                <w:sz w:val="20"/>
                <w:szCs w:val="20"/>
                <w:color w:val="auto"/>
              </w:rPr>
              <w:t>Pledged Stock</w:t>
            </w:r>
          </w:p>
        </w:tc>
      </w:tr>
      <w:tr>
        <w:trPr>
          <w:trHeight w:val="250"/>
        </w:trPr>
        <w:tc>
          <w:tcPr>
            <w:tcW w:w="1180" w:type="dxa"/>
            <w:vAlign w:val="bottom"/>
            <w:gridSpan w:val="2"/>
          </w:tcPr>
          <w:p>
            <w:pPr>
              <w:spacing w:after="0"/>
              <w:rPr>
                <w:sz w:val="20"/>
                <w:szCs w:val="20"/>
                <w:color w:val="auto"/>
              </w:rPr>
            </w:pPr>
            <w:r>
              <w:rPr>
                <w:rFonts w:ascii="Arial" w:cs="Arial" w:eastAsia="Arial" w:hAnsi="Arial"/>
                <w:sz w:val="20"/>
                <w:szCs w:val="20"/>
                <w:color w:val="auto"/>
                <w:w w:val="99"/>
              </w:rPr>
              <w:t>Schedule 3.3</w:t>
            </w:r>
          </w:p>
        </w:tc>
        <w:tc>
          <w:tcPr>
            <w:tcW w:w="4020" w:type="dxa"/>
            <w:vAlign w:val="bottom"/>
          </w:tcPr>
          <w:p>
            <w:pPr>
              <w:ind w:left="40"/>
              <w:spacing w:after="0"/>
              <w:rPr>
                <w:sz w:val="20"/>
                <w:szCs w:val="20"/>
                <w:color w:val="auto"/>
              </w:rPr>
            </w:pPr>
            <w:r>
              <w:rPr>
                <w:rFonts w:ascii="Arial" w:cs="Arial" w:eastAsia="Arial" w:hAnsi="Arial"/>
                <w:sz w:val="20"/>
                <w:szCs w:val="20"/>
                <w:color w:val="auto"/>
                <w:w w:val="89"/>
              </w:rPr>
              <w:t>Jurisdiction of Organization and Notice Addresses</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ANNEXES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Annex 1</w:t>
      </w:r>
      <w:r>
        <w:rPr>
          <w:sz w:val="20"/>
          <w:szCs w:val="20"/>
          <w:color w:val="auto"/>
        </w:rPr>
        <w:tab/>
      </w:r>
      <w:r>
        <w:rPr>
          <w:rFonts w:ascii="Arial" w:cs="Arial" w:eastAsia="Arial" w:hAnsi="Arial"/>
          <w:sz w:val="18"/>
          <w:szCs w:val="18"/>
          <w:color w:val="auto"/>
        </w:rPr>
        <w:t>Officer’s Certificate</w:t>
      </w:r>
    </w:p>
    <w:p>
      <w:pPr>
        <w:spacing w:after="0" w:line="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Annex 2</w:t>
      </w:r>
      <w:r>
        <w:rPr>
          <w:sz w:val="20"/>
          <w:szCs w:val="20"/>
          <w:color w:val="auto"/>
        </w:rPr>
        <w:tab/>
      </w:r>
      <w:r>
        <w:rPr>
          <w:rFonts w:ascii="Arial" w:cs="Arial" w:eastAsia="Arial" w:hAnsi="Arial"/>
          <w:sz w:val="16"/>
          <w:szCs w:val="16"/>
          <w:color w:val="auto"/>
        </w:rPr>
        <w:t>Acknowledgment and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558" w:right="1440"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20"/>
          <w:szCs w:val="20"/>
          <w:color w:val="auto"/>
        </w:rPr>
        <w:t>SECURITY AGREEMENT</w:t>
      </w:r>
    </w:p>
    <w:p>
      <w:pPr>
        <w:spacing w:after="0" w:line="216" w:lineRule="exact"/>
        <w:rPr>
          <w:sz w:val="20"/>
          <w:szCs w:val="20"/>
          <w:color w:val="auto"/>
        </w:rPr>
      </w:pPr>
    </w:p>
    <w:p>
      <w:pPr>
        <w:ind w:right="300" w:firstLine="1297"/>
        <w:spacing w:after="0" w:line="316" w:lineRule="auto"/>
        <w:rPr>
          <w:sz w:val="20"/>
          <w:szCs w:val="20"/>
          <w:color w:val="auto"/>
        </w:rPr>
      </w:pPr>
      <w:r>
        <w:rPr>
          <w:rFonts w:ascii="Arial" w:cs="Arial" w:eastAsia="Arial" w:hAnsi="Arial"/>
          <w:sz w:val="18"/>
          <w:szCs w:val="18"/>
          <w:color w:val="auto"/>
        </w:rPr>
        <w:t>SECURITY AGREEMENT, dated as of March 27, 2015, made by iSTAR FINANCIAL INC.,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WHEREAS, pursuant to the $250,000,000 Credit Agreement, dated as of March 27, 2015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Company, the banks from time to time parties thereto (the “</w:t>
      </w:r>
      <w:r>
        <w:rPr>
          <w:rFonts w:ascii="Arial" w:cs="Arial" w:eastAsia="Arial" w:hAnsi="Arial"/>
          <w:sz w:val="20"/>
          <w:szCs w:val="20"/>
          <w:u w:val="single" w:color="auto"/>
          <w:color w:val="auto"/>
        </w:rPr>
        <w:t>Banks</w:t>
      </w:r>
      <w:r>
        <w:rPr>
          <w:rFonts w:ascii="Arial" w:cs="Arial" w:eastAsia="Arial" w:hAnsi="Arial"/>
          <w:sz w:val="20"/>
          <w:szCs w:val="20"/>
          <w:color w:val="auto"/>
        </w:rPr>
        <w:t>”) and JPMorgan Chase Bank, N.A., as administrative agent, the Banks have severally agreed to make extensions of credit to the Company thereunder upon the terms and subject to the conditions set forth therein; and</w:t>
      </w:r>
    </w:p>
    <w:p>
      <w:pPr>
        <w:spacing w:after="0" w:line="192" w:lineRule="exact"/>
        <w:rPr>
          <w:sz w:val="20"/>
          <w:szCs w:val="20"/>
          <w:color w:val="auto"/>
        </w:rPr>
      </w:pPr>
    </w:p>
    <w:p>
      <w:pPr>
        <w:ind w:right="60" w:firstLine="1297"/>
        <w:spacing w:after="0" w:line="246" w:lineRule="auto"/>
        <w:rPr>
          <w:sz w:val="20"/>
          <w:szCs w:val="20"/>
          <w:color w:val="auto"/>
        </w:rPr>
      </w:pPr>
      <w:r>
        <w:rPr>
          <w:rFonts w:ascii="Arial" w:cs="Arial" w:eastAsia="Arial" w:hAnsi="Arial"/>
          <w:sz w:val="20"/>
          <w:szCs w:val="20"/>
          <w:color w:val="auto"/>
        </w:rPr>
        <w:t>WHEREAS, it is a condition precedent to the obligation of the Banks to make their respective extensions of credit to the Company under the Credit Agreement that the Company shall have executed and delivered this Agreement to the Administrative Agent for the ratable benefit of the Secured Parties and shall provide security interests in the equity of each of its Subsidiaries that directly owns Borrowing Base Assets (other than such exceptions as to which the Secured Parties may agree).</w:t>
      </w:r>
    </w:p>
    <w:p>
      <w:pPr>
        <w:spacing w:after="0" w:line="192"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NOW, THEREFORE, in consideration of the foregoing premises and to induce the Banks to enter into the Credit Agreement and make their respective extensions of credit to the Company thereunder and for other good and valuable consideration, the receipt and adequacy of which are hereby acknowledged, the Company hereby agrees with the Administrative Agent, for the ratable benefit of the Secured Parties, as follows: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SECTION I</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DEFINED TERMS</w:t>
      </w:r>
    </w:p>
    <w:p>
      <w:pPr>
        <w:spacing w:after="0" w:line="229" w:lineRule="exact"/>
        <w:rPr>
          <w:sz w:val="20"/>
          <w:szCs w:val="20"/>
          <w:color w:val="auto"/>
        </w:rPr>
      </w:pPr>
    </w:p>
    <w:p>
      <w:pPr>
        <w:ind w:right="80" w:firstLine="1297"/>
        <w:spacing w:after="0" w:line="278"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r>
        <w:rPr>
          <w:rFonts w:ascii="Arial" w:cs="Arial" w:eastAsia="Arial" w:hAnsi="Arial"/>
          <w:sz w:val="20"/>
          <w:szCs w:val="20"/>
          <w:color w:val="auto"/>
        </w:rPr>
        <w:t>. (a) Unless otherwise defined herein, terms defined in the Credit Agreement and used herein shall have the meanings given to them therein, and the terms “Certificated Security”, “Chattel Paper”, “Instruments” and “Supporting Obligations” are used herein as defined in the New York UCC.</w:t>
      </w:r>
    </w:p>
    <w:p>
      <w:pPr>
        <w:spacing w:after="0" w:line="187" w:lineRule="exact"/>
        <w:rPr>
          <w:sz w:val="20"/>
          <w:szCs w:val="20"/>
          <w:color w:val="auto"/>
        </w:rPr>
      </w:pPr>
    </w:p>
    <w:p>
      <w:pPr>
        <w:ind w:left="2180" w:hanging="875"/>
        <w:spacing w:after="0"/>
        <w:tabs>
          <w:tab w:leader="none" w:pos="21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following terms shall have the following meanings: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Security Agreement, as the same may be amended, supplemented or otherwise modified from time to time.</w:t>
      </w:r>
    </w:p>
    <w:p>
      <w:pPr>
        <w:spacing w:after="0" w:line="239" w:lineRule="exact"/>
        <w:rPr>
          <w:sz w:val="20"/>
          <w:szCs w:val="20"/>
          <w:color w:val="auto"/>
        </w:rPr>
      </w:pPr>
    </w:p>
    <w:p>
      <w:pPr>
        <w:ind w:right="16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any and all shares, interests, participations or other equivalents (however designated) of capital stock of a corporation, membership and other equivalent ownership interests (whether or not certificated) in a limited liability company, limited liability partnership or limited partnership, beneficial interests in a trust and other equivalent ownership interests in any other Person and any and all warrants, rights or options to purchase any of the foregoing.</w:t>
      </w:r>
    </w:p>
    <w:p>
      <w:pPr>
        <w:spacing w:after="0" w:line="192"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all rights, privileges and interests of the Company in or with respect to (a) the Pledged Stock, and (b) all Proceeds of the foregoing, other than, in each of the foregoing clauses (a) and (b), any item referenced therein which has been substituted, replaced, exchanged or released in accordance with this Agreement and the Credit Agreement. For the avoidance of doubt, no Excluded Assets (or any Proceeds thereof) constitute any part of the Collateral.</w:t>
      </w:r>
    </w:p>
    <w:p>
      <w:pPr>
        <w:sectPr>
          <w:pgSz w:w="11900" w:h="16838" w:orient="portrait"/>
          <w:cols w:equalWidth="0" w:num="1">
            <w:col w:w="11380"/>
          </w:cols>
          <w:pgMar w:left="240" w:top="582" w:right="279" w:bottom="1440" w:gutter="0" w:footer="0" w:header="0"/>
        </w:sectPr>
      </w:pPr>
    </w:p>
    <w:bookmarkStart w:id="125" w:name="page126"/>
    <w:bookmarkEnd w:id="125"/>
    <w:p>
      <w:pPr>
        <w:ind w:right="20"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Foreclosure</w:t>
      </w:r>
      <w:r>
        <w:rPr>
          <w:rFonts w:ascii="Arial" w:cs="Arial" w:eastAsia="Arial" w:hAnsi="Arial"/>
          <w:sz w:val="18"/>
          <w:szCs w:val="18"/>
          <w:color w:val="auto"/>
        </w:rPr>
        <w:t>”: with respect to any Collateral, at any time when an Event of Default shall have occurred and be continuing, any exercise of remedies under the Loan Documents, applicable law or any other act or action taken in preparation for, anticipation of or in connection with any reasonably immediate taking of physical possession of, realizing upon, exercising dominion and control over, or otherwise causing the assignment for its benefit of, such Collateral by the Administrative Agent pursuant to the New York UCC or any other applicable law (or consensual arrangement in lieu thereof expressly agreed to by the Administrative Agent and the Company) and otherwise in the manner and at the times permitted under the Collateral Documents. The term “Foreclose” shall have a correlative meaning.</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Issuers</w:t>
      </w:r>
      <w:r>
        <w:rPr>
          <w:rFonts w:ascii="Arial" w:cs="Arial" w:eastAsia="Arial" w:hAnsi="Arial"/>
          <w:sz w:val="20"/>
          <w:szCs w:val="20"/>
          <w:color w:val="auto"/>
        </w:rPr>
        <w:t>”: the collective reference to each issuer or obligor under or in respect of any Pledged Stock.</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York UCC</w:t>
      </w:r>
      <w:r>
        <w:rPr>
          <w:rFonts w:ascii="Arial" w:cs="Arial" w:eastAsia="Arial" w:hAnsi="Arial"/>
          <w:sz w:val="20"/>
          <w:szCs w:val="20"/>
          <w:color w:val="auto"/>
        </w:rPr>
        <w:t>”: the Uniform Commercial Code as from time to time in effect in the State of New York.</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Default</w:t>
      </w:r>
      <w:r>
        <w:rPr>
          <w:rFonts w:ascii="Arial" w:cs="Arial" w:eastAsia="Arial" w:hAnsi="Arial"/>
          <w:sz w:val="20"/>
          <w:szCs w:val="20"/>
          <w:color w:val="auto"/>
        </w:rPr>
        <w:t>”: any Default pursuant to Section 6.1(a) of the Credit Agreement.</w:t>
      </w:r>
    </w:p>
    <w:p>
      <w:pPr>
        <w:spacing w:after="0" w:line="216" w:lineRule="exact"/>
        <w:rPr>
          <w:sz w:val="20"/>
          <w:szCs w:val="20"/>
          <w:color w:val="auto"/>
        </w:rPr>
      </w:pPr>
    </w:p>
    <w:p>
      <w:pPr>
        <w:ind w:right="4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Stock</w:t>
      </w:r>
      <w:r>
        <w:rPr>
          <w:rFonts w:ascii="Arial" w:cs="Arial" w:eastAsia="Arial" w:hAnsi="Arial"/>
          <w:sz w:val="19"/>
          <w:szCs w:val="19"/>
          <w:color w:val="auto"/>
        </w:rPr>
        <w:t>”: the shares of Capital Stock listed on Schedule 1.1 (as updated from time to time in accordance with the terms of this Agreement) or, after the Closing Date, that is pledged by the Company pursuant to Section 2.18 of the Credit Agreement, in each case together with any other shares, stock certificates, options, interests or rights of any nature whatsoever in respect of such Capital Stock that may be issued or granted to, or held by, the Company while this Agreement is in effect.</w:t>
      </w:r>
    </w:p>
    <w:p>
      <w:pPr>
        <w:spacing w:after="0" w:line="177" w:lineRule="exact"/>
        <w:rPr>
          <w:sz w:val="20"/>
          <w:szCs w:val="20"/>
          <w:color w:val="auto"/>
        </w:rPr>
      </w:pPr>
    </w:p>
    <w:p>
      <w:pPr>
        <w:ind w:right="1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Proceeds</w:t>
      </w:r>
      <w:r>
        <w:rPr>
          <w:rFonts w:ascii="Arial" w:cs="Arial" w:eastAsia="Arial" w:hAnsi="Arial"/>
          <w:sz w:val="20"/>
          <w:szCs w:val="20"/>
          <w:color w:val="auto"/>
        </w:rPr>
        <w:t>”: all “proceeds” as such term is defined in Section 9-102(a)(64) of the New York UCC and, in any event, shall include, without limitation, all dividends or other earnings, income or distribution from or in respect of, the Pledged Stock, collections thereon or distributions or payments with respect thereto and all other proceeds of Collateral. For the avoidance of doubt, “Proceeds” shall not include the Proceeds of any Excluded Asset.</w:t>
      </w:r>
    </w:p>
    <w:p>
      <w:pPr>
        <w:spacing w:after="0" w:line="192" w:lineRule="exact"/>
        <w:rPr>
          <w:sz w:val="20"/>
          <w:szCs w:val="20"/>
          <w:color w:val="auto"/>
        </w:rPr>
      </w:pPr>
    </w:p>
    <w:p>
      <w:pPr>
        <w:ind w:right="5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as to the Company, the president, any vice-president, the senior vice president, the executive vice president, the chief operating officer, the chief executive officer or the chief financial officer.</w:t>
      </w:r>
    </w:p>
    <w:p>
      <w:pPr>
        <w:spacing w:after="0" w:line="177" w:lineRule="exact"/>
        <w:rPr>
          <w:sz w:val="20"/>
          <w:szCs w:val="20"/>
          <w:color w:val="auto"/>
        </w:rPr>
      </w:pPr>
    </w:p>
    <w:p>
      <w:pPr>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xml:space="preserve">”: with respect to the Company, the Obligations and all other obligations and liabilities of the Company which may arise under or in connection with the Collateral Documents, in each case whether on account of guarantee obligations, fees, indemnities, costs, expenses or otherwise (including, without limitation, all fees and disbursements of counsel to the Administrative Agent or the Banks that are required to be paid by the Company pursuant to the terms of the Collateral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any payment with respect to the Secured Obligations (whether by or on behalf of the Company,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the collective reference to the Agents and the Banks.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the Securities Act of 1933, as amended.</w:t>
      </w:r>
    </w:p>
    <w:p>
      <w:pPr>
        <w:spacing w:after="0" w:line="229" w:lineRule="exact"/>
        <w:rPr>
          <w:sz w:val="20"/>
          <w:szCs w:val="20"/>
          <w:color w:val="auto"/>
        </w:rPr>
      </w:pPr>
    </w:p>
    <w:p>
      <w:pPr>
        <w:ind w:right="340" w:firstLine="1297"/>
        <w:spacing w:after="0" w:line="289"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Other Definitional Provisions</w:t>
      </w:r>
      <w:r>
        <w:rPr>
          <w:rFonts w:ascii="Arial" w:cs="Arial" w:eastAsia="Arial" w:hAnsi="Arial"/>
          <w:sz w:val="20"/>
          <w:szCs w:val="20"/>
          <w:color w:val="auto"/>
        </w:rPr>
        <w:t>. (a) The words “hereof,” “herein”, “hereto” and “hereunder” and words of similar import when used in this Agreement shall refer to this Agreement as 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2" w:right="259" w:bottom="1440" w:gutter="0" w:footer="0" w:header="0"/>
        </w:sectPr>
      </w:pPr>
    </w:p>
    <w:bookmarkStart w:id="126" w:name="page127"/>
    <w:bookmarkEnd w:id="126"/>
    <w:p>
      <w:pPr>
        <w:ind w:right="520"/>
        <w:spacing w:after="0" w:line="289" w:lineRule="auto"/>
        <w:rPr>
          <w:sz w:val="20"/>
          <w:szCs w:val="20"/>
          <w:color w:val="auto"/>
        </w:rPr>
      </w:pPr>
      <w:r>
        <w:rPr>
          <w:rFonts w:ascii="Arial" w:cs="Arial" w:eastAsia="Arial" w:hAnsi="Arial"/>
          <w:sz w:val="20"/>
          <w:szCs w:val="20"/>
          <w:color w:val="auto"/>
        </w:rPr>
        <w:t>whole and not to any particular provision of this Agreement, and Section and Schedule references are to this Agreement unless otherwise specified.</w:t>
      </w:r>
    </w:p>
    <w:p>
      <w:pPr>
        <w:spacing w:after="0" w:line="175" w:lineRule="exact"/>
        <w:rPr>
          <w:sz w:val="20"/>
          <w:szCs w:val="20"/>
          <w:color w:val="auto"/>
        </w:rPr>
      </w:pPr>
    </w:p>
    <w:p>
      <w:pPr>
        <w:ind w:left="2180" w:hanging="875"/>
        <w:spacing w:after="0"/>
        <w:tabs>
          <w:tab w:leader="none" w:pos="2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terms.</w:t>
      </w:r>
    </w:p>
    <w:p>
      <w:pPr>
        <w:spacing w:after="0" w:line="243" w:lineRule="exact"/>
        <w:rPr>
          <w:sz w:val="20"/>
          <w:szCs w:val="20"/>
          <w:color w:val="auto"/>
        </w:rPr>
      </w:pPr>
    </w:p>
    <w:p>
      <w:pPr>
        <w:ind w:right="120" w:firstLine="1305"/>
        <w:spacing w:after="0" w:line="289" w:lineRule="auto"/>
        <w:tabs>
          <w:tab w:leader="none" w:pos="216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Where the context requires, terms relating to the Collateral or any part thereof, when used in relation the Company, shall refer to the Company’s Collateral or the relevant part thereof.</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9380" w:type="dxa"/>
            <w:vAlign w:val="bottom"/>
          </w:tcPr>
          <w:p>
            <w:pPr>
              <w:jc w:val="center"/>
              <w:ind w:right="1621"/>
              <w:spacing w:after="0"/>
              <w:rPr>
                <w:sz w:val="20"/>
                <w:szCs w:val="20"/>
                <w:color w:val="auto"/>
              </w:rPr>
            </w:pPr>
            <w:r>
              <w:rPr>
                <w:rFonts w:ascii="Arial" w:cs="Arial" w:eastAsia="Arial" w:hAnsi="Arial"/>
                <w:sz w:val="20"/>
                <w:szCs w:val="20"/>
                <w:color w:val="auto"/>
                <w:w w:val="96"/>
              </w:rPr>
              <w:t>SECTION II</w:t>
            </w:r>
          </w:p>
        </w:tc>
      </w:tr>
      <w:tr>
        <w:trPr>
          <w:trHeight w:val="446"/>
        </w:trPr>
        <w:tc>
          <w:tcPr>
            <w:tcW w:w="580" w:type="dxa"/>
            <w:vAlign w:val="bottom"/>
          </w:tcPr>
          <w:p>
            <w:pPr>
              <w:spacing w:after="0"/>
              <w:rPr>
                <w:sz w:val="24"/>
                <w:szCs w:val="24"/>
                <w:color w:val="auto"/>
              </w:rPr>
            </w:pPr>
          </w:p>
        </w:tc>
        <w:tc>
          <w:tcPr>
            <w:tcW w:w="9380" w:type="dxa"/>
            <w:vAlign w:val="bottom"/>
          </w:tcPr>
          <w:p>
            <w:pPr>
              <w:jc w:val="center"/>
              <w:ind w:right="1621"/>
              <w:spacing w:after="0"/>
              <w:rPr>
                <w:sz w:val="20"/>
                <w:szCs w:val="20"/>
                <w:color w:val="auto"/>
              </w:rPr>
            </w:pPr>
            <w:r>
              <w:rPr>
                <w:rFonts w:ascii="Arial" w:cs="Arial" w:eastAsia="Arial" w:hAnsi="Arial"/>
                <w:sz w:val="20"/>
                <w:szCs w:val="20"/>
                <w:color w:val="auto"/>
                <w:w w:val="94"/>
              </w:rPr>
              <w:t>GRANT OF SECURITY INTEREST</w:t>
            </w:r>
          </w:p>
        </w:tc>
      </w:tr>
      <w:tr>
        <w:trPr>
          <w:trHeight w:val="459"/>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2.1</w:t>
            </w:r>
          </w:p>
        </w:tc>
        <w:tc>
          <w:tcPr>
            <w:tcW w:w="9380" w:type="dxa"/>
            <w:vAlign w:val="bottom"/>
          </w:tcPr>
          <w:p>
            <w:pPr>
              <w:ind w:left="320"/>
              <w:spacing w:after="0"/>
              <w:rPr>
                <w:sz w:val="20"/>
                <w:szCs w:val="20"/>
                <w:color w:val="auto"/>
              </w:rPr>
            </w:pPr>
            <w:r>
              <w:rPr>
                <w:rFonts w:ascii="Arial" w:cs="Arial" w:eastAsia="Arial" w:hAnsi="Arial"/>
                <w:sz w:val="20"/>
                <w:szCs w:val="20"/>
                <w:u w:val="single" w:color="auto"/>
                <w:color w:val="auto"/>
                <w:w w:val="90"/>
              </w:rPr>
              <w:t>Pledge and Grant of Security Interests</w:t>
            </w:r>
            <w:r>
              <w:rPr>
                <w:rFonts w:ascii="Arial" w:cs="Arial" w:eastAsia="Arial" w:hAnsi="Arial"/>
                <w:sz w:val="20"/>
                <w:szCs w:val="20"/>
                <w:color w:val="auto"/>
                <w:w w:val="90"/>
              </w:rPr>
              <w:t>. The Company hereby grants to the Administrative Agent, for the benefit of</w:t>
            </w:r>
          </w:p>
        </w:tc>
      </w:tr>
    </w:tbl>
    <w:p>
      <w:pPr>
        <w:spacing w:after="0" w:line="6" w:lineRule="exact"/>
        <w:rPr>
          <w:sz w:val="20"/>
          <w:szCs w:val="20"/>
          <w:color w:val="auto"/>
        </w:rPr>
      </w:pPr>
    </w:p>
    <w:p>
      <w:pPr>
        <w:ind w:right="100"/>
        <w:spacing w:after="0" w:line="288" w:lineRule="auto"/>
        <w:rPr>
          <w:sz w:val="20"/>
          <w:szCs w:val="20"/>
          <w:color w:val="auto"/>
        </w:rPr>
      </w:pPr>
      <w:r>
        <w:rPr>
          <w:rFonts w:ascii="Arial" w:cs="Arial" w:eastAsia="Arial" w:hAnsi="Arial"/>
          <w:sz w:val="19"/>
          <w:szCs w:val="19"/>
          <w:color w:val="auto"/>
        </w:rPr>
        <w:t>the Secured Parties, a security interest in the Collateral, whether presently existing or owned or at any time hereafter arising or acquired by the Company or in which the Company now has or at any time in the future may acquire any right, title or interest, and any and all additions, attachments, accessories and accessions thereto, and any and all substitutions, replacements or exchanges therefor, and any and all Proceeds, Supporting Obligations and products thereof and any and all collateral security and guarantees given by any Person with respect to such Collateral, as collateral security for the prompt and complete payment and performance when due (whether at the stated maturity, by acceleration or otherwise) of the Company’s Secured Obligations.</w:t>
      </w:r>
    </w:p>
    <w:p>
      <w:pPr>
        <w:spacing w:after="0" w:line="183"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Procedures for Adding, Withdrawing or Substituting Collateral</w:t>
      </w:r>
      <w:r>
        <w:rPr>
          <w:rFonts w:ascii="Arial" w:cs="Arial" w:eastAsia="Arial" w:hAnsi="Arial"/>
          <w:sz w:val="18"/>
          <w:szCs w:val="18"/>
          <w:color w:val="auto"/>
        </w:rPr>
        <w:t>.</w:t>
      </w:r>
    </w:p>
    <w:p>
      <w:pPr>
        <w:spacing w:after="0" w:line="243" w:lineRule="exact"/>
        <w:rPr>
          <w:sz w:val="20"/>
          <w:szCs w:val="20"/>
          <w:color w:val="auto"/>
        </w:rPr>
      </w:pPr>
    </w:p>
    <w:p>
      <w:pPr>
        <w:ind w:right="180" w:firstLine="1305"/>
        <w:spacing w:after="0" w:line="290" w:lineRule="auto"/>
        <w:tabs>
          <w:tab w:leader="none" w:pos="216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Company may, on any Business Day, withdraw,add or substitute any Collateral as may be permitted under Section 2.18 of the Credit Agreement. Prior to any such withdrawal, addition or substitution, the Company shall deliver to the Administrative Agent (with a copy to its custodian, if applicable), (i) a certificate from a Responsible Officer of the Company in the form of Annex 1 hereto, attaching an updated Collateral and Covered Asset List reflecting such withdrawal, addition or substitution, and (ii) any documents or such other information required under Section 2.18 of the Credit Agreement.</w:t>
      </w:r>
    </w:p>
    <w:p>
      <w:pPr>
        <w:spacing w:after="0" w:line="179" w:lineRule="exact"/>
        <w:rPr>
          <w:rFonts w:ascii="Arial" w:cs="Arial" w:eastAsia="Arial" w:hAnsi="Arial"/>
          <w:sz w:val="19"/>
          <w:szCs w:val="19"/>
          <w:color w:val="auto"/>
        </w:rPr>
      </w:pPr>
    </w:p>
    <w:p>
      <w:pPr>
        <w:ind w:right="20" w:firstLine="1305"/>
        <w:spacing w:after="0" w:line="286" w:lineRule="auto"/>
        <w:tabs>
          <w:tab w:leader="none" w:pos="217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On the Closing Date, with respect to the Capital Stock of any Pledged Subsidiary specified on the Collateral and Covered Asset List, and on each day after the Closing Date on which the Company pledges equity interests of additional Pledged Subsidiaries pursuant to an updated Collateral and Covered Asset List, whether at its direction, pursuant to Section 2.2(a) or otherwise, the Company shall cause the equity interests in such Pledged Subsidiary to be certificated and shall deliver to the Administrative Agent (or, at the direction of the Administrative Agent, to its custodian) the certificates representing such equity interests of such Pledged Subsidiary and an appropriate transfer power with respect to such equity interests, signed by the Company, together with a detailed description of the Credit Tenant Lease Assets, Loan Assets or any other assets held by such Pledged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transfer of such equity interests, the by-laws, the limited liability company agreement or limited partnership agreement of such Pledged Subsidiary, as the case may be, shall be amended as required under Section 5.8 of the Credit Agreement.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5" w:right="2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20"/>
          <w:szCs w:val="20"/>
          <w:color w:val="auto"/>
        </w:rPr>
        <w:t>SECTION 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ind w:right="680" w:firstLine="1297"/>
        <w:spacing w:after="0" w:line="260" w:lineRule="auto"/>
        <w:rPr>
          <w:sz w:val="20"/>
          <w:szCs w:val="20"/>
          <w:color w:val="auto"/>
        </w:rPr>
      </w:pPr>
      <w:r>
        <w:rPr>
          <w:rFonts w:ascii="Arial" w:cs="Arial" w:eastAsia="Arial" w:hAnsi="Arial"/>
          <w:sz w:val="20"/>
          <w:szCs w:val="20"/>
          <w:color w:val="auto"/>
        </w:rPr>
        <w:t>The Company hereby each represent and warrant to the Secured Parties that on the Closing Date and on the date of any inclusion of a new Pledged Stock within the Collateral:</w:t>
      </w:r>
    </w:p>
    <w:p>
      <w:pPr>
        <w:spacing w:after="0" w:line="190"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Title; No Other Liens</w:t>
      </w:r>
      <w:r>
        <w:rPr>
          <w:rFonts w:ascii="Arial" w:cs="Arial" w:eastAsia="Arial" w:hAnsi="Arial"/>
          <w:sz w:val="19"/>
          <w:szCs w:val="19"/>
          <w:color w:val="auto"/>
        </w:rPr>
        <w:t>. Except for the security interest granted to the Secured Parties pursuant to this Agreement, the Company owns, of record and beneficially, directly each item of the Collateral and Covered Assets, except as set forth on Schedule 4.27 to the Credit Agreement, free and clear of any and all Liens or claims of others, other than Liens permitted under Section 5.15 of the Credit Agreement. The Company on the Closing Date has, and for any Collateral hereafter acquired in substitution for or in addition to any then existing Collateral, will have, the unrestricted right to pledge each item of Collateral, in each case, (i) free and clear of all Liens, other than Liens permitted under Section 5.15 of the Credit Agreement and (ii) subject to no adverse claims known to the Company which would impair the value thereof as collateral. No financing statement or other public notice with respect to all or any part of the Collateral or the other Covered Assets or in respect of any Covered Subsidiary is on file or of record in any public office, except in respect of Liens permitted under Section 5.15 of the Credit Agreement.</w:t>
      </w:r>
    </w:p>
    <w:p>
      <w:pPr>
        <w:spacing w:after="0" w:line="182" w:lineRule="exact"/>
        <w:rPr>
          <w:sz w:val="20"/>
          <w:szCs w:val="20"/>
          <w:color w:val="auto"/>
        </w:rPr>
      </w:pPr>
    </w:p>
    <w:p>
      <w:pPr>
        <w:ind w:right="320" w:firstLine="1297"/>
        <w:spacing w:after="0" w:line="31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Perfected Security Interests</w:t>
      </w:r>
      <w:r>
        <w:rPr>
          <w:rFonts w:ascii="Arial" w:cs="Arial" w:eastAsia="Arial" w:hAnsi="Arial"/>
          <w:sz w:val="18"/>
          <w:szCs w:val="18"/>
          <w:color w:val="auto"/>
        </w:rPr>
        <w:t>. The security interests granted pursuant to this Agreement, upon UCC financing statements having been filed against the Company in the jurisdiction described in Section 3.3 below, (a) will constitute perfected security interests in all of the Collateral in which a security interest may be perfected by filing or control in favor of the Secured Parties, as collateral security for the Secured Obligations, enforceable in accordance with the terms hereof against all creditors of the Company and any Persons purporting to purchase any Collateral from the Company and (b) are prior to all other Liens on the Collateral.</w:t>
      </w:r>
    </w:p>
    <w:p>
      <w:pPr>
        <w:spacing w:after="0" w:line="162" w:lineRule="exact"/>
        <w:rPr>
          <w:sz w:val="20"/>
          <w:szCs w:val="20"/>
          <w:color w:val="auto"/>
        </w:rPr>
      </w:pPr>
    </w:p>
    <w:p>
      <w:pPr>
        <w:jc w:val="both"/>
        <w:ind w:right="660" w:firstLine="1297"/>
        <w:spacing w:after="0" w:line="278"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Jurisdiction of Organization</w:t>
      </w:r>
      <w:r>
        <w:rPr>
          <w:rFonts w:ascii="Arial" w:cs="Arial" w:eastAsia="Arial" w:hAnsi="Arial"/>
          <w:sz w:val="20"/>
          <w:szCs w:val="20"/>
          <w:color w:val="auto"/>
        </w:rPr>
        <w:t>. On the date hereof, the Company’s jurisdiction of organization is specified on Schedule 3.3 hereto. The Company has furnished to the Secured Parties its certified certificate of incorporation and other organizational documents and long-form good standing certificate as of a date which is recent to the date hereof.</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9020" w:type="dxa"/>
            <w:vAlign w:val="bottom"/>
          </w:tcPr>
          <w:p>
            <w:pPr>
              <w:jc w:val="center"/>
              <w:ind w:right="1261"/>
              <w:spacing w:after="0"/>
              <w:rPr>
                <w:sz w:val="20"/>
                <w:szCs w:val="20"/>
                <w:color w:val="auto"/>
              </w:rPr>
            </w:pPr>
            <w:r>
              <w:rPr>
                <w:rFonts w:ascii="Arial" w:cs="Arial" w:eastAsia="Arial" w:hAnsi="Arial"/>
                <w:sz w:val="20"/>
                <w:szCs w:val="20"/>
                <w:color w:val="auto"/>
                <w:w w:val="96"/>
              </w:rPr>
              <w:t>SECTION IV</w:t>
            </w:r>
          </w:p>
        </w:tc>
      </w:tr>
      <w:tr>
        <w:trPr>
          <w:trHeight w:val="446"/>
        </w:trPr>
        <w:tc>
          <w:tcPr>
            <w:tcW w:w="580" w:type="dxa"/>
            <w:vAlign w:val="bottom"/>
          </w:tcPr>
          <w:p>
            <w:pPr>
              <w:spacing w:after="0"/>
              <w:rPr>
                <w:sz w:val="24"/>
                <w:szCs w:val="24"/>
                <w:color w:val="auto"/>
              </w:rPr>
            </w:pPr>
          </w:p>
        </w:tc>
        <w:tc>
          <w:tcPr>
            <w:tcW w:w="9020" w:type="dxa"/>
            <w:vAlign w:val="bottom"/>
          </w:tcPr>
          <w:p>
            <w:pPr>
              <w:jc w:val="center"/>
              <w:ind w:right="1261"/>
              <w:spacing w:after="0"/>
              <w:rPr>
                <w:sz w:val="20"/>
                <w:szCs w:val="20"/>
                <w:color w:val="auto"/>
              </w:rPr>
            </w:pPr>
            <w:r>
              <w:rPr>
                <w:rFonts w:ascii="Arial" w:cs="Arial" w:eastAsia="Arial" w:hAnsi="Arial"/>
                <w:sz w:val="20"/>
                <w:szCs w:val="20"/>
                <w:color w:val="auto"/>
                <w:w w:val="98"/>
              </w:rPr>
              <w:t>COVENANTS; MANAGEMENT</w:t>
            </w:r>
          </w:p>
        </w:tc>
      </w:tr>
      <w:tr>
        <w:trPr>
          <w:trHeight w:val="459"/>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4.1</w:t>
            </w:r>
          </w:p>
        </w:tc>
        <w:tc>
          <w:tcPr>
            <w:tcW w:w="9020" w:type="dxa"/>
            <w:vAlign w:val="bottom"/>
          </w:tcPr>
          <w:p>
            <w:pPr>
              <w:ind w:left="320"/>
              <w:spacing w:after="0"/>
              <w:rPr>
                <w:sz w:val="20"/>
                <w:szCs w:val="20"/>
                <w:color w:val="auto"/>
              </w:rPr>
            </w:pPr>
            <w:r>
              <w:rPr>
                <w:rFonts w:ascii="Arial" w:cs="Arial" w:eastAsia="Arial" w:hAnsi="Arial"/>
                <w:sz w:val="20"/>
                <w:szCs w:val="20"/>
                <w:u w:val="single" w:color="auto"/>
                <w:color w:val="auto"/>
                <w:w w:val="90"/>
              </w:rPr>
              <w:t>Payment of Obligations</w:t>
            </w:r>
            <w:r>
              <w:rPr>
                <w:rFonts w:ascii="Arial" w:cs="Arial" w:eastAsia="Arial" w:hAnsi="Arial"/>
                <w:sz w:val="20"/>
                <w:szCs w:val="20"/>
                <w:color w:val="auto"/>
                <w:w w:val="90"/>
              </w:rPr>
              <w:t>. (a) The Company will pay and discharge or otherwise satisfy at or before maturity or</w:t>
            </w:r>
          </w:p>
        </w:tc>
      </w:tr>
    </w:tbl>
    <w:p>
      <w:pPr>
        <w:spacing w:after="0" w:line="6"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before they become delinquent, as the case may be, all taxes, assessments and governmental charges or levies imposed upon the Collateral or in respect of income or profits therefrom (or, in the case of any Covered Subsidiary, the maintenance or operations thereof), as well as all claims of any kind (including, without limitation, claims for labor, materials and supplies) against or with respect to the Collateral, except that no such charge need be paid if the amount or validity thereof is currently being contested in good faith by appropriate proceedings, reserves in conformity with GAAP with respect thereto have been provided on the books of the Company and such proceedings could not reasonably be expected to result in a Material Adverse Effect.</w:t>
      </w:r>
    </w:p>
    <w:p>
      <w:pPr>
        <w:spacing w:after="0" w:line="183" w:lineRule="exact"/>
        <w:rPr>
          <w:sz w:val="20"/>
          <w:szCs w:val="20"/>
          <w:color w:val="auto"/>
        </w:rPr>
      </w:pPr>
    </w:p>
    <w:p>
      <w:pPr>
        <w:ind w:right="280" w:firstLine="1305"/>
        <w:spacing w:after="0" w:line="274" w:lineRule="auto"/>
        <w:tabs>
          <w:tab w:leader="none" w:pos="217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Company will, in the direct or indirect management of any Covered Assets or the assets or operations of any Covered Subsidiaries, use the same care and attention as the Company uses in the management of similar Covered Assets or assets and operations that are not Collateral or that are not owned by Covered Subsidiaries (as the case may be) and will not, directly or indirectly, exercise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28" w:name="page129"/>
    <w:bookmarkEnd w:id="128"/>
    <w:p>
      <w:pPr>
        <w:ind w:right="40"/>
        <w:spacing w:after="0" w:line="274" w:lineRule="auto"/>
        <w:rPr>
          <w:sz w:val="20"/>
          <w:szCs w:val="20"/>
          <w:color w:val="auto"/>
        </w:rPr>
      </w:pPr>
      <w:r>
        <w:rPr>
          <w:rFonts w:ascii="Arial" w:cs="Arial" w:eastAsia="Arial" w:hAnsi="Arial"/>
          <w:sz w:val="20"/>
          <w:szCs w:val="20"/>
          <w:color w:val="auto"/>
        </w:rPr>
        <w:t>any right or option, or otherwise take any action, with respect to any such Covered Assets or any such assets or operations that the Company, in the exercise of its business judgment, would not exercise or take in the absence of the inclusion thereof of the Capital Stock of the relevant Pledged Subsidiary in the Collateral or as Covered Assets. Notwithstanding the foregoing, the Company's obligations pursuant to this Section 4.1(b) shall not apply with respect to any Excluded Asset.</w:t>
      </w:r>
    </w:p>
    <w:p>
      <w:pPr>
        <w:spacing w:after="0" w:line="192"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Maintenance of Perfected Security Interest; Further Documentation</w:t>
      </w:r>
      <w:r>
        <w:rPr>
          <w:rFonts w:ascii="Arial" w:cs="Arial" w:eastAsia="Arial" w:hAnsi="Arial"/>
          <w:sz w:val="18"/>
          <w:szCs w:val="18"/>
          <w:color w:val="auto"/>
        </w:rPr>
        <w:t>. (a) The Company shall maintain (i) the security</w:t>
      </w:r>
    </w:p>
    <w:p>
      <w:pPr>
        <w:spacing w:after="0" w:line="27"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interests created by this Agreement and (ii) the other Covered Assets as such and shall defend such security interests and such Covered Assets against the claims and demands of all Persons whomsoever, subject to the rights of the Company under the Loan Documents to dispose of the Collateral. This Agreement shall create a continuing security interest in the Collateral and shall remain in full force and effect until the termination of this Agreement in accordance with Section 7.11.</w:t>
      </w:r>
    </w:p>
    <w:p>
      <w:pPr>
        <w:spacing w:after="0" w:line="192" w:lineRule="exact"/>
        <w:rPr>
          <w:sz w:val="20"/>
          <w:szCs w:val="20"/>
          <w:color w:val="auto"/>
        </w:rPr>
      </w:pPr>
    </w:p>
    <w:p>
      <w:pPr>
        <w:ind w:right="100" w:firstLine="1305"/>
        <w:spacing w:after="0" w:line="272" w:lineRule="auto"/>
        <w:tabs>
          <w:tab w:leader="none" w:pos="217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At any time and from time to time, upon the written reasonable request of the Administrative Agent, and at the sole expense of the Company, the Company will promptly and duly execute and deliver, and have recorded or authorize the filing of, such further instruments and documents and take such further actions as the Secured Parties may reasonably request for the purpose of obtaining or preserving the full benefits of this Agreement and of the rights and powers herein granted, including, without limitation, filing or authorizing the filing of any financing or continuation statements under the Uniform Commercial Code (or other similar laws) in effect in any jurisdiction with respect to the security interests created hereby.</w:t>
      </w:r>
    </w:p>
    <w:p>
      <w:pPr>
        <w:spacing w:after="0" w:line="192" w:lineRule="exact"/>
        <w:rPr>
          <w:sz w:val="20"/>
          <w:szCs w:val="20"/>
          <w:color w:val="auto"/>
        </w:rPr>
      </w:pPr>
    </w:p>
    <w:p>
      <w:pPr>
        <w:ind w:right="40" w:firstLine="1297"/>
        <w:spacing w:after="0" w:line="310"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Changes in Name, etc.</w:t>
      </w:r>
      <w:r>
        <w:rPr>
          <w:rFonts w:ascii="Arial" w:cs="Arial" w:eastAsia="Arial" w:hAnsi="Arial"/>
          <w:sz w:val="18"/>
          <w:szCs w:val="18"/>
          <w:color w:val="auto"/>
        </w:rPr>
        <w:t xml:space="preserve"> The Company will not, except upon 15 days’ prior written notice to the Administrative Agent and delivery to the Administrative Agent, of all additional financing statements and other documents reasonably requested by the Secured Parties to maintain the validity, perfection and priority of the security interests provided for herein, which financing statements shall be subsequently filed by the Administrative Agent, (i) change its jurisdiction of organization or (ii) change its name, identity or structure to such an extent that any financing statement filed, or notice given, in connection with this Agreement would become seriously misleading.</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9180" w:type="dxa"/>
            <w:vAlign w:val="bottom"/>
          </w:tcPr>
          <w:p>
            <w:pPr>
              <w:jc w:val="center"/>
              <w:ind w:right="1421"/>
              <w:spacing w:after="0"/>
              <w:rPr>
                <w:sz w:val="20"/>
                <w:szCs w:val="20"/>
                <w:color w:val="auto"/>
              </w:rPr>
            </w:pPr>
            <w:r>
              <w:rPr>
                <w:rFonts w:ascii="Arial" w:cs="Arial" w:eastAsia="Arial" w:hAnsi="Arial"/>
                <w:sz w:val="20"/>
                <w:szCs w:val="20"/>
                <w:color w:val="auto"/>
                <w:w w:val="94"/>
              </w:rPr>
              <w:t>SECTION V</w:t>
            </w:r>
          </w:p>
        </w:tc>
      </w:tr>
      <w:tr>
        <w:trPr>
          <w:trHeight w:val="446"/>
        </w:trPr>
        <w:tc>
          <w:tcPr>
            <w:tcW w:w="580" w:type="dxa"/>
            <w:vAlign w:val="bottom"/>
          </w:tcPr>
          <w:p>
            <w:pPr>
              <w:spacing w:after="0"/>
              <w:rPr>
                <w:sz w:val="24"/>
                <w:szCs w:val="24"/>
                <w:color w:val="auto"/>
              </w:rPr>
            </w:pPr>
          </w:p>
        </w:tc>
        <w:tc>
          <w:tcPr>
            <w:tcW w:w="9180" w:type="dxa"/>
            <w:vAlign w:val="bottom"/>
          </w:tcPr>
          <w:p>
            <w:pPr>
              <w:jc w:val="center"/>
              <w:ind w:right="1401"/>
              <w:spacing w:after="0"/>
              <w:rPr>
                <w:sz w:val="20"/>
                <w:szCs w:val="20"/>
                <w:color w:val="auto"/>
              </w:rPr>
            </w:pPr>
            <w:r>
              <w:rPr>
                <w:rFonts w:ascii="Arial" w:cs="Arial" w:eastAsia="Arial" w:hAnsi="Arial"/>
                <w:sz w:val="20"/>
                <w:szCs w:val="20"/>
                <w:color w:val="auto"/>
                <w:w w:val="96"/>
              </w:rPr>
              <w:t>REMEDIAL PROVISIONS</w:t>
            </w:r>
          </w:p>
        </w:tc>
      </w:tr>
      <w:tr>
        <w:trPr>
          <w:trHeight w:val="459"/>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5.1</w:t>
            </w:r>
          </w:p>
        </w:tc>
        <w:tc>
          <w:tcPr>
            <w:tcW w:w="9180" w:type="dxa"/>
            <w:vAlign w:val="bottom"/>
          </w:tcPr>
          <w:p>
            <w:pPr>
              <w:ind w:left="320"/>
              <w:spacing w:after="0"/>
              <w:rPr>
                <w:sz w:val="20"/>
                <w:szCs w:val="20"/>
                <w:color w:val="auto"/>
              </w:rPr>
            </w:pPr>
            <w:r>
              <w:rPr>
                <w:rFonts w:ascii="Arial" w:cs="Arial" w:eastAsia="Arial" w:hAnsi="Arial"/>
                <w:sz w:val="20"/>
                <w:szCs w:val="20"/>
                <w:u w:val="single" w:color="auto"/>
                <w:color w:val="auto"/>
                <w:w w:val="88"/>
              </w:rPr>
              <w:t>Pledged Stocks</w:t>
            </w:r>
            <w:r>
              <w:rPr>
                <w:rFonts w:ascii="Arial" w:cs="Arial" w:eastAsia="Arial" w:hAnsi="Arial"/>
                <w:sz w:val="20"/>
                <w:szCs w:val="20"/>
                <w:color w:val="auto"/>
                <w:w w:val="88"/>
              </w:rPr>
              <w:t>. (a) Prior to any Foreclosure on a Pledged Stock, the Company shall be permitted to exercise all</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voting and corporate or other organizational rights with respect to such Pledged Stock.</w:t>
      </w:r>
    </w:p>
    <w:p>
      <w:pPr>
        <w:spacing w:after="0" w:line="243" w:lineRule="exact"/>
        <w:rPr>
          <w:sz w:val="20"/>
          <w:szCs w:val="20"/>
          <w:color w:val="auto"/>
        </w:rPr>
      </w:pPr>
    </w:p>
    <w:p>
      <w:pPr>
        <w:ind w:firstLine="1305"/>
        <w:spacing w:after="0" w:line="303" w:lineRule="auto"/>
        <w:tabs>
          <w:tab w:leader="none" w:pos="21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Upon the completion of, or to the extent necessary to complete, a Foreclosure on a Pledged Stock, the Administrative Agent (acting in its capacity as such or through its nominee) shall have the right to (x) exercise such rights, powers and privileges of the Company with respect to the Company’s Pledged Stock (including all voting and consent rights comprising part of the Pledged Stocks) and (y) transfer all of the Company’s right, title and interest in and to such Pledged Stock upon or in aid or preparation of a Foreclosure, and to be substituted for the Company as the sole owner for all purposes of all of the Company’s right, title and interest in and to such Pledged Stock, in each case effective immediately upon written notice to the Company and the issuer of the Pledged Stock. Without limiting the foregoing, the Administrative Agent (or its nominee) may upon Foreclosure on a Pledged Stock exercise (i) all voting, consent, corporate and other rights pertaining to such Pledged Stock at any meeting of shareholders, members or partners of the relevant Issuer or Issuers or otherwise and (ii) any and all rights of conversion, exchange and subscription and any other rights, privileges or options pertaining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5" w:right="239" w:bottom="1440" w:gutter="0" w:footer="0" w:header="0"/>
        </w:sectPr>
      </w:pPr>
    </w:p>
    <w:bookmarkStart w:id="129" w:name="page130"/>
    <w:bookmarkEnd w:id="129"/>
    <w:p>
      <w:pPr>
        <w:ind w:right="40"/>
        <w:spacing w:after="0" w:line="287" w:lineRule="auto"/>
        <w:rPr>
          <w:sz w:val="20"/>
          <w:szCs w:val="20"/>
          <w:color w:val="auto"/>
        </w:rPr>
      </w:pPr>
      <w:r>
        <w:rPr>
          <w:rFonts w:ascii="Arial" w:cs="Arial" w:eastAsia="Arial" w:hAnsi="Arial"/>
          <w:sz w:val="19"/>
          <w:szCs w:val="19"/>
          <w:color w:val="auto"/>
        </w:rPr>
        <w:t>such Pledged Stock as if it were the absolute owner thereof (including, without limitation, the right to exchange at its discretion such Pledged Stock upon the merger, consolidation, reorganization, recapitalization or other fundamental change in the corporate or other organizational structure of any Issuer, or upon the exercise by the Company or the Administrative Agent of any right, privilege or option pertaining to such Pledged Stock, and in connection therewith, the right to deposit and deliver such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the Company to exercise any such right, privilege or option and shall not be responsible for any failure to do so or delay in so doing.</w:t>
      </w:r>
    </w:p>
    <w:p>
      <w:pPr>
        <w:spacing w:after="0" w:line="183" w:lineRule="exact"/>
        <w:rPr>
          <w:sz w:val="20"/>
          <w:szCs w:val="20"/>
          <w:color w:val="auto"/>
        </w:rPr>
      </w:pPr>
    </w:p>
    <w:p>
      <w:pPr>
        <w:ind w:right="120" w:firstLine="1305"/>
        <w:spacing w:after="0" w:line="349" w:lineRule="auto"/>
        <w:tabs>
          <w:tab w:leader="none" w:pos="216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hereby irrevocably authorizes and instructs (i) each Issuer of any Pledged Stock pledged by the Company hereunder and (ii) any Covered Subsidiary that is not a Pledged Subsidiary to comply with any instruction received by it from the Administrative Agent in writing in accordance with the terms of this Agreement, without any other or further instructions from, or the consent of, the Company, and the Company agrees that each Issuer and each such Covered Subsidiary shall be fully protected in so complying. By executing and delivering an Acknowledgment and Consent substantially in the form of Annex 2 hereto, each Issuer of any Pledged Stock pledged by the Company agrees that (x) it will be bound by the terms of this Agreement and comply with such terms insofar as such terms are applicable to it and (y) the terms of this Section 5.1(c) shall apply to it, mutatis mutandis, with respect to all actions that may be required of it.</w:t>
      </w:r>
    </w:p>
    <w:p>
      <w:pPr>
        <w:spacing w:after="0" w:line="139" w:lineRule="exact"/>
        <w:rPr>
          <w:sz w:val="20"/>
          <w:szCs w:val="20"/>
          <w:color w:val="auto"/>
        </w:rPr>
      </w:pPr>
    </w:p>
    <w:p>
      <w:pPr>
        <w:ind w:right="40" w:firstLine="1297"/>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Proceeds to be Turned Over to Administrative Agent</w:t>
      </w:r>
      <w:r>
        <w:rPr>
          <w:rFonts w:ascii="Arial" w:cs="Arial" w:eastAsia="Arial" w:hAnsi="Arial"/>
          <w:sz w:val="19"/>
          <w:szCs w:val="19"/>
          <w:color w:val="auto"/>
        </w:rPr>
        <w:t>. If an Event of Default shall have occurred and be continuing, all Proceeds and all proceeds of Covered Assets (other than any Excluded Assets) received by the Company or any Covered Subsidiary consisting of cash, cash equivalents and checks shall be held by the Company in trust for the Administrative Agent and the Secured Parties, segregated from other funds of the Company, and shall, forthwith upon receipt by the Company be turned over to the Administrative Agent in the exact form received by the Company (duly indorsed by the Company to the Administrative Agent, if required). All Proceeds or proceeds received by the Administrative Agent hereunder shall be held by the Administrative Agent in accordance with the terms of this Agreement. All Proceeds or proceeds while held by the Administrative Agent (or by the Company in trust for the Administrative Agent and the Secured Parties pursuant to this Section 5.2) shall continue to be held as collateral security or otherwise for all the Secured Obligations and shall not constitute payment thereof until applied as provided in Section 5.3.</w:t>
      </w:r>
    </w:p>
    <w:p>
      <w:pPr>
        <w:spacing w:after="0" w:line="182" w:lineRule="exact"/>
        <w:rPr>
          <w:sz w:val="20"/>
          <w:szCs w:val="20"/>
          <w:color w:val="auto"/>
        </w:rPr>
      </w:pPr>
    </w:p>
    <w:p>
      <w:pPr>
        <w:ind w:firstLine="1297"/>
        <w:spacing w:after="0" w:line="274"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Application of Proceeds</w:t>
      </w:r>
      <w:r>
        <w:rPr>
          <w:rFonts w:ascii="Arial" w:cs="Arial" w:eastAsia="Arial" w:hAnsi="Arial"/>
          <w:sz w:val="20"/>
          <w:szCs w:val="20"/>
          <w:color w:val="auto"/>
        </w:rPr>
        <w:t>. If an Event of Default shall have occurred and be continuing, the Administrative Agent shall, apply all or any part of cash dividends, payments or other Proceeds or proceeds paid in respect of Pledged Stock or Covered Assets (other than any Excluded Assets), or any other Proceeds constituting Collateral or proceeds of Covered Assets (other than any Excluded Assets) in payment of the Secured Obligations in the following order of priority:</w:t>
      </w:r>
    </w:p>
    <w:p>
      <w:pPr>
        <w:spacing w:after="0" w:line="179"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the Administrative Agent for any unpaid expenses payable to it pursuant to the Loan Documents to the extent the same constitute Secured Obligations;</w:t>
      </w:r>
    </w:p>
    <w:p>
      <w:pPr>
        <w:spacing w:after="0" w:line="177" w:lineRule="exact"/>
        <w:rPr>
          <w:sz w:val="20"/>
          <w:szCs w:val="20"/>
          <w:color w:val="auto"/>
        </w:rPr>
      </w:pPr>
    </w:p>
    <w:p>
      <w:pPr>
        <w:ind w:left="660" w:right="40" w:firstLine="648"/>
        <w:spacing w:after="0" w:line="316"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holders of Secured Obligations in an amount equal to the unpaid Secured Obligations, and, if such moneys shall be insufficient to pay such amounts in full, then ratably to such holders in proportion to the unpaid amounts thereof; and</w:t>
      </w:r>
    </w:p>
    <w:p>
      <w:pPr>
        <w:spacing w:after="0" w:line="130" w:lineRule="exact"/>
        <w:rPr>
          <w:sz w:val="20"/>
          <w:szCs w:val="20"/>
          <w:color w:val="auto"/>
        </w:rPr>
      </w:pPr>
    </w:p>
    <w:p>
      <w:pPr>
        <w:ind w:left="660" w:right="60" w:firstLine="648"/>
        <w:spacing w:after="0" w:line="26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any surplus then remaining shall be paid to the Company or its successors or assigns or to whomsoever may be lawfully entitled to receive the same or as a court of competent jurisdiction may direct.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5" w:right="259" w:bottom="1440" w:gutter="0" w:footer="0" w:header="0"/>
        </w:sectPr>
      </w:pPr>
    </w:p>
    <w:bookmarkStart w:id="130" w:name="page131"/>
    <w:bookmarkEnd w:id="130"/>
    <w:p>
      <w:pPr>
        <w:ind w:firstLine="1297"/>
        <w:spacing w:after="0" w:line="29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Code and Other Remedies</w:t>
      </w:r>
      <w:r>
        <w:rPr>
          <w:rFonts w:ascii="Arial" w:cs="Arial" w:eastAsia="Arial" w:hAnsi="Arial"/>
          <w:sz w:val="18"/>
          <w:szCs w:val="18"/>
          <w:color w:val="auto"/>
        </w:rPr>
        <w:t>. In connection with any Foreclosure on Collateral, the Administrative Agent, on behalf of the Secured Parties, may exercise, in addition to all other rights and remedies granted to them in this Agreement and in any other instrument or agreement securing, evidencing or relating to the Secured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referred to below or otherwise required by law) to or upon the Company or any other Person (all and each of which demands, defenses, advertisements and notices are hereby waived to the extent not prohibited by law), may in such circumstances forthwith, with notice to the Company, collect, receive, appropriate and realize upon the applicable Collateral, or any part thereof, and/or may forthwith sell, lease, assign, give option or options to purchase, or otherwise dispose of and deliver such Collateral or any part thereof (or contract to do any of the foregoing), in one or more parcels at public or private sale or sales, at any exchange, broker’s board or office of the Administrative Agent or elsewhere upon such terms and conditions as it may deem advisable and at such prices as it may deem best, for cash or on credit or for future delivery without assumption of any credit risk. The Administrative Agent, its nominee or any Secured Party shall have the right upon any such public sale or sales, and, to the extent permitted by law, upon any such private sale or sales, to purchase the whole or any part of such Collateral so sold, free of any right or equity of redemption in the Company, which right or equity is hereby waived and released to the extent not prohibited by applicable law. The Company further agrees, at the Administrative Agent’s request, to assemble such Collateral and make it available to the Administrative Agent at places which the Administrative Agent shall reasonably select, whether at the Company’s premises or elsewhere. The Administrative Agent shall apply the net proceeds of any action taken by it pursuant to this Section 5.4, after deducting all reasonable costs and expenses of every kind incurred in connection therewith or incidental to the care or safekeeping of any such Collateral or in any way relating to such Collateral or the rights of the Administrative Agent and the Secured Parties hereunder, including, without limitation, reasonable attorneys’ fees and disbursements, to the payment in whole or in part of the Secured Obligations, in such order provided for in this Agreement, and only after such application and after the payment by the Administrative Agent of any other amount required by any provision of law, including, without limitation, Section 9-615(a)</w:t>
      </w:r>
    </w:p>
    <w:p>
      <w:pPr>
        <w:spacing w:after="0" w:line="10" w:lineRule="exact"/>
        <w:rPr>
          <w:sz w:val="20"/>
          <w:szCs w:val="20"/>
          <w:color w:val="auto"/>
        </w:rPr>
      </w:pPr>
    </w:p>
    <w:p>
      <w:pPr>
        <w:ind w:firstLine="8"/>
        <w:spacing w:after="0" w:line="304" w:lineRule="auto"/>
        <w:tabs>
          <w:tab w:leader="none" w:pos="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of the New York UCC, need the Administrative Agent account for the surplus, if any, to the Company. To the extent permitted by applicable law, the Company waives all claims, damages and demands it may acquire against the Administrative Agent or any other Secured Party arising out of the exercise by them of any rights hereunder except any such claims, damages and demands arising as a result of the gross negligence or willful misconduct of the Administrative Agent or any other Secured Party. If any notice of a proposed sale or other disposition of Collateral shall be required by law, such notice shall be deemed reasonable and proper if given at least 10 Business Days before such sale or other disposition. Notwithstanding anything to the contrary in this Agreement, the Administrative Agent shall not turn over possession of any Collateral delivered to it hereunder (other than Collateral that is released to the Company in accordance with Section 7.11 of this Agreement) to any Secured Party or any other Person except upon completion of, or to the extent necessary to complete, a Foreclosure on such Collateral.</w:t>
      </w:r>
    </w:p>
    <w:p>
      <w:pPr>
        <w:spacing w:after="0" w:line="171" w:lineRule="exact"/>
        <w:rPr>
          <w:sz w:val="20"/>
          <w:szCs w:val="20"/>
          <w:color w:val="auto"/>
        </w:rPr>
      </w:pPr>
    </w:p>
    <w:p>
      <w:pPr>
        <w:ind w:right="60" w:firstLine="1297"/>
        <w:spacing w:after="0" w:line="286"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Securities Act, etc.</w:t>
      </w:r>
      <w:r>
        <w:rPr>
          <w:rFonts w:ascii="Arial" w:cs="Arial" w:eastAsia="Arial" w:hAnsi="Arial"/>
          <w:sz w:val="19"/>
          <w:szCs w:val="19"/>
          <w:color w:val="auto"/>
        </w:rPr>
        <w:t xml:space="preserve"> The Company recognizes that the Administrative Agent may be unable to effect a public sale of any or all the Pledged Stock owned or issued by it,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The Company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for the period of time necessary to permit the Company to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5" w:right="259" w:bottom="1440" w:gutter="0" w:footer="0" w:header="0"/>
        </w:sectPr>
      </w:pPr>
    </w:p>
    <w:bookmarkStart w:id="131" w:name="page132"/>
    <w:bookmarkEnd w:id="131"/>
    <w:p>
      <w:pPr>
        <w:ind w:right="220"/>
        <w:spacing w:after="0" w:line="289" w:lineRule="auto"/>
        <w:rPr>
          <w:sz w:val="20"/>
          <w:szCs w:val="20"/>
          <w:color w:val="auto"/>
        </w:rPr>
      </w:pPr>
      <w:r>
        <w:rPr>
          <w:rFonts w:ascii="Arial" w:cs="Arial" w:eastAsia="Arial" w:hAnsi="Arial"/>
          <w:sz w:val="20"/>
          <w:szCs w:val="20"/>
          <w:color w:val="auto"/>
        </w:rPr>
        <w:t>register such securities for public sale under the Securities Act, or under applicable state securities laws, even if the Company would agree to do so.</w:t>
      </w:r>
    </w:p>
    <w:p>
      <w:pPr>
        <w:spacing w:after="0" w:line="175" w:lineRule="exact"/>
        <w:rPr>
          <w:sz w:val="20"/>
          <w:szCs w:val="20"/>
          <w:color w:val="auto"/>
        </w:rPr>
      </w:pPr>
    </w:p>
    <w:p>
      <w:pPr>
        <w:ind w:right="180" w:firstLine="1297"/>
        <w:spacing w:after="0" w:line="278"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Deficiency</w:t>
      </w:r>
      <w:r>
        <w:rPr>
          <w:rFonts w:ascii="Arial" w:cs="Arial" w:eastAsia="Arial" w:hAnsi="Arial"/>
          <w:sz w:val="20"/>
          <w:szCs w:val="20"/>
          <w:color w:val="auto"/>
        </w:rPr>
        <w:t>. The Company shall remain liable for any deficiency if the proceeds of any sale or other disposition of the Collateral are insufficient to pay its Secured Obligations and the reasonable fees and disbursements of any attorneys employed by the Administrative Agent to collect such deficiency.</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9460" w:type="dxa"/>
            <w:vAlign w:val="bottom"/>
          </w:tcPr>
          <w:p>
            <w:pPr>
              <w:jc w:val="center"/>
              <w:ind w:right="1701"/>
              <w:spacing w:after="0"/>
              <w:rPr>
                <w:sz w:val="20"/>
                <w:szCs w:val="20"/>
                <w:color w:val="auto"/>
              </w:rPr>
            </w:pPr>
            <w:r>
              <w:rPr>
                <w:rFonts w:ascii="Arial" w:cs="Arial" w:eastAsia="Arial" w:hAnsi="Arial"/>
                <w:sz w:val="20"/>
                <w:szCs w:val="20"/>
                <w:color w:val="auto"/>
                <w:w w:val="96"/>
              </w:rPr>
              <w:t>SECTION VI</w:t>
            </w:r>
          </w:p>
        </w:tc>
      </w:tr>
      <w:tr>
        <w:trPr>
          <w:trHeight w:val="446"/>
        </w:trPr>
        <w:tc>
          <w:tcPr>
            <w:tcW w:w="580" w:type="dxa"/>
            <w:vAlign w:val="bottom"/>
          </w:tcPr>
          <w:p>
            <w:pPr>
              <w:spacing w:after="0"/>
              <w:rPr>
                <w:sz w:val="24"/>
                <w:szCs w:val="24"/>
                <w:color w:val="auto"/>
              </w:rPr>
            </w:pPr>
          </w:p>
        </w:tc>
        <w:tc>
          <w:tcPr>
            <w:tcW w:w="9460" w:type="dxa"/>
            <w:vAlign w:val="bottom"/>
          </w:tcPr>
          <w:p>
            <w:pPr>
              <w:jc w:val="center"/>
              <w:ind w:right="1701"/>
              <w:spacing w:after="0"/>
              <w:rPr>
                <w:sz w:val="20"/>
                <w:szCs w:val="20"/>
                <w:color w:val="auto"/>
              </w:rPr>
            </w:pPr>
            <w:r>
              <w:rPr>
                <w:rFonts w:ascii="Arial" w:cs="Arial" w:eastAsia="Arial" w:hAnsi="Arial"/>
                <w:sz w:val="20"/>
                <w:szCs w:val="20"/>
                <w:color w:val="auto"/>
                <w:w w:val="97"/>
              </w:rPr>
              <w:t>THE ADMINISTRATIVE AGENT</w:t>
            </w:r>
          </w:p>
        </w:tc>
      </w:tr>
      <w:tr>
        <w:trPr>
          <w:trHeight w:val="459"/>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6.1</w:t>
            </w:r>
          </w:p>
        </w:tc>
        <w:tc>
          <w:tcPr>
            <w:tcW w:w="9460" w:type="dxa"/>
            <w:vAlign w:val="bottom"/>
          </w:tcPr>
          <w:p>
            <w:pPr>
              <w:ind w:left="320"/>
              <w:spacing w:after="0"/>
              <w:rPr>
                <w:sz w:val="20"/>
                <w:szCs w:val="20"/>
                <w:color w:val="auto"/>
              </w:rPr>
            </w:pPr>
            <w:r>
              <w:rPr>
                <w:rFonts w:ascii="Arial" w:cs="Arial" w:eastAsia="Arial" w:hAnsi="Arial"/>
                <w:sz w:val="20"/>
                <w:szCs w:val="20"/>
                <w:u w:val="single" w:color="auto"/>
                <w:color w:val="auto"/>
                <w:w w:val="91"/>
              </w:rPr>
              <w:t>Administrative Agent’s Appointment as Attorney-in-Fact, etc.</w:t>
            </w:r>
            <w:r>
              <w:rPr>
                <w:rFonts w:ascii="Arial" w:cs="Arial" w:eastAsia="Arial" w:hAnsi="Arial"/>
                <w:sz w:val="20"/>
                <w:szCs w:val="20"/>
                <w:color w:val="auto"/>
                <w:w w:val="91"/>
              </w:rPr>
              <w:t xml:space="preserve"> (a) The Company appoints the Administrative Agent</w:t>
            </w:r>
          </w:p>
        </w:tc>
      </w:tr>
    </w:tbl>
    <w:p>
      <w:pPr>
        <w:spacing w:after="0" w:line="6"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and any officer or agent thereof (including, without limitation, any custodian appointed by it), with full power of substitution, as its true and lawful attorney-in-fact with full irrevocable power and authority in the place and stead of the Company and in the name of the Company or in its own name, for the purpose of carrying out the terms of this Agreement in connection with any Foreclosure on Collateral, to take any and all appropriate action and to execute any and all documents and instruments which may be necessary or desirable to accomplish the purposes of this Agreement upon and in connection with such Foreclosure, and, without limiting the generality of the foregoing, the Company hereby gives the Administrative Agent the power and right, on behalf of the Company, with notice to the Company, to do any or all of the following upon and in connection with such Foreclosure:</w:t>
      </w:r>
    </w:p>
    <w:p>
      <w:pPr>
        <w:spacing w:after="0" w:line="183" w:lineRule="exact"/>
        <w:rPr>
          <w:sz w:val="20"/>
          <w:szCs w:val="20"/>
          <w:color w:val="auto"/>
        </w:rPr>
      </w:pPr>
    </w:p>
    <w:p>
      <w:pPr>
        <w:ind w:left="660" w:right="160" w:firstLine="645"/>
        <w:spacing w:after="0" w:line="314" w:lineRule="auto"/>
        <w:tabs>
          <w:tab w:leader="none" w:pos="21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name of the Company or its own name, or otherwise, take possession of and indorse and collect any checks, drafts, notes, acceptances or other instruments for the payment of moneys due with respect to the applicable Collateral and file any claim or take any action or proceeding in any court of law or equity or otherwise deemed appropriate by the Administrative Agent for the purpose of collecting any and all such moneys due with respect to such Collateral whenever payable;</w:t>
      </w:r>
    </w:p>
    <w:p>
      <w:pPr>
        <w:spacing w:after="0" w:line="159" w:lineRule="exact"/>
        <w:rPr>
          <w:rFonts w:ascii="Arial" w:cs="Arial" w:eastAsia="Arial" w:hAnsi="Arial"/>
          <w:sz w:val="18"/>
          <w:szCs w:val="18"/>
          <w:color w:val="auto"/>
        </w:rPr>
      </w:pPr>
    </w:p>
    <w:p>
      <w:pPr>
        <w:ind w:left="660" w:right="100" w:firstLine="645"/>
        <w:spacing w:after="0" w:line="347" w:lineRule="auto"/>
        <w:tabs>
          <w:tab w:leader="none" w:pos="219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such Collateral, effect any repairs or any insurance called for by the terms of this Agreement and pay all or any part of the premiums therefore and the costs thereof;</w:t>
      </w:r>
    </w:p>
    <w:p>
      <w:pPr>
        <w:spacing w:after="0" w:line="130" w:lineRule="exact"/>
        <w:rPr>
          <w:rFonts w:ascii="Arial" w:cs="Arial" w:eastAsia="Arial" w:hAnsi="Arial"/>
          <w:sz w:val="18"/>
          <w:szCs w:val="18"/>
          <w:color w:val="auto"/>
        </w:rPr>
      </w:pPr>
    </w:p>
    <w:p>
      <w:pPr>
        <w:ind w:left="660" w:right="880" w:firstLine="645"/>
        <w:spacing w:after="0" w:line="289" w:lineRule="auto"/>
        <w:tabs>
          <w:tab w:leader="none" w:pos="225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execute, in connection with any sale provided for in Section 5.4, any indorsements, assignments or other instruments of conveyance or transfer with respect to such Collateral; and</w:t>
      </w:r>
    </w:p>
    <w:p>
      <w:pPr>
        <w:spacing w:after="0" w:line="175" w:lineRule="exact"/>
        <w:rPr>
          <w:rFonts w:ascii="Arial" w:cs="Arial" w:eastAsia="Arial" w:hAnsi="Arial"/>
          <w:sz w:val="20"/>
          <w:szCs w:val="20"/>
          <w:color w:val="auto"/>
        </w:rPr>
      </w:pPr>
    </w:p>
    <w:p>
      <w:pPr>
        <w:jc w:val="both"/>
        <w:ind w:left="660" w:right="40" w:firstLine="645"/>
        <w:spacing w:after="0" w:line="334" w:lineRule="auto"/>
        <w:tabs>
          <w:tab w:leader="none" w:pos="224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(1) direct any party liable for any payment under such Collateral to make payment of any and all moneys due or to become due thereunder as the Administrative Agent shall direct; (2) ask or demand for, collect, and receive payment of and receipt for,</w:t>
      </w:r>
    </w:p>
    <w:p>
      <w:pPr>
        <w:spacing w:after="0" w:line="1" w:lineRule="exact"/>
        <w:rPr>
          <w:sz w:val="20"/>
          <w:szCs w:val="20"/>
          <w:color w:val="auto"/>
        </w:rPr>
      </w:pPr>
    </w:p>
    <w:p>
      <w:pPr>
        <w:ind w:left="660"/>
        <w:spacing w:after="0" w:line="286" w:lineRule="auto"/>
        <w:rPr>
          <w:sz w:val="20"/>
          <w:szCs w:val="20"/>
          <w:color w:val="auto"/>
        </w:rPr>
      </w:pPr>
      <w:r>
        <w:rPr>
          <w:rFonts w:ascii="Arial" w:cs="Arial" w:eastAsia="Arial" w:hAnsi="Arial"/>
          <w:sz w:val="19"/>
          <w:szCs w:val="19"/>
          <w:color w:val="auto"/>
        </w:rPr>
        <w:t>any and all moneys, claims and other amounts due or to become due at any time in respect of or arising out of such Collateral; (3) sign and indorse any assignments, verifications, notices and other documents in connection with such Collateral; (4) commence and prosecute any suits, actions or proceedings at law or in equity in any court of competent jurisdiction to collect such Collateral or any portion thereof and to enforce any other right in respect of such Collateral; (5) defend any suit, action or proceeding brought against the Company with respect to such Collateral; (6) settle, compromise or adjust any such suit, action or proceeding and, in connection therewith, give such discharges or releases as the Administrative Agent may deem appropriate; and (7) generally, sell, transfer, pledge and make any agreement with respect to or otherwise deal with such Collateral as fully and completely as though the Administrative Agent were the absolute owner thereof for all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5" w:right="259" w:bottom="1440" w:gutter="0" w:footer="0" w:header="0"/>
        </w:sectPr>
      </w:pPr>
    </w:p>
    <w:bookmarkStart w:id="132" w:name="page133"/>
    <w:bookmarkEnd w:id="132"/>
    <w:p>
      <w:pPr>
        <w:ind w:left="660" w:right="200"/>
        <w:spacing w:after="0" w:line="274" w:lineRule="auto"/>
        <w:rPr>
          <w:sz w:val="20"/>
          <w:szCs w:val="20"/>
          <w:color w:val="auto"/>
        </w:rPr>
      </w:pPr>
      <w:r>
        <w:rPr>
          <w:rFonts w:ascii="Arial" w:cs="Arial" w:eastAsia="Arial" w:hAnsi="Arial"/>
          <w:sz w:val="20"/>
          <w:szCs w:val="20"/>
          <w:color w:val="auto"/>
        </w:rPr>
        <w:t>purposes, and do, at the Administrative Agent’s option and the Company’s expense, at any time, or from time to time, all acts and things which the Administrative Agent deems necessary to protect, preserve or realize upon such Collateral and the Administrative Agent’s and the Secured Parties’ security interests therein and to effect the intent of this Agreement, all as fully and effectively as the Company might do.</w:t>
      </w:r>
    </w:p>
    <w:p>
      <w:pPr>
        <w:spacing w:after="0" w:line="192" w:lineRule="exact"/>
        <w:rPr>
          <w:sz w:val="20"/>
          <w:szCs w:val="20"/>
          <w:color w:val="auto"/>
        </w:rPr>
      </w:pPr>
    </w:p>
    <w:p>
      <w:pPr>
        <w:ind w:right="520" w:firstLine="1305"/>
        <w:spacing w:after="0" w:line="278" w:lineRule="auto"/>
        <w:tabs>
          <w:tab w:leader="none" w:pos="217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Upon any Foreclosure on Collateral, if the Company fails to perform or comply with any of its agreements contained herein, the Administrative Agent, at its option, but without any obligation so to do, may perform or comply, or otherwise cause performance or compliance, with such agreement.</w:t>
      </w:r>
    </w:p>
    <w:p>
      <w:pPr>
        <w:spacing w:after="0" w:line="186" w:lineRule="exact"/>
        <w:rPr>
          <w:rFonts w:ascii="Arial" w:cs="Arial" w:eastAsia="Arial" w:hAnsi="Arial"/>
          <w:sz w:val="20"/>
          <w:szCs w:val="20"/>
          <w:color w:val="auto"/>
        </w:rPr>
      </w:pPr>
    </w:p>
    <w:p>
      <w:pPr>
        <w:ind w:right="240" w:firstLine="1305"/>
        <w:spacing w:after="0" w:line="314" w:lineRule="auto"/>
        <w:tabs>
          <w:tab w:leader="none" w:pos="21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expenses of the Administrative Agent incurred in connection with actions undertaken as provided in this Section 6.1, together with interest thereon at a rate per annum equal to the highest rate per annum at which interest would then be payable on any category of past due Base Rate Loans under the Credit Agreement, from the date of payment by the Administrative Agent to the date reimbursed by the Company, shall be payable by the Company to the Administrative Agent on demand.</w:t>
      </w:r>
    </w:p>
    <w:p>
      <w:pPr>
        <w:spacing w:after="0" w:line="159" w:lineRule="exact"/>
        <w:rPr>
          <w:rFonts w:ascii="Arial" w:cs="Arial" w:eastAsia="Arial" w:hAnsi="Arial"/>
          <w:sz w:val="18"/>
          <w:szCs w:val="18"/>
          <w:color w:val="auto"/>
        </w:rPr>
      </w:pPr>
    </w:p>
    <w:p>
      <w:pPr>
        <w:jc w:val="both"/>
        <w:ind w:right="540" w:firstLine="1305"/>
        <w:spacing w:after="0" w:line="278" w:lineRule="auto"/>
        <w:tabs>
          <w:tab w:leader="none" w:pos="217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Company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87" w:lineRule="exact"/>
        <w:rPr>
          <w:sz w:val="20"/>
          <w:szCs w:val="20"/>
          <w:color w:val="auto"/>
        </w:rPr>
      </w:pPr>
    </w:p>
    <w:p>
      <w:pPr>
        <w:ind w:right="20" w:firstLine="1297"/>
        <w:spacing w:after="0" w:line="28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Duty of Administrative Agent</w:t>
      </w:r>
      <w:r>
        <w:rPr>
          <w:rFonts w:ascii="Arial" w:cs="Arial" w:eastAsia="Arial" w:hAnsi="Arial"/>
          <w:sz w:val="19"/>
          <w:szCs w:val="19"/>
          <w:color w:val="auto"/>
        </w:rPr>
        <w:t>. The Administrative Agent shall use reasonable care with respect to the custody, safekeeping and physical preservation of the Collateral in its possession, under Section 9-207 of the New York UCC, including preserving rights against other parties claiming an interest in the Collateral. Neither the Administrative Agent, any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the Company or any other Person or to take any other action whatsoever with regard to the Collateral or any part thereof. The powers conferred on the Administrative Agent and the Secured Parties hereunder are solely to protect the Administrative Agent’s and the Secured Parties’ interests in the Collateral and shall not impose any duty upon the Administrative Agent or any Secured Party to exercise any such powers. The Administrative Agent and the Secured Parties shall be accountable only for amounts that they actually receive as a result of the exercise of such powers, and neither they nor any of their officers, directors, employees or agents shall be responsible to the Company for any act or failure to act hereunder, except for their own gross negligence or willful misconduct.</w:t>
      </w:r>
    </w:p>
    <w:p>
      <w:pPr>
        <w:spacing w:after="0" w:line="185"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Authorization of Financing Statements</w:t>
      </w:r>
      <w:r>
        <w:rPr>
          <w:rFonts w:ascii="Arial" w:cs="Arial" w:eastAsia="Arial" w:hAnsi="Arial"/>
          <w:sz w:val="19"/>
          <w:szCs w:val="19"/>
          <w:color w:val="auto"/>
        </w:rPr>
        <w:t xml:space="preserve">. Pursuant to any applicable law, the Company authorizes the Administrative Agent to file or record financing statements with respect to the Collateral (describing the Collateral as specified in this Agreement) without the signature of the Company in such form and in such offices of the jurisdiction of organization of the Company as the Administrative Agent determines appropriate to perfect the security interests of the Administrative Agent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contained herein or in any Collateral Document, the Company shall not be required to perfect the security interests granted by it in any Collateral by any means other than by (i) executing and delivering a copy of any Deposit Account Control Agreement, (ii) executing filings pursuant to the Uniform Commercial Code of the relevant State(s) and (iii) such additional actions as may be required pursuant to any Loan Document.</w:t>
      </w:r>
    </w:p>
    <w:p>
      <w:pPr>
        <w:spacing w:after="0" w:line="186" w:lineRule="exact"/>
        <w:rPr>
          <w:sz w:val="20"/>
          <w:szCs w:val="20"/>
          <w:color w:val="auto"/>
        </w:rPr>
      </w:pPr>
    </w:p>
    <w:p>
      <w:pPr>
        <w:ind w:right="20" w:firstLine="1297"/>
        <w:spacing w:after="0" w:line="278"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Authority of Administrative Agent</w:t>
      </w:r>
      <w:r>
        <w:rPr>
          <w:rFonts w:ascii="Arial" w:cs="Arial" w:eastAsia="Arial" w:hAnsi="Arial"/>
          <w:sz w:val="20"/>
          <w:szCs w:val="20"/>
          <w:color w:val="auto"/>
        </w:rPr>
        <w:t>. The Company acknowledges that the rights and responsibilities of the Administrative Agent under this Agreement with respect to any action taken by the Administrative Agent or the exercise or non-exercise by the Administrative Agent of any option,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5" w:right="259" w:bottom="1440" w:gutter="0" w:footer="0" w:header="0"/>
        </w:sectPr>
      </w:pPr>
    </w:p>
    <w:bookmarkStart w:id="133" w:name="page134"/>
    <w:bookmarkEnd w:id="133"/>
    <w:p>
      <w:pPr>
        <w:ind w:right="100"/>
        <w:spacing w:after="0" w:line="310" w:lineRule="auto"/>
        <w:rPr>
          <w:sz w:val="20"/>
          <w:szCs w:val="20"/>
          <w:color w:val="auto"/>
        </w:rPr>
      </w:pPr>
      <w:r>
        <w:rPr>
          <w:rFonts w:ascii="Arial" w:cs="Arial" w:eastAsia="Arial" w:hAnsi="Arial"/>
          <w:sz w:val="18"/>
          <w:szCs w:val="18"/>
          <w:color w:val="auto"/>
        </w:rPr>
        <w:t>voting right, request, judgment or other right or remedy provided for herein or resulting or arising out of this Agreement shall, as between the Administrative Agent and the Secured Parties, be governed by this Agreement and by such other agreements with respect thereto as may exist from time to time among them, but, as between the Administrative Agent and the Company, the Administrative Agent shall be conclusively presumed to be acting as agent for the Secured Parties with full and valid authority so to act or refrain from acting, and the Company shall not be under any obligation, or entitlement, to make any inquiry respecting such authority.</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SECTION VII</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MISCELLANEOUS</w:t>
      </w:r>
    </w:p>
    <w:p>
      <w:pPr>
        <w:spacing w:after="0" w:line="229" w:lineRule="exact"/>
        <w:rPr>
          <w:sz w:val="20"/>
          <w:szCs w:val="20"/>
          <w:color w:val="auto"/>
        </w:rPr>
      </w:pPr>
    </w:p>
    <w:p>
      <w:pPr>
        <w:ind w:right="560" w:firstLine="1297"/>
        <w:spacing w:after="0" w:line="289"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Amendments, Supplements and Waivers</w:t>
      </w:r>
      <w:r>
        <w:rPr>
          <w:rFonts w:ascii="Arial" w:cs="Arial" w:eastAsia="Arial" w:hAnsi="Arial"/>
          <w:sz w:val="20"/>
          <w:szCs w:val="20"/>
          <w:color w:val="auto"/>
        </w:rPr>
        <w:t>. None of the terms or provisions of this Agreement may be waived, amended, supplemented or otherwise modified except in accordance with Section 9.5 of the Credit Agreement.</w:t>
      </w:r>
    </w:p>
    <w:p>
      <w:pPr>
        <w:spacing w:after="0" w:line="175" w:lineRule="exact"/>
        <w:rPr>
          <w:sz w:val="20"/>
          <w:szCs w:val="20"/>
          <w:color w:val="auto"/>
        </w:rPr>
      </w:pPr>
    </w:p>
    <w:p>
      <w:pPr>
        <w:ind w:firstLine="1305"/>
        <w:spacing w:after="0" w:line="287" w:lineRule="auto"/>
        <w:tabs>
          <w:tab w:leader="none" w:pos="216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Solely with the consent of the Administrative Agent (and without the consent of any other Secured Party), the Administrative Agent and the Company, at any time and from time to time, may enter into one or more agreements supplemental hereto or to any Collateral Document, (i) to add to the covenants of the Company for the benefit of the Secured Parties or to surrender any right or power herein conferred upon the Company; or (ii) to cure any ambiguity, to correct or supplement any provision herein or in any Collateral Document which may be defective or inconsistent with any other provision herein or therein, or to make any other provision with respect to matters or questions arising hereunder which shall not be inconsistent with any provision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action contemplated by this clause (ii) shall not adversely affect the interests of any of the Secured Parties.</w:t>
      </w:r>
    </w:p>
    <w:p>
      <w:pPr>
        <w:spacing w:after="0" w:line="183" w:lineRule="exact"/>
        <w:rPr>
          <w:sz w:val="20"/>
          <w:szCs w:val="20"/>
          <w:color w:val="auto"/>
        </w:rPr>
      </w:pPr>
    </w:p>
    <w:p>
      <w:pPr>
        <w:ind w:firstLine="1297"/>
        <w:spacing w:after="0" w:line="289"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and demands to or upon the Administrative Agent or the Company hereunder shall be effected in the manner provided for in Section 9.1 of the Credit Agreement.</w:t>
      </w:r>
    </w:p>
    <w:p>
      <w:pPr>
        <w:spacing w:after="0" w:line="175" w:lineRule="exact"/>
        <w:rPr>
          <w:sz w:val="20"/>
          <w:szCs w:val="20"/>
          <w:color w:val="auto"/>
        </w:rPr>
      </w:pPr>
    </w:p>
    <w:p>
      <w:pPr>
        <w:ind w:right="40" w:firstLine="1297"/>
        <w:spacing w:after="0" w:line="286"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No Waiver by Course of Conduct; Cumulative Remedies</w:t>
      </w:r>
      <w:r>
        <w:rPr>
          <w:rFonts w:ascii="Arial" w:cs="Arial" w:eastAsia="Arial" w:hAnsi="Arial"/>
          <w:sz w:val="19"/>
          <w:szCs w:val="19"/>
          <w:color w:val="auto"/>
        </w:rPr>
        <w:t>. Neither the Administrative Agent nor any Secured Party shall by any act (except in accordance with Section 7.1), delay, indulgence, omission or otherwise be deemed to have waived any right or remedy hereunder or to have acquiesced in any Default or Event of Default. No failure to exercise, nor any delay in exercising, on the part of the Administrative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Secured Party of any right or remedy hereunder on any one occasion shall not be construed as a bar to any right or remedy which the Administrative Agent or such Secured Party would otherwise have on any future occasion. The rights and remedies herein provided are cumulative, may be exercised singly or concurrently and are not exclusive of any other rights or remedies provided by law.</w:t>
      </w:r>
    </w:p>
    <w:p>
      <w:pPr>
        <w:spacing w:after="0" w:line="182" w:lineRule="exact"/>
        <w:rPr>
          <w:sz w:val="20"/>
          <w:szCs w:val="20"/>
          <w:color w:val="auto"/>
        </w:rPr>
      </w:pPr>
    </w:p>
    <w:p>
      <w:pPr>
        <w:jc w:val="both"/>
        <w:ind w:right="340" w:firstLine="1297"/>
        <w:spacing w:after="0" w:line="274"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Agreement shall be binding upon the successors and assigns of the Company and shall inure to the benefit of the Administrative Agent and the Secured Parties and their successors and permitted assigns;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may not assign, transfer or delegate any of its rights or obligations under this Agreement without the prior written consent of the Administrative Agent.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95" w:right="299" w:bottom="1440" w:gutter="0" w:footer="0" w:header="0"/>
        </w:sectPr>
      </w:pPr>
    </w:p>
    <w:bookmarkStart w:id="134" w:name="page135"/>
    <w:bookmarkEnd w:id="134"/>
    <w:p>
      <w:pPr>
        <w:jc w:val="both"/>
        <w:ind w:right="120" w:firstLine="1297"/>
        <w:spacing w:after="0" w:line="278"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one or more of the parties to this Agreement on any number of separate counterparts (including by telecopy or pdf), and all of said counterparts taken together shall be deemed to constitute one and the same instrument.</w:t>
      </w:r>
    </w:p>
    <w:p>
      <w:pPr>
        <w:spacing w:after="0" w:line="187" w:lineRule="exact"/>
        <w:rPr>
          <w:sz w:val="20"/>
          <w:szCs w:val="20"/>
          <w:color w:val="auto"/>
        </w:rPr>
      </w:pPr>
    </w:p>
    <w:p>
      <w:pPr>
        <w:ind w:right="40" w:firstLine="1297"/>
        <w:spacing w:after="0" w:line="322"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3" w:lineRule="exact"/>
        <w:rPr>
          <w:sz w:val="20"/>
          <w:szCs w:val="20"/>
          <w:color w:val="auto"/>
        </w:rPr>
      </w:pPr>
    </w:p>
    <w:p>
      <w:pPr>
        <w:ind w:firstLine="1297"/>
        <w:spacing w:after="0" w:line="289"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Section Headings</w:t>
      </w:r>
      <w:r>
        <w:rPr>
          <w:rFonts w:ascii="Arial" w:cs="Arial" w:eastAsia="Arial" w:hAnsi="Arial"/>
          <w:sz w:val="20"/>
          <w:szCs w:val="20"/>
          <w:color w:val="auto"/>
        </w:rPr>
        <w:t>. The Section headings used in this Agreement are for convenience of reference only and are not to affect the construction hereof or be taken into consideration in the interpretation hereof.</w:t>
      </w:r>
    </w:p>
    <w:p>
      <w:pPr>
        <w:spacing w:after="0" w:line="175" w:lineRule="exact"/>
        <w:rPr>
          <w:sz w:val="20"/>
          <w:szCs w:val="20"/>
          <w:color w:val="auto"/>
        </w:rPr>
      </w:pPr>
    </w:p>
    <w:p>
      <w:pPr>
        <w:jc w:val="both"/>
        <w:ind w:right="80" w:firstLine="1297"/>
        <w:spacing w:after="0" w:line="274"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Loan Documents represent the agreement of the Company, the Administrative Agent and the Secured Parties with respect to the subject matter hereof and thereof, and there are no promises, undertakings, representations or warranties by the Company, the Administrative Agent or any Secured Party relative to subject matter hereof and thereof not expressly set forth or referred to herein or in the Loan Documents.</w:t>
      </w:r>
    </w:p>
    <w:p>
      <w:pPr>
        <w:spacing w:after="0" w:line="186" w:lineRule="exact"/>
        <w:rPr>
          <w:sz w:val="20"/>
          <w:szCs w:val="20"/>
          <w:color w:val="auto"/>
        </w:rPr>
      </w:pPr>
    </w:p>
    <w:p>
      <w:pPr>
        <w:ind w:right="720" w:firstLine="1297"/>
        <w:spacing w:after="0" w:line="295" w:lineRule="auto"/>
        <w:rPr>
          <w:sz w:val="20"/>
          <w:szCs w:val="20"/>
          <w:color w:val="auto"/>
        </w:rPr>
      </w:pPr>
      <w:r>
        <w:rPr>
          <w:rFonts w:ascii="Arial" w:cs="Arial" w:eastAsia="Arial" w:hAnsi="Arial"/>
          <w:sz w:val="20"/>
          <w:szCs w:val="20"/>
          <w:b w:val="1"/>
          <w:bCs w:val="1"/>
          <w:color w:val="auto"/>
        </w:rPr>
        <w:t xml:space="preserve">7.9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AGREEMENT SHALL BE GOVERNED BY, AND CONSTRUED AND INTERPRETED IN ACCORDANCE WITH, THE LAW OF THE STATE OF NEW YORK.</w:t>
      </w:r>
    </w:p>
    <w:p>
      <w:pPr>
        <w:spacing w:after="0" w:line="170" w:lineRule="exact"/>
        <w:rPr>
          <w:sz w:val="20"/>
          <w:szCs w:val="20"/>
          <w:color w:val="auto"/>
        </w:rPr>
      </w:pPr>
    </w:p>
    <w:p>
      <w:pPr>
        <w:ind w:right="500" w:firstLine="1297"/>
        <w:spacing w:after="0" w:line="289"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Submission To Jurisdiction; Waivers</w:t>
      </w:r>
      <w:r>
        <w:rPr>
          <w:rFonts w:ascii="Arial" w:cs="Arial" w:eastAsia="Arial" w:hAnsi="Arial"/>
          <w:sz w:val="20"/>
          <w:szCs w:val="20"/>
          <w:color w:val="auto"/>
        </w:rPr>
        <w:t>. The Company, and by its acceptance hereof, the Administrative Agent, hereby irrevocably and unconditionally:</w:t>
      </w:r>
    </w:p>
    <w:p>
      <w:pPr>
        <w:spacing w:after="0" w:line="175" w:lineRule="exact"/>
        <w:rPr>
          <w:sz w:val="20"/>
          <w:szCs w:val="20"/>
          <w:color w:val="auto"/>
        </w:rPr>
      </w:pPr>
    </w:p>
    <w:p>
      <w:pPr>
        <w:ind w:left="660" w:right="220" w:firstLine="645"/>
        <w:spacing w:after="0" w:line="255" w:lineRule="exact"/>
        <w:tabs>
          <w:tab w:leader="none" w:pos="217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Loan Documents to which it is a party, or for recognition and enforcement of any judgment in respect thereof, to the non</w:t>
      </w:r>
      <w:r>
        <w:rPr>
          <w:rFonts w:ascii="MS PGothic" w:cs="MS PGothic" w:eastAsia="MS PGothic" w:hAnsi="MS PGothic"/>
          <w:sz w:val="20"/>
          <w:szCs w:val="20"/>
          <w:color w:val="auto"/>
        </w:rPr>
        <w:t>‑</w:t>
      </w:r>
      <w:r>
        <w:rPr>
          <w:rFonts w:ascii="Arial" w:cs="Arial" w:eastAsia="Arial" w:hAnsi="Arial"/>
          <w:sz w:val="20"/>
          <w:szCs w:val="20"/>
          <w:color w:val="auto"/>
        </w:rPr>
        <w:t>exclusive general jurisdiction of the courts of the State of New York, the courts of the United States of America for the Southern District of New York, and appellate courts from any thereof;</w:t>
      </w:r>
    </w:p>
    <w:p>
      <w:pPr>
        <w:spacing w:after="0" w:line="222" w:lineRule="exact"/>
        <w:rPr>
          <w:rFonts w:ascii="Arial" w:cs="Arial" w:eastAsia="Arial" w:hAnsi="Arial"/>
          <w:sz w:val="20"/>
          <w:szCs w:val="20"/>
          <w:color w:val="auto"/>
        </w:rPr>
      </w:pPr>
    </w:p>
    <w:p>
      <w:pPr>
        <w:ind w:left="660" w:firstLine="645"/>
        <w:spacing w:after="0" w:line="278" w:lineRule="auto"/>
        <w:tabs>
          <w:tab w:leader="none" w:pos="218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86" w:lineRule="exact"/>
        <w:rPr>
          <w:rFonts w:ascii="Arial" w:cs="Arial" w:eastAsia="Arial" w:hAnsi="Arial"/>
          <w:sz w:val="20"/>
          <w:szCs w:val="20"/>
          <w:color w:val="auto"/>
        </w:rPr>
      </w:pPr>
    </w:p>
    <w:p>
      <w:pPr>
        <w:ind w:left="660" w:right="200" w:firstLine="645"/>
        <w:spacing w:after="0" w:line="289" w:lineRule="auto"/>
        <w:tabs>
          <w:tab w:leader="none" w:pos="2176" w:val="left"/>
        </w:tabs>
        <w:numPr>
          <w:ilvl w:val="0"/>
          <w:numId w:val="128"/>
        </w:numPr>
        <w:rPr>
          <w:rFonts w:ascii="Arial" w:cs="Arial" w:eastAsia="Arial" w:hAnsi="Arial"/>
          <w:sz w:val="20"/>
          <w:szCs w:val="20"/>
          <w:color w:val="auto"/>
        </w:rPr>
      </w:pPr>
      <w:r>
        <w:rPr>
          <w:rFonts w:ascii="Arial" w:cs="Arial" w:eastAsia="Arial" w:hAnsi="Arial"/>
          <w:sz w:val="20"/>
          <w:szCs w:val="20"/>
          <w:color w:val="0C0C0C"/>
        </w:rPr>
        <w:t>waives</w:t>
      </w:r>
      <w:r>
        <w:rPr>
          <w:rFonts w:ascii="Arial" w:cs="Arial" w:eastAsia="Arial" w:hAnsi="Arial"/>
          <w:sz w:val="20"/>
          <w:szCs w:val="20"/>
          <w:color w:val="000000"/>
        </w:rPr>
        <w:t>, to the maximum extent not prohibited by law, any right it may have to claim or recover in any legal action</w:t>
      </w:r>
      <w:r>
        <w:rPr>
          <w:rFonts w:ascii="Arial" w:cs="Arial" w:eastAsia="Arial" w:hAnsi="Arial"/>
          <w:sz w:val="20"/>
          <w:szCs w:val="20"/>
          <w:color w:val="0C0C0C"/>
        </w:rPr>
        <w:t xml:space="preserve"> </w:t>
      </w:r>
      <w:r>
        <w:rPr>
          <w:rFonts w:ascii="Arial" w:cs="Arial" w:eastAsia="Arial" w:hAnsi="Arial"/>
          <w:sz w:val="20"/>
          <w:szCs w:val="20"/>
          <w:color w:val="000000"/>
        </w:rPr>
        <w:t>or proceeding referred to in this Section any special, exemplary, punitive or consequential damages.</w:t>
      </w:r>
    </w:p>
    <w:p>
      <w:pPr>
        <w:spacing w:after="0" w:line="175"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Releases; Termination</w:t>
      </w:r>
      <w:r>
        <w:rPr>
          <w:rFonts w:ascii="Arial" w:cs="Arial" w:eastAsia="Arial" w:hAnsi="Arial"/>
          <w:sz w:val="16"/>
          <w:szCs w:val="16"/>
          <w:color w:val="auto"/>
        </w:rPr>
        <w:t>.</w:t>
      </w:r>
    </w:p>
    <w:p>
      <w:pPr>
        <w:spacing w:after="0" w:line="243" w:lineRule="exact"/>
        <w:rPr>
          <w:sz w:val="20"/>
          <w:szCs w:val="20"/>
          <w:color w:val="auto"/>
        </w:rPr>
      </w:pPr>
    </w:p>
    <w:p>
      <w:pPr>
        <w:ind w:right="100" w:firstLine="1305"/>
        <w:spacing w:after="0" w:line="278" w:lineRule="auto"/>
        <w:tabs>
          <w:tab w:leader="none" w:pos="216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Upon the termination of, and satisfaction in full of all of the Secured Obligations, the security interests created by this Agreement and the Collateral Documents shall terminate forthwith and all right, title and interest of the Administrative Agent in and to the Collateral shall revert to the Company, their successors and assigns.</w:t>
      </w:r>
    </w:p>
    <w:p>
      <w:pPr>
        <w:spacing w:after="0" w:line="186" w:lineRule="exact"/>
        <w:rPr>
          <w:rFonts w:ascii="Arial" w:cs="Arial" w:eastAsia="Arial" w:hAnsi="Arial"/>
          <w:sz w:val="20"/>
          <w:szCs w:val="20"/>
          <w:color w:val="auto"/>
        </w:rPr>
      </w:pPr>
    </w:p>
    <w:p>
      <w:pPr>
        <w:ind w:right="120" w:firstLine="1305"/>
        <w:spacing w:after="0" w:line="278" w:lineRule="auto"/>
        <w:tabs>
          <w:tab w:leader="none" w:pos="217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Upon the termination of the Administrative Agent’s security interest and the release of the Collateral in accordance with Section 7.11(a), the Administrative Agent will promptly, at the Company’s written request and expense (but, in any event, not later than three (3) Business Days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5" w:right="239" w:bottom="1440" w:gutter="0" w:footer="0" w:header="0"/>
        </w:sectPr>
      </w:pPr>
    </w:p>
    <w:bookmarkStart w:id="135" w:name="page136"/>
    <w:bookmarkEnd w:id="135"/>
    <w:p>
      <w:pPr>
        <w:ind w:right="200"/>
        <w:spacing w:after="0" w:line="274" w:lineRule="auto"/>
        <w:rPr>
          <w:sz w:val="20"/>
          <w:szCs w:val="20"/>
          <w:color w:val="auto"/>
        </w:rPr>
      </w:pPr>
      <w:r>
        <w:rPr>
          <w:rFonts w:ascii="Arial" w:cs="Arial" w:eastAsia="Arial" w:hAnsi="Arial"/>
          <w:sz w:val="20"/>
          <w:szCs w:val="20"/>
          <w:color w:val="auto"/>
        </w:rPr>
        <w:t>following such request), (i) execute and deliver to the Company such documents (in form and substance reasonably satisfactory to the Administrative Agent and the Company) as the Company shall reasonably request to evidence the termination of such security interest or the release of the Collateral and (ii) deliver or cause to be delivered to the Company all property of the Company then held by the Administrative Agent or any agent thereof.</w:t>
      </w:r>
    </w:p>
    <w:p>
      <w:pPr>
        <w:spacing w:after="0" w:line="192" w:lineRule="exact"/>
        <w:rPr>
          <w:sz w:val="20"/>
          <w:szCs w:val="20"/>
          <w:color w:val="auto"/>
        </w:rPr>
      </w:pPr>
    </w:p>
    <w:p>
      <w:pPr>
        <w:ind w:right="20" w:firstLine="1305"/>
        <w:spacing w:after="0" w:line="303" w:lineRule="auto"/>
        <w:tabs>
          <w:tab w:leader="none" w:pos="21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Upon the withdrawal of any Collateral as permitted by the Loan Documents, the security interests and Liens created by the Collateral Documents in such Collateral shall terminate and such Collateral shall be automatically released from the Lien created by the Collateral Documents. Upon receipt by the Administrative Agent of a certificate from the Company stating that such withdrawal is permitted by (or the relevant consent has been received under) the Loan Documents, the Administrative Agent shall be authorized to, and shall promptly at the Company’s request and expense, (i) execute and deliver such documents (in form and substance reasonably satisfactory to the Administrative Agent and the Company) as the Company shall reasonably request to evidence the termination of such security interest and Lien and the release of such Collateral (subject to any requirement with respect to the retention of the Proceeds of a disposition of Collateral subject to this Agreement or any Collateral Document or the application of such Proceeds in accordance with the Credit Agreement) and (ii) deliver or cause to be delivered to the Company all property (including any promissory notes and related transfer documents), if any, constituting part of such withdrawn Collateral then held by the Administrative Agent or any agent thereof.</w:t>
      </w:r>
    </w:p>
    <w:p>
      <w:pPr>
        <w:spacing w:after="0" w:line="163"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b w:val="1"/>
          <w:bCs w:val="1"/>
          <w:color w:val="auto"/>
        </w:rPr>
        <w:t>EACH OF THE COMPANY, AND BY ACCEPTANCE OF THE BENEFITS</w:t>
      </w:r>
    </w:p>
    <w:p>
      <w:pPr>
        <w:spacing w:after="0" w:line="27" w:lineRule="exact"/>
        <w:rPr>
          <w:sz w:val="20"/>
          <w:szCs w:val="20"/>
          <w:color w:val="auto"/>
        </w:rPr>
      </w:pPr>
    </w:p>
    <w:p>
      <w:pPr>
        <w:spacing w:after="0" w:line="281" w:lineRule="auto"/>
        <w:rPr>
          <w:sz w:val="20"/>
          <w:szCs w:val="20"/>
          <w:color w:val="auto"/>
        </w:rPr>
      </w:pPr>
      <w:r>
        <w:rPr>
          <w:rFonts w:ascii="Arial" w:cs="Arial" w:eastAsia="Arial" w:hAnsi="Arial"/>
          <w:sz w:val="20"/>
          <w:szCs w:val="20"/>
          <w:b w:val="1"/>
          <w:bCs w:val="1"/>
          <w:color w:val="auto"/>
        </w:rPr>
        <w:t>HEREOF, THE ADMINISTRATIVE AGENT, HEREBY IRREVOCABLY AND UNCONDITIONALLY WAIVES TRIAL BY JURY IN ANY LEGAL ACTION OR PROCEEDING RELATING TO THIS AGREEMENT OR ANY LOAN DOCUMENT AND FOR ANY COUNTERCLAIM THEREIN.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5" w:right="239" w:bottom="1440" w:gutter="0" w:footer="0" w:header="0"/>
        </w:sectPr>
      </w:pPr>
    </w:p>
    <w:bookmarkStart w:id="136" w:name="page137"/>
    <w:bookmarkEnd w:id="136"/>
    <w:p>
      <w:pPr>
        <w:spacing w:after="0" w:line="34"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39"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iSTAR FINANCIAL INC.,</w:t>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a Maryland corporation</w:t>
      </w:r>
    </w:p>
    <w:p>
      <w:pPr>
        <w:spacing w:after="0" w:line="362" w:lineRule="exact"/>
        <w:rPr>
          <w:sz w:val="20"/>
          <w:szCs w:val="20"/>
          <w:color w:val="auto"/>
        </w:rPr>
      </w:pPr>
    </w:p>
    <w:p>
      <w:pPr>
        <w:ind w:left="7860"/>
        <w:spacing w:after="0"/>
        <w:tabs>
          <w:tab w:leader="none" w:pos="8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Nina B. Matis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27305</wp:posOffset>
            </wp:positionV>
            <wp:extent cx="1964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7"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Name: Nina B. Matis</w:t>
      </w:r>
    </w:p>
    <w:p>
      <w:pPr>
        <w:spacing w:after="0" w:line="54"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5" w:lineRule="exact"/>
        <w:rPr>
          <w:sz w:val="20"/>
          <w:szCs w:val="20"/>
          <w:color w:val="auto"/>
        </w:rPr>
      </w:pPr>
    </w:p>
    <w:p>
      <w:pPr>
        <w:ind w:left="8200"/>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ind w:left="8200"/>
        <w:spacing w:after="0"/>
        <w:rPr>
          <w:sz w:val="20"/>
          <w:szCs w:val="20"/>
          <w:color w:val="auto"/>
        </w:rPr>
      </w:pPr>
      <w:r>
        <w:rPr>
          <w:rFonts w:ascii="Arial" w:cs="Arial" w:eastAsia="Arial" w:hAnsi="Arial"/>
          <w:sz w:val="20"/>
          <w:szCs w:val="20"/>
          <w:color w:val="auto"/>
        </w:rPr>
        <w:t>as the Administrative Agent</w:t>
      </w:r>
    </w:p>
    <w:p>
      <w:pPr>
        <w:spacing w:after="0" w:line="362" w:lineRule="exact"/>
        <w:rPr>
          <w:sz w:val="20"/>
          <w:szCs w:val="20"/>
          <w:color w:val="auto"/>
        </w:rPr>
      </w:pPr>
    </w:p>
    <w:p>
      <w:pPr>
        <w:ind w:left="7860"/>
        <w:spacing w:after="0"/>
        <w:tabs>
          <w:tab w:leader="none" w:pos="8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Chiara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27305</wp:posOffset>
            </wp:positionV>
            <wp:extent cx="19640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7"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Name: Chiara Carter</w:t>
      </w:r>
    </w:p>
    <w:p>
      <w:pPr>
        <w:spacing w:after="0" w:line="54"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1440" w:right="5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iStar Financial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2015</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iStar Financial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2015</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DAVID DISTASO</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March 31, 2015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2015</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 as adopted pursuant to Section 906 of The Sarbanes-Oxley Act of 2002, that the Quarterly Report on Form 10-Q for the quarter ended March 31, 2015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2015</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DAVID DISTASO</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o"/>
      <w:numFmt w:val="bullet"/>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1)"/>
      <w:numFmt w:val="decimal"/>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decimal"/>
      <w:start w:val="1"/>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1)"/>
      <w:numFmt w:val="decimal"/>
      <w:start w:val="1"/>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1)"/>
      <w:numFmt w:val="decimal"/>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1)"/>
      <w:numFmt w:val="lowerRoman"/>
      <w:start w:val="3"/>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1)"/>
      <w:numFmt w:val="decimal"/>
      <w:start w:val="1"/>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1)"/>
      <w:numFmt w:val="decimal"/>
      <w:start w:val="1"/>
    </w:lvl>
  </w:abstractNum>
  <w:abstractNum w:abstractNumId="25">
    <w:nsid w:val="1A32234B"/>
    <w:multiLevelType w:val="hybridMultilevel"/>
    <w:lvl w:ilvl="0">
      <w:lvlJc w:val="left"/>
      <w:lvlText w:val="(%1)"/>
      <w:numFmt w:val="decimal"/>
      <w:start w:val="1"/>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decimal"/>
      <w:start w:val="1"/>
    </w:lvl>
  </w:abstractNum>
  <w:abstractNum w:abstractNumId="28">
    <w:nsid w:val="4962813B"/>
    <w:multiLevelType w:val="hybridMultilevel"/>
    <w:lvl w:ilvl="0">
      <w:lvlJc w:val="left"/>
      <w:lvlText w:val="%1"/>
      <w:numFmt w:val="decimal"/>
      <w:start w:val="10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lowerRoman"/>
      <w:start w:val="1"/>
    </w:lvl>
  </w:abstractNum>
  <w:abstractNum w:abstractNumId="31">
    <w:nsid w:val="14330624"/>
    <w:multiLevelType w:val="hybridMultilevel"/>
    <w:lvl w:ilvl="0">
      <w:lvlJc w:val="left"/>
      <w:lvlText w:val="(%1)"/>
      <w:numFmt w:val="upperLetter"/>
      <w:start w:val="2"/>
    </w:lvl>
  </w:abstractNum>
  <w:abstractNum w:abstractNumId="32">
    <w:nsid w:val="7FFFCA11"/>
    <w:multiLevelType w:val="hybridMultilevel"/>
    <w:lvl w:ilvl="0">
      <w:lvlJc w:val="left"/>
      <w:lvlText w:val="(%1)"/>
      <w:numFmt w:val="lowerRoman"/>
      <w:start w:val="1"/>
    </w:lvl>
    <w:lvl w:ilvl="1">
      <w:lvlJc w:val="left"/>
      <w:lvlText w:val="-"/>
      <w:numFmt w:val="bullet"/>
      <w:start w:val="1"/>
    </w:lvl>
  </w:abstractNum>
  <w:abstractNum w:abstractNumId="33">
    <w:nsid w:val="1A27709E"/>
    <w:multiLevelType w:val="hybridMultilevel"/>
    <w:lvl w:ilvl="0">
      <w:lvlJc w:val="left"/>
      <w:lvlText w:val="(%1)"/>
      <w:numFmt w:val="lowerRoman"/>
      <w:start w:val="5"/>
    </w:lvl>
  </w:abstractNum>
  <w:abstractNum w:abstractNumId="34">
    <w:nsid w:val="71EA1109"/>
    <w:multiLevelType w:val="hybridMultilevel"/>
    <w:lvl w:ilvl="0">
      <w:lvlJc w:val="left"/>
      <w:lvlText w:val="(%1)"/>
      <w:numFmt w:val="lowerRoman"/>
      <w:start w:val="1"/>
    </w:lvl>
  </w:abstractNum>
  <w:abstractNum w:abstractNumId="35">
    <w:nsid w:val="100F59DC"/>
    <w:multiLevelType w:val="hybridMultilevel"/>
    <w:lvl w:ilvl="0">
      <w:lvlJc w:val="left"/>
      <w:lvlText w:val="(%1)"/>
      <w:numFmt w:val="lowerRoman"/>
      <w:start w:val="1"/>
    </w:lvl>
    <w:lvl w:ilvl="1">
      <w:lvlJc w:val="left"/>
      <w:lvlText w:val="-"/>
      <w:numFmt w:val="bullet"/>
      <w:start w:val="1"/>
    </w:lvl>
  </w:abstractNum>
  <w:abstractNum w:abstractNumId="36">
    <w:nsid w:val="7FB7E0AA"/>
    <w:multiLevelType w:val="hybridMultilevel"/>
    <w:lvl w:ilvl="0">
      <w:lvlJc w:val="left"/>
      <w:lvlText w:val="(%1)"/>
      <w:numFmt w:val="lowerRoman"/>
      <w:start w:val="6"/>
    </w:lvl>
  </w:abstractNum>
  <w:abstractNum w:abstractNumId="37">
    <w:nsid w:val="6EB5BD4"/>
    <w:multiLevelType w:val="hybridMultilevel"/>
    <w:lvl w:ilvl="0">
      <w:lvlJc w:val="left"/>
      <w:lvlText w:val="(%1)"/>
      <w:numFmt w:val="lowerLetter"/>
      <w:start w:val="1"/>
    </w:lvl>
  </w:abstractNum>
  <w:abstractNum w:abstractNumId="38">
    <w:nsid w:val="6F6DD9AC"/>
    <w:multiLevelType w:val="hybridMultilevel"/>
    <w:lvl w:ilvl="0">
      <w:lvlJc w:val="left"/>
      <w:lvlText w:val="(%1)"/>
      <w:numFmt w:val="lowerLetter"/>
      <w:start w:val="4"/>
    </w:lvl>
  </w:abstractNum>
  <w:abstractNum w:abstractNumId="39">
    <w:nsid w:val="94211F2"/>
    <w:multiLevelType w:val="hybridMultilevel"/>
    <w:lvl w:ilvl="0">
      <w:lvlJc w:val="left"/>
      <w:lvlText w:val="(%1)"/>
      <w:numFmt w:val="lowerRoman"/>
      <w:start w:val="2"/>
    </w:lvl>
  </w:abstractNum>
  <w:abstractNum w:abstractNumId="40">
    <w:nsid w:val="885E1B"/>
    <w:multiLevelType w:val="hybridMultilevel"/>
    <w:lvl w:ilvl="0">
      <w:lvlJc w:val="left"/>
      <w:lvlText w:val="(%1)"/>
      <w:numFmt w:val="lowerLetter"/>
      <w:start w:val="1"/>
    </w:lvl>
  </w:abstractNum>
  <w:abstractNum w:abstractNumId="41">
    <w:nsid w:val="76272110"/>
    <w:multiLevelType w:val="hybridMultilevel"/>
    <w:lvl w:ilvl="0">
      <w:lvlJc w:val="left"/>
      <w:lvlText w:val="(%1)"/>
      <w:numFmt w:val="lowerRoman"/>
      <w:start w:val="1"/>
    </w:lvl>
  </w:abstractNum>
  <w:abstractNum w:abstractNumId="42">
    <w:nsid w:val="4C04A8AF"/>
    <w:multiLevelType w:val="hybridMultilevel"/>
    <w:lvl w:ilvl="0">
      <w:lvlJc w:val="left"/>
      <w:lvlText w:val="(%1)"/>
      <w:numFmt w:val="lowerLetter"/>
      <w:start w:val="1"/>
    </w:lvl>
    <w:lvl w:ilvl="1">
      <w:lvlJc w:val="left"/>
      <w:lvlText w:val="-"/>
      <w:numFmt w:val="bullet"/>
      <w:start w:val="1"/>
    </w:lvl>
  </w:abstractNum>
  <w:abstractNum w:abstractNumId="43">
    <w:nsid w:val="1716703B"/>
    <w:multiLevelType w:val="hybridMultilevel"/>
    <w:lvl w:ilvl="0">
      <w:lvlJc w:val="left"/>
      <w:lvlText w:val="(%1)"/>
      <w:numFmt w:val="lowerLetter"/>
      <w:start w:val="2"/>
    </w:lvl>
  </w:abstractNum>
  <w:abstractNum w:abstractNumId="44">
    <w:nsid w:val="14E17E33"/>
    <w:multiLevelType w:val="hybridMultilevel"/>
    <w:lvl w:ilvl="0">
      <w:lvlJc w:val="left"/>
      <w:lvlText w:val="(%1)"/>
      <w:numFmt w:val="lowerLetter"/>
      <w:start w:val="2"/>
    </w:lvl>
  </w:abstractNum>
  <w:abstractNum w:abstractNumId="45">
    <w:nsid w:val="3222E7CD"/>
    <w:multiLevelType w:val="hybridMultilevel"/>
    <w:lvl w:ilvl="0">
      <w:lvlJc w:val="left"/>
      <w:lvlText w:val="(%1)"/>
      <w:numFmt w:val="lowerRoman"/>
      <w:start w:val="1"/>
    </w:lvl>
    <w:lvl w:ilvl="1">
      <w:lvlJc w:val="left"/>
      <w:lvlText w:val="-"/>
      <w:numFmt w:val="bullet"/>
      <w:start w:val="1"/>
    </w:lvl>
  </w:abstractNum>
  <w:abstractNum w:abstractNumId="46">
    <w:nsid w:val="74DE0EE3"/>
    <w:multiLevelType w:val="hybridMultilevel"/>
    <w:lvl w:ilvl="0">
      <w:lvlJc w:val="left"/>
      <w:lvlText w:val="(%1)"/>
      <w:numFmt w:val="lowerRoman"/>
      <w:start w:val="5"/>
    </w:lvl>
  </w:abstractNum>
  <w:abstractNum w:abstractNumId="47">
    <w:nsid w:val="68EBC550"/>
    <w:multiLevelType w:val="hybridMultilevel"/>
    <w:lvl w:ilvl="0">
      <w:lvlJc w:val="left"/>
      <w:lvlText w:val="(%1)"/>
      <w:numFmt w:val="lowerLetter"/>
      <w:start w:val="2"/>
    </w:lvl>
  </w:abstractNum>
  <w:abstractNum w:abstractNumId="48">
    <w:nsid w:val="2DF6D648"/>
    <w:multiLevelType w:val="hybridMultilevel"/>
    <w:lvl w:ilvl="0">
      <w:lvlJc w:val="left"/>
      <w:lvlText w:val="(%1)"/>
      <w:numFmt w:val="lowerLetter"/>
      <w:start w:val="1"/>
    </w:lvl>
    <w:lvl w:ilvl="1">
      <w:lvlJc w:val="left"/>
      <w:lvlText w:val="-"/>
      <w:numFmt w:val="bullet"/>
      <w:start w:val="1"/>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Roman"/>
      <w:start w:val="1"/>
    </w:lvl>
  </w:abstractNum>
  <w:abstractNum w:abstractNumId="51">
    <w:nsid w:val="39EE015C"/>
    <w:multiLevelType w:val="hybridMultilevel"/>
    <w:lvl w:ilvl="0">
      <w:lvlJc w:val="left"/>
      <w:lvlText w:val="(%1)"/>
      <w:numFmt w:val="lowerLetter"/>
      <w:start w:val="2"/>
    </w:lvl>
  </w:abstractNum>
  <w:abstractNum w:abstractNumId="52">
    <w:nsid w:val="57FC4FBB"/>
    <w:multiLevelType w:val="hybridMultilevel"/>
    <w:lvl w:ilvl="0">
      <w:lvlJc w:val="left"/>
      <w:lvlText w:val="(%1)"/>
      <w:numFmt w:val="lowerRoman"/>
      <w:start w:val="1"/>
    </w:lvl>
  </w:abstractNum>
  <w:abstractNum w:abstractNumId="53">
    <w:nsid w:val="CC1016F"/>
    <w:multiLevelType w:val="hybridMultilevel"/>
    <w:lvl w:ilvl="0">
      <w:lvlJc w:val="left"/>
      <w:lvlText w:val="(%1)"/>
      <w:numFmt w:val="lowerLetter"/>
      <w:start w:val="3"/>
    </w:lvl>
  </w:abstractNum>
  <w:abstractNum w:abstractNumId="54">
    <w:nsid w:val="43F18422"/>
    <w:multiLevelType w:val="hybridMultilevel"/>
    <w:lvl w:ilvl="0">
      <w:lvlJc w:val="left"/>
      <w:lvlText w:val="(%1)"/>
      <w:numFmt w:val="lowerLetter"/>
      <w:start w:val="1"/>
    </w:lvl>
    <w:lvl w:ilvl="1">
      <w:lvlJc w:val="left"/>
      <w:lvlText w:val="-"/>
      <w:numFmt w:val="bullet"/>
      <w:start w:val="1"/>
    </w:lvl>
  </w:abstractNum>
  <w:abstractNum w:abstractNumId="55">
    <w:nsid w:val="60EF0119"/>
    <w:multiLevelType w:val="hybridMultilevel"/>
    <w:lvl w:ilvl="0">
      <w:lvlJc w:val="left"/>
      <w:lvlText w:val="(%1)"/>
      <w:numFmt w:val="lowerLetter"/>
      <w:start w:val="5"/>
    </w:lvl>
  </w:abstractNum>
  <w:abstractNum w:abstractNumId="56">
    <w:nsid w:val="26F324BA"/>
    <w:multiLevelType w:val="hybridMultilevel"/>
    <w:lvl w:ilvl="0">
      <w:lvlJc w:val="left"/>
      <w:lvlText w:val="(%1)"/>
      <w:numFmt w:val="lowerLetter"/>
      <w:start w:val="1"/>
    </w:lvl>
  </w:abstractNum>
  <w:abstractNum w:abstractNumId="57">
    <w:nsid w:val="7F01579B"/>
    <w:multiLevelType w:val="hybridMultilevel"/>
    <w:lvl w:ilvl="0">
      <w:lvlJc w:val="left"/>
      <w:lvlText w:val="(%1)"/>
      <w:numFmt w:val="lowerLetter"/>
      <w:start w:val="1"/>
    </w:lvl>
    <w:lvl w:ilvl="1">
      <w:lvlJc w:val="left"/>
      <w:lvlText w:val="-"/>
      <w:numFmt w:val="bullet"/>
      <w:start w:val="1"/>
    </w:lvl>
  </w:abstractNum>
  <w:abstractNum w:abstractNumId="58">
    <w:nsid w:val="49DA307D"/>
    <w:multiLevelType w:val="hybridMultilevel"/>
    <w:lvl w:ilvl="0">
      <w:lvlJc w:val="left"/>
      <w:lvlText w:val="%1"/>
      <w:numFmt w:val="lowerLetter"/>
      <w:start w:val="1"/>
    </w:lvl>
    <w:lvl w:ilvl="1">
      <w:lvlJc w:val="left"/>
      <w:lvlText w:val="(%2)"/>
      <w:numFmt w:val="lowerLetter"/>
      <w:start w:val="3"/>
    </w:lvl>
  </w:abstractNum>
  <w:abstractNum w:abstractNumId="59">
    <w:nsid w:val="7055A5F5"/>
    <w:multiLevelType w:val="hybridMultilevel"/>
    <w:lvl w:ilvl="0">
      <w:lvlJc w:val="left"/>
      <w:lvlText w:val="(%1)"/>
      <w:numFmt w:val="lowerLetter"/>
      <w:start w:val="2"/>
    </w:lvl>
    <w:lvl w:ilvl="1">
      <w:lvlJc w:val="left"/>
      <w:lvlText w:val="(%2)"/>
      <w:numFmt w:val="lowerLetter"/>
      <w:start w:val="4"/>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lowerLetter"/>
      <w:start w:val="1"/>
    </w:lvl>
    <w:lvl w:ilvl="1">
      <w:lvlJc w:val="left"/>
      <w:lvlText w:val="-"/>
      <w:numFmt w:val="bullet"/>
      <w:start w:val="1"/>
    </w:lvl>
  </w:abstractNum>
  <w:abstractNum w:abstractNumId="62">
    <w:nsid w:val="488AC1A"/>
    <w:multiLevelType w:val="hybridMultilevel"/>
    <w:lvl w:ilvl="0">
      <w:lvlJc w:val="left"/>
      <w:lvlText w:val="(%1)"/>
      <w:numFmt w:val="lowerLetter"/>
      <w:start w:val="2"/>
    </w:lvl>
  </w:abstractNum>
  <w:abstractNum w:abstractNumId="63">
    <w:nsid w:val="5FB8011C"/>
    <w:multiLevelType w:val="hybridMultilevel"/>
    <w:lvl w:ilvl="0">
      <w:lvlJc w:val="left"/>
      <w:lvlText w:val="(%1)"/>
      <w:numFmt w:val="lowerLetter"/>
      <w:start w:val="1"/>
    </w:lvl>
    <w:lvl w:ilvl="1">
      <w:lvlJc w:val="left"/>
      <w:lvlText w:val="-"/>
      <w:numFmt w:val="bullet"/>
      <w:start w:val="1"/>
    </w:lvl>
  </w:abstractNum>
  <w:abstractNum w:abstractNumId="64">
    <w:nsid w:val="6AA78F7F"/>
    <w:multiLevelType w:val="hybridMultilevel"/>
    <w:lvl w:ilvl="0">
      <w:lvlJc w:val="left"/>
      <w:lvlText w:val="(%1)"/>
      <w:numFmt w:val="lowerLetter"/>
      <w:start w:val="5"/>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1)"/>
      <w:numFmt w:val="lowerLetter"/>
      <w:start w:val="1"/>
    </w:lvl>
    <w:lvl w:ilvl="1">
      <w:lvlJc w:val="left"/>
      <w:lvlText w:val="-"/>
      <w:numFmt w:val="bullet"/>
      <w:start w:val="1"/>
    </w:lvl>
  </w:abstractNum>
  <w:abstractNum w:abstractNumId="67">
    <w:nsid w:val="6A5F7029"/>
    <w:multiLevelType w:val="hybridMultilevel"/>
    <w:lvl w:ilvl="0">
      <w:lvlJc w:val="left"/>
      <w:lvlText w:val="(%1)"/>
      <w:numFmt w:val="lowerLetter"/>
      <w:start w:val="8"/>
    </w:lvl>
    <w:lvl w:ilvl="1">
      <w:lvlJc w:val="left"/>
      <w:lvlText w:val="-"/>
      <w:numFmt w:val="bullet"/>
      <w:start w:val="1"/>
    </w:lvl>
  </w:abstractNum>
  <w:abstractNum w:abstractNumId="68">
    <w:nsid w:val="7D5E18F8"/>
    <w:multiLevelType w:val="hybridMultilevel"/>
    <w:lvl w:ilvl="0">
      <w:lvlJc w:val="left"/>
      <w:lvlText w:val="(%1)"/>
      <w:numFmt w:val="lowerLetter"/>
      <w:start w:val="18"/>
    </w:lvl>
  </w:abstractNum>
  <w:abstractNum w:abstractNumId="69">
    <w:nsid w:val="5F3534A4"/>
    <w:multiLevelType w:val="hybridMultilevel"/>
    <w:lvl w:ilvl="0">
      <w:lvlJc w:val="left"/>
      <w:lvlText w:val="(%1)"/>
      <w:numFmt w:val="lowerLetter"/>
      <w:start w:val="1"/>
    </w:lvl>
  </w:abstractNum>
  <w:abstractNum w:abstractNumId="70">
    <w:nsid w:val="73A1821B"/>
    <w:multiLevelType w:val="hybridMultilevel"/>
    <w:lvl w:ilvl="0">
      <w:lvlJc w:val="left"/>
      <w:lvlText w:val="(%1)"/>
      <w:numFmt w:val="lowerLetter"/>
      <w:start w:val="1"/>
    </w:lvl>
    <w:lvl w:ilvl="1">
      <w:lvlJc w:val="left"/>
      <w:lvlText w:val="-"/>
      <w:numFmt w:val="bullet"/>
      <w:start w:val="1"/>
    </w:lvl>
  </w:abstractNum>
  <w:abstractNum w:abstractNumId="71">
    <w:nsid w:val="7DE67713"/>
    <w:multiLevelType w:val="hybridMultilevel"/>
    <w:lvl w:ilvl="0">
      <w:lvlJc w:val="left"/>
      <w:lvlText w:val="(%1)"/>
      <w:numFmt w:val="lowerRoman"/>
      <w:start w:val="3"/>
    </w:lvl>
    <w:lvl w:ilvl="1">
      <w:lvlJc w:val="left"/>
      <w:lvlText w:val="-"/>
      <w:numFmt w:val="bullet"/>
      <w:start w:val="1"/>
    </w:lvl>
  </w:abstractNum>
  <w:abstractNum w:abstractNumId="72">
    <w:nsid w:val="555C55B5"/>
    <w:multiLevelType w:val="hybridMultilevel"/>
    <w:lvl w:ilvl="0">
      <w:lvlJc w:val="left"/>
      <w:lvlText w:val="(%1)"/>
      <w:numFmt w:val="lowerLetter"/>
      <w:start w:val="2"/>
    </w:lvl>
  </w:abstractNum>
  <w:abstractNum w:abstractNumId="73">
    <w:nsid w:val="3FA62ACA"/>
    <w:multiLevelType w:val="hybridMultilevel"/>
    <w:lvl w:ilvl="0">
      <w:lvlJc w:val="left"/>
      <w:lvlText w:val="(%1)"/>
      <w:numFmt w:val="lowerLetter"/>
      <w:start w:val="2"/>
    </w:lvl>
  </w:abstractNum>
  <w:abstractNum w:abstractNumId="74">
    <w:nsid w:val="14FCE74E"/>
    <w:multiLevelType w:val="hybridMultilevel"/>
    <w:lvl w:ilvl="0">
      <w:lvlJc w:val="left"/>
      <w:lvlText w:val="(%1)"/>
      <w:numFmt w:val="lowerLetter"/>
      <w:start w:val="2"/>
    </w:lvl>
    <w:lvl w:ilvl="1">
      <w:lvlJc w:val="left"/>
      <w:lvlText w:val="-"/>
      <w:numFmt w:val="bullet"/>
      <w:start w:val="1"/>
    </w:lvl>
  </w:abstractNum>
  <w:abstractNum w:abstractNumId="75">
    <w:nsid w:val="6A3DD3E8"/>
    <w:multiLevelType w:val="hybridMultilevel"/>
    <w:lvl w:ilvl="0">
      <w:lvlJc w:val="left"/>
      <w:lvlText w:val="(%1)"/>
      <w:numFmt w:val="lowerLetter"/>
      <w:start w:val="1"/>
    </w:lvl>
    <w:lvl w:ilvl="1">
      <w:lvlJc w:val="left"/>
      <w:lvlText w:val="-"/>
      <w:numFmt w:val="bullet"/>
      <w:start w:val="1"/>
    </w:lvl>
  </w:abstractNum>
  <w:abstractNum w:abstractNumId="76">
    <w:nsid w:val="71C9129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77">
    <w:nsid w:val="9DAF632"/>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78">
    <w:nsid w:val="53299938"/>
    <w:multiLevelType w:val="hybridMultilevel"/>
    <w:lvl w:ilvl="0">
      <w:lvlJc w:val="left"/>
      <w:lvlText w:val="(%1)"/>
      <w:numFmt w:val="lowerLetter"/>
      <w:start w:val="7"/>
    </w:lvl>
    <w:lvl w:ilvl="1">
      <w:lvlJc w:val="left"/>
      <w:lvlText w:val="-"/>
      <w:numFmt w:val="bullet"/>
      <w:start w:val="1"/>
    </w:lvl>
  </w:abstractNum>
  <w:abstractNum w:abstractNumId="79">
    <w:nsid w:val="1FBFE8E0"/>
    <w:multiLevelType w:val="hybridMultilevel"/>
    <w:lvl w:ilvl="0">
      <w:lvlJc w:val="left"/>
      <w:lvlText w:val="(%1)"/>
      <w:numFmt w:val="lowerLetter"/>
      <w:start w:val="24"/>
    </w:lvl>
    <w:lvl w:ilvl="1">
      <w:lvlJc w:val="left"/>
      <w:lvlText w:val="(%2)"/>
      <w:numFmt w:val="lowerLetter"/>
      <w:start w:val="12"/>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Letter"/>
      <w:start w:val="1"/>
    </w:lvl>
    <w:lvl w:ilvl="1">
      <w:lvlJc w:val="left"/>
      <w:lvlText w:val="-"/>
      <w:numFmt w:val="bullet"/>
      <w:start w:val="1"/>
    </w:lvl>
  </w:abstractNum>
  <w:abstractNum w:abstractNumId="82">
    <w:nsid w:val="59ADEA3D"/>
    <w:multiLevelType w:val="hybridMultilevel"/>
    <w:lvl w:ilvl="0">
      <w:lvlJc w:val="left"/>
      <w:lvlText w:val="(%1)"/>
      <w:numFmt w:val="lowerLetter"/>
      <w:start w:val="3"/>
    </w:lvl>
  </w:abstractNum>
  <w:abstractNum w:abstractNumId="83">
    <w:nsid w:val="288F1A34"/>
    <w:multiLevelType w:val="hybridMultilevel"/>
    <w:lvl w:ilvl="0">
      <w:lvlJc w:val="left"/>
      <w:lvlText w:val="(%1)"/>
      <w:numFmt w:val="lowerLetter"/>
      <w:start w:val="2"/>
    </w:lvl>
  </w:abstractNum>
  <w:abstractNum w:abstractNumId="84">
    <w:nsid w:val="2A155DBC"/>
    <w:multiLevelType w:val="hybridMultilevel"/>
    <w:lvl w:ilvl="0">
      <w:lvlJc w:val="left"/>
      <w:lvlText w:val="(%1)"/>
      <w:numFmt w:val="lowerLetter"/>
      <w:start w:val="2"/>
    </w:lvl>
    <w:lvl w:ilvl="1">
      <w:lvlJc w:val="left"/>
      <w:lvlText w:val="-"/>
      <w:numFmt w:val="bullet"/>
      <w:start w:val="1"/>
    </w:lvl>
  </w:abstractNum>
  <w:abstractNum w:abstractNumId="85">
    <w:nsid w:val="1D9F6E5F"/>
    <w:multiLevelType w:val="hybridMultilevel"/>
    <w:lvl w:ilvl="0">
      <w:lvlJc w:val="left"/>
      <w:lvlText w:val="(%1)"/>
      <w:numFmt w:val="lowerLetter"/>
      <w:start w:val="2"/>
    </w:lvl>
  </w:abstractNum>
  <w:abstractNum w:abstractNumId="86">
    <w:nsid w:val="97E1B4E"/>
    <w:multiLevelType w:val="hybridMultilevel"/>
    <w:lvl w:ilvl="0">
      <w:lvlJc w:val="left"/>
      <w:lvlText w:val="(%1)"/>
      <w:numFmt w:val="lowerLetter"/>
      <w:start w:val="2"/>
    </w:lvl>
  </w:abstractNum>
  <w:abstractNum w:abstractNumId="87">
    <w:nsid w:val="51088277"/>
    <w:multiLevelType w:val="hybridMultilevel"/>
    <w:lvl w:ilvl="0">
      <w:lvlJc w:val="left"/>
      <w:lvlText w:val="(%1)"/>
      <w:numFmt w:val="lowerLetter"/>
      <w:start w:val="2"/>
    </w:lvl>
  </w:abstractNum>
  <w:abstractNum w:abstractNumId="88">
    <w:nsid w:val="1CA0C5FA"/>
    <w:multiLevelType w:val="hybridMultilevel"/>
    <w:lvl w:ilvl="0">
      <w:lvlJc w:val="left"/>
      <w:lvlText w:val="(%1)"/>
      <w:numFmt w:val="lowerLetter"/>
      <w:start w:val="1"/>
    </w:lvl>
    <w:lvl w:ilvl="1">
      <w:lvlJc w:val="left"/>
      <w:lvlText w:val="-"/>
      <w:numFmt w:val="bullet"/>
      <w:start w:val="1"/>
    </w:lvl>
  </w:abstractNum>
  <w:abstractNum w:abstractNumId="89">
    <w:nsid w:val="53584BCB"/>
    <w:multiLevelType w:val="hybridMultilevel"/>
    <w:lvl w:ilvl="0">
      <w:lvlJc w:val="left"/>
      <w:lvlText w:val="(%1)"/>
      <w:numFmt w:val="lowerLetter"/>
      <w:start w:val="3"/>
    </w:lvl>
    <w:lvl w:ilvl="1">
      <w:lvlJc w:val="left"/>
      <w:lvlText w:val="-"/>
      <w:numFmt w:val="bullet"/>
      <w:start w:val="1"/>
    </w:lvl>
  </w:abstractNum>
  <w:abstractNum w:abstractNumId="90">
    <w:nsid w:val="415E286C"/>
    <w:multiLevelType w:val="hybridMultilevel"/>
    <w:lvl w:ilvl="0">
      <w:lvlJc w:val="left"/>
      <w:lvlText w:val="(%1)"/>
      <w:numFmt w:val="lowerLetter"/>
      <w:start w:val="8"/>
    </w:lvl>
    <w:lvl w:ilvl="1">
      <w:lvlJc w:val="left"/>
      <w:lvlText w:val="-"/>
      <w:numFmt w:val="bullet"/>
      <w:start w:val="1"/>
    </w:lvl>
  </w:abstractNum>
  <w:abstractNum w:abstractNumId="91">
    <w:nsid w:val="7C58FD05"/>
    <w:multiLevelType w:val="hybridMultilevel"/>
    <w:lvl w:ilvl="0">
      <w:lvlJc w:val="left"/>
      <w:lvlText w:val="(%1)"/>
      <w:numFmt w:val="lowerLetter"/>
      <w:start w:val="14"/>
    </w:lvl>
  </w:abstractNum>
  <w:abstractNum w:abstractNumId="92">
    <w:nsid w:val="23D86AAC"/>
    <w:multiLevelType w:val="hybridMultilevel"/>
    <w:lvl w:ilvl="0">
      <w:lvlJc w:val="left"/>
      <w:lvlText w:val="(%1)"/>
      <w:numFmt w:val="lowerLetter"/>
      <w:start w:val="2"/>
    </w:lvl>
  </w:abstractNum>
  <w:abstractNum w:abstractNumId="93">
    <w:nsid w:val="45E6D486"/>
    <w:multiLevelType w:val="hybridMultilevel"/>
    <w:lvl w:ilvl="0">
      <w:lvlJc w:val="left"/>
      <w:lvlText w:val="(%1)"/>
      <w:numFmt w:val="lowerLetter"/>
      <w:start w:val="1"/>
    </w:lvl>
    <w:lvl w:ilvl="1">
      <w:lvlJc w:val="left"/>
      <w:lvlText w:val="-"/>
      <w:numFmt w:val="bullet"/>
      <w:start w:val="1"/>
    </w:lvl>
  </w:abstractNum>
  <w:abstractNum w:abstractNumId="94">
    <w:nsid w:val="5C10FE21"/>
    <w:multiLevelType w:val="hybridMultilevel"/>
    <w:lvl w:ilvl="0">
      <w:lvlJc w:val="left"/>
      <w:lvlText w:val="(%1)"/>
      <w:numFmt w:val="lowerLetter"/>
      <w:start w:val="2"/>
    </w:lvl>
  </w:abstractNum>
  <w:abstractNum w:abstractNumId="95">
    <w:nsid w:val="E7FFA2B"/>
    <w:multiLevelType w:val="hybridMultilevel"/>
    <w:lvl w:ilvl="0">
      <w:lvlJc w:val="left"/>
      <w:lvlText w:val="(%1)"/>
      <w:numFmt w:val="lowerLetter"/>
      <w:start w:val="1"/>
    </w:lvl>
  </w:abstractNum>
  <w:abstractNum w:abstractNumId="96">
    <w:nsid w:val="3C5991AA"/>
    <w:multiLevelType w:val="hybridMultilevel"/>
    <w:lvl w:ilvl="0">
      <w:lvlJc w:val="left"/>
      <w:lvlText w:val="(%1)"/>
      <w:numFmt w:val="lowerLetter"/>
      <w:start w:val="1"/>
    </w:lvl>
    <w:lvl w:ilvl="1">
      <w:lvlJc w:val="left"/>
      <w:lvlText w:val="-"/>
      <w:numFmt w:val="bullet"/>
      <w:start w:val="1"/>
    </w:lvl>
  </w:abstractNum>
  <w:abstractNum w:abstractNumId="97">
    <w:nsid w:val="4BD8591A"/>
    <w:multiLevelType w:val="hybridMultilevel"/>
    <w:lvl w:ilvl="0">
      <w:lvlJc w:val="left"/>
      <w:lvlText w:val="(%1)"/>
      <w:numFmt w:val="lowerLetter"/>
      <w:start w:val="1"/>
    </w:lvl>
    <w:lvl w:ilvl="1">
      <w:lvlJc w:val="left"/>
      <w:lvlText w:val="-"/>
      <w:numFmt w:val="bullet"/>
      <w:start w:val="1"/>
    </w:lvl>
  </w:abstractNum>
  <w:abstractNum w:abstractNumId="98">
    <w:nsid w:val="78DF6A55"/>
    <w:multiLevelType w:val="hybridMultilevel"/>
    <w:lvl w:ilvl="0">
      <w:lvlJc w:val="left"/>
      <w:lvlText w:val="(%1)"/>
      <w:numFmt w:val="lowerLetter"/>
      <w:start w:val="4"/>
    </w:lvl>
  </w:abstractNum>
  <w:abstractNum w:abstractNumId="99">
    <w:nsid w:val="39B7AAA2"/>
    <w:multiLevelType w:val="hybridMultilevel"/>
    <w:lvl w:ilvl="0">
      <w:lvlJc w:val="left"/>
      <w:lvlText w:val="(%1)"/>
      <w:numFmt w:val="lowerLetter"/>
      <w:start w:val="1"/>
    </w:lvl>
    <w:lvl w:ilvl="1">
      <w:lvlJc w:val="left"/>
      <w:lvlText w:val="-"/>
      <w:numFmt w:val="bullet"/>
      <w:start w:val="1"/>
    </w:lvl>
  </w:abstractNum>
  <w:abstractNum w:abstractNumId="100">
    <w:nsid w:val="2B0D8DBE"/>
    <w:multiLevelType w:val="hybridMultilevel"/>
    <w:lvl w:ilvl="0">
      <w:lvlJc w:val="left"/>
      <w:lvlText w:val="(%1)"/>
      <w:numFmt w:val="lowerLetter"/>
      <w:start w:val="2"/>
    </w:lvl>
    <w:lvl w:ilvl="1">
      <w:lvlJc w:val="left"/>
      <w:lvlText w:val="-"/>
      <w:numFmt w:val="bullet"/>
      <w:start w:val="1"/>
    </w:lvl>
  </w:abstractNum>
  <w:abstractNum w:abstractNumId="101">
    <w:nsid w:val="6C80EC70"/>
    <w:multiLevelType w:val="hybridMultilevel"/>
    <w:lvl w:ilvl="0">
      <w:lvlJc w:val="left"/>
      <w:lvlText w:val="(%1)"/>
      <w:numFmt w:val="lowerLetter"/>
      <w:start w:val="5"/>
    </w:lvl>
    <w:lvl w:ilvl="1">
      <w:lvlJc w:val="left"/>
      <w:lvlText w:val="-"/>
      <w:numFmt w:val="bullet"/>
      <w:start w:val="1"/>
    </w:lvl>
  </w:abstractNum>
  <w:abstractNum w:abstractNumId="102">
    <w:nsid w:val="379E21B5"/>
    <w:multiLevelType w:val="hybridMultilevel"/>
    <w:lvl w:ilvl="0">
      <w:lvlJc w:val="left"/>
      <w:lvlText w:val="(%1)"/>
      <w:numFmt w:val="lowerLetter"/>
      <w:start w:val="8"/>
    </w:lvl>
    <w:lvl w:ilvl="1">
      <w:lvlJc w:val="left"/>
      <w:lvlText w:val="-"/>
      <w:numFmt w:val="bullet"/>
      <w:start w:val="1"/>
    </w:lvl>
  </w:abstractNum>
  <w:abstractNum w:abstractNumId="103">
    <w:nsid w:val="69E373"/>
    <w:multiLevelType w:val="hybridMultilevel"/>
    <w:lvl w:ilvl="0">
      <w:lvlJc w:val="left"/>
      <w:lvlText w:val="(%1)"/>
      <w:numFmt w:val="lowerLetter"/>
      <w:start w:val="11"/>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1"/>
    </w:lvl>
    <w:lvl w:ilvl="1">
      <w:lvlJc w:val="left"/>
      <w:lvlText w:val="-"/>
      <w:numFmt w:val="bullet"/>
      <w:start w:val="1"/>
    </w:lvl>
  </w:abstractNum>
  <w:abstractNum w:abstractNumId="106">
    <w:nsid w:val="6AA7B75C"/>
    <w:multiLevelType w:val="hybridMultilevel"/>
    <w:lvl w:ilvl="0">
      <w:lvlJc w:val="left"/>
      <w:lvlText w:val="(%1)"/>
      <w:numFmt w:val="lowerLetter"/>
      <w:start w:val="61"/>
    </w:lvl>
    <w:lvl w:ilvl="1">
      <w:lvlJc w:val="left"/>
      <w:lvlText w:val="(%2)"/>
      <w:numFmt w:val="lowerLetter"/>
      <w:start w:val="2"/>
    </w:lvl>
  </w:abstractNum>
  <w:abstractNum w:abstractNumId="107">
    <w:nsid w:val="1DF029D3"/>
    <w:multiLevelType w:val="hybridMultilevel"/>
    <w:lvl w:ilvl="0">
      <w:lvlJc w:val="left"/>
      <w:lvlText w:val="(%1)"/>
      <w:numFmt w:val="lowerLetter"/>
      <w:start w:val="1"/>
    </w:lvl>
    <w:lvl w:ilvl="1">
      <w:lvlJc w:val="left"/>
      <w:lvlText w:val="-"/>
      <w:numFmt w:val="bullet"/>
      <w:start w:val="1"/>
    </w:lvl>
  </w:abstractNum>
  <w:abstractNum w:abstractNumId="108">
    <w:nsid w:val="5675FF36"/>
    <w:multiLevelType w:val="hybridMultilevel"/>
    <w:lvl w:ilvl="0">
      <w:lvlJc w:val="left"/>
      <w:lvlText w:val="(%1)"/>
      <w:numFmt w:val="lowerLetter"/>
      <w:start w:val="3"/>
    </w:lvl>
    <w:lvl w:ilvl="1">
      <w:lvlJc w:val="left"/>
      <w:lvlText w:val="(%2)"/>
      <w:numFmt w:val="upperLetter"/>
      <w:start w:val="1"/>
    </w:lvl>
  </w:abstractNum>
  <w:abstractNum w:abstractNumId="109">
    <w:nsid w:val="3DD15094"/>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10">
    <w:nsid w:val="3DB012B3"/>
    <w:multiLevelType w:val="hybridMultilevel"/>
    <w:lvl w:ilvl="0">
      <w:lvlJc w:val="left"/>
      <w:lvlText w:val="(%1)"/>
      <w:numFmt w:val="upperLetter"/>
      <w:start w:val="2"/>
    </w:lvl>
  </w:abstractNum>
  <w:abstractNum w:abstractNumId="111">
    <w:nsid w:val="2708C9AF"/>
    <w:multiLevelType w:val="hybridMultilevel"/>
    <w:lvl w:ilvl="0">
      <w:lvlJc w:val="left"/>
      <w:lvlText w:val="(%1)"/>
      <w:numFmt w:val="lowerRoman"/>
      <w:start w:val="3"/>
    </w:lvl>
    <w:lvl w:ilvl="1">
      <w:lvlJc w:val="left"/>
      <w:lvlText w:val="-"/>
      <w:numFmt w:val="bullet"/>
      <w:start w:val="1"/>
    </w:lvl>
  </w:abstractNum>
  <w:abstractNum w:abstractNumId="112">
    <w:nsid w:val="5B25ACE2"/>
    <w:multiLevelType w:val="hybridMultilevel"/>
    <w:lvl w:ilvl="0">
      <w:lvlJc w:val="left"/>
      <w:lvlText w:val="(%1)"/>
      <w:numFmt w:val="lowerLetter"/>
      <w:start w:val="4"/>
    </w:lvl>
  </w:abstractNum>
  <w:abstractNum w:abstractNumId="113">
    <w:nsid w:val="175DFCF0"/>
    <w:multiLevelType w:val="hybridMultilevel"/>
    <w:lvl w:ilvl="0">
      <w:lvlJc w:val="left"/>
      <w:lvlText w:val="(%1)"/>
      <w:numFmt w:val="lowerLetter"/>
      <w:start w:val="2"/>
    </w:lvl>
    <w:lvl w:ilvl="1">
      <w:lvlJc w:val="left"/>
      <w:lvlText w:val="-"/>
      <w:numFmt w:val="bullet"/>
      <w:start w:val="1"/>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2"/>
    </w:lvl>
  </w:abstractNum>
  <w:abstractNum w:abstractNumId="116">
    <w:nsid w:val="34FD6B4F"/>
    <w:multiLevelType w:val="hybridMultilevel"/>
    <w:lvl w:ilvl="0">
      <w:lvlJc w:val="left"/>
      <w:lvlText w:val="(%1)"/>
      <w:numFmt w:val="lowerLetter"/>
      <w:start w:val="2"/>
    </w:lvl>
  </w:abstractNum>
  <w:abstractNum w:abstractNumId="117">
    <w:nsid w:val="5915FF32"/>
    <w:multiLevelType w:val="hybridMultilevel"/>
    <w:lvl w:ilvl="0">
      <w:lvlJc w:val="left"/>
      <w:lvlText w:val="(%1)"/>
      <w:numFmt w:val="lowerLetter"/>
      <w:start w:val="3"/>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2"/>
    </w:lvl>
  </w:abstractNum>
  <w:abstractNum w:abstractNumId="120">
    <w:nsid w:val="2C6E4AFD"/>
    <w:multiLevelType w:val="hybridMultilevel"/>
    <w:lvl w:ilvl="0">
      <w:lvlJc w:val="left"/>
      <w:lvlText w:val="(%1)"/>
      <w:numFmt w:val="lowerLetter"/>
      <w:start w:val="2"/>
    </w:lvl>
  </w:abstractNum>
  <w:abstractNum w:abstractNumId="121">
    <w:nsid w:val="17A1B582"/>
    <w:multiLevelType w:val="hybridMultilevel"/>
    <w:lvl w:ilvl="0">
      <w:lvlJc w:val="left"/>
      <w:lvlText w:val="(%1)"/>
      <w:numFmt w:val="lowerLetter"/>
      <w:start w:val="2"/>
    </w:lvl>
  </w:abstractNum>
  <w:abstractNum w:abstractNumId="122">
    <w:nsid w:val="4DF72E4E"/>
    <w:multiLevelType w:val="hybridMultilevel"/>
    <w:lvl w:ilvl="0">
      <w:lvlJc w:val="left"/>
      <w:lvlText w:val="(%1)"/>
      <w:numFmt w:val="lowerLetter"/>
      <w:start w:val="3"/>
    </w:lvl>
  </w:abstractNum>
  <w:abstractNum w:abstractNumId="123">
    <w:nsid w:val="5046B5A9"/>
    <w:multiLevelType w:val="hybridMultilevel"/>
    <w:lvl w:ilvl="0">
      <w:lvlJc w:val="left"/>
      <w:lvlText w:val="(%1)"/>
      <w:numFmt w:val="decimal"/>
      <w:start w:val="3"/>
    </w:lvl>
  </w:abstractNum>
  <w:abstractNum w:abstractNumId="124">
    <w:nsid w:val="5D888A08"/>
    <w:multiLevelType w:val="hybridMultilevel"/>
    <w:lvl w:ilvl="0">
      <w:lvlJc w:val="left"/>
      <w:lvlText w:val="(%1)"/>
      <w:numFmt w:val="lowerRoman"/>
      <w:start w:val="1"/>
    </w:lvl>
  </w:abstractNum>
  <w:abstractNum w:abstractNumId="125">
    <w:nsid w:val="2A082C70"/>
    <w:multiLevelType w:val="hybridMultilevel"/>
    <w:lvl w:ilvl="0">
      <w:lvlJc w:val="left"/>
      <w:lvlText w:val="(%1)"/>
      <w:numFmt w:val="lowerLetter"/>
      <w:start w:val="2"/>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lowerLetter"/>
      <w:start w:val="3"/>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2019-12-29T17:10:35Z</dcterms:created>
  <dcterms:modified xsi:type="dcterms:W3CDTF">2019-12-29T17:10:35Z</dcterms:modified>
</cp:coreProperties>
</file>