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3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ANNUAL AND TRANSITION REPORTS PURSUANT TO SECTIONS 13 OR 15(d) OF THE SECURITIES EXCHANGE ACT OF 1934</w:t>
      </w:r>
    </w:p>
    <w:p>
      <w:pPr>
        <w:spacing w:after="0" w:line="224"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ind w:left="2100" w:right="1420" w:hanging="654"/>
        <w:spacing w:after="0" w:line="237" w:lineRule="auto"/>
        <w:tabs>
          <w:tab w:leader="none" w:pos="21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16" w:lineRule="exact"/>
        <w:rPr>
          <w:sz w:val="24"/>
          <w:szCs w:val="24"/>
          <w:color w:val="auto"/>
        </w:rPr>
      </w:pPr>
    </w:p>
    <w:p>
      <w:pPr>
        <w:ind w:left="2100" w:right="2340" w:hanging="613"/>
        <w:spacing w:after="0" w:line="256" w:lineRule="auto"/>
        <w:tabs>
          <w:tab w:leader="none" w:pos="21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6" w:lineRule="exact"/>
        <w:rPr>
          <w:sz w:val="24"/>
          <w:szCs w:val="24"/>
          <w:color w:val="auto"/>
        </w:rPr>
      </w:pPr>
    </w:p>
    <w:tbl>
      <w:tblPr>
        <w:tblLayout w:type="fixed"/>
        <w:tblInd w:w="3160" w:type="dxa"/>
        <w:tblCellMar>
          <w:top w:w="0" w:type="dxa"/>
          <w:left w:w="0" w:type="dxa"/>
          <w:bottom w:w="0" w:type="dxa"/>
          <w:right w:w="0" w:type="dxa"/>
        </w:tblCellMar>
      </w:tblPr>
      <w:tr>
        <w:trPr>
          <w:trHeight w:val="207"/>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2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425"/>
        </w:trPr>
        <w:tc>
          <w:tcPr>
            <w:tcW w:w="1120" w:type="dxa"/>
            <w:vAlign w:val="bottom"/>
          </w:tcPr>
          <w:p>
            <w:pPr>
              <w:spacing w:after="0"/>
              <w:rPr>
                <w:sz w:val="24"/>
                <w:szCs w:val="24"/>
                <w:color w:val="auto"/>
              </w:rPr>
            </w:pPr>
          </w:p>
        </w:tc>
        <w:tc>
          <w:tcPr>
            <w:tcW w:w="2480" w:type="dxa"/>
            <w:vAlign w:val="bottom"/>
            <w:gridSpan w:val="2"/>
          </w:tcPr>
          <w:p>
            <w:pPr>
              <w:ind w:left="600"/>
              <w:spacing w:after="0"/>
              <w:rPr>
                <w:sz w:val="20"/>
                <w:szCs w:val="20"/>
                <w:color w:val="auto"/>
              </w:rPr>
            </w:pPr>
            <w:r>
              <w:rPr>
                <w:rFonts w:ascii="Arial" w:cs="Arial" w:eastAsia="Arial" w:hAnsi="Arial"/>
                <w:sz w:val="14"/>
                <w:szCs w:val="14"/>
                <w:b w:val="1"/>
                <w:bCs w:val="1"/>
                <w:color w:val="auto"/>
                <w:w w:val="95"/>
              </w:rPr>
              <w:t>Commission File No. 1-15371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iSTAR FINANCIAL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3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Maryland</w:t>
            </w:r>
          </w:p>
        </w:tc>
        <w:tc>
          <w:tcPr>
            <w:tcW w:w="4160" w:type="dxa"/>
            <w:vAlign w:val="bottom"/>
            <w:gridSpan w:val="3"/>
          </w:tcPr>
          <w:p>
            <w:pPr>
              <w:jc w:val="right"/>
              <w:ind w:right="873"/>
              <w:spacing w:after="0"/>
              <w:rPr>
                <w:sz w:val="20"/>
                <w:szCs w:val="20"/>
                <w:color w:val="auto"/>
              </w:rPr>
            </w:pPr>
            <w:r>
              <w:rPr>
                <w:rFonts w:ascii="Arial" w:cs="Arial" w:eastAsia="Arial" w:hAnsi="Arial"/>
                <w:sz w:val="14"/>
                <w:szCs w:val="14"/>
                <w:b w:val="1"/>
                <w:bCs w:val="1"/>
                <w:color w:val="auto"/>
              </w:rPr>
              <w:t>95-6881527</w:t>
            </w:r>
          </w:p>
        </w:tc>
      </w:tr>
      <w:tr>
        <w:trPr>
          <w:trHeight w:val="149"/>
        </w:trPr>
        <w:tc>
          <w:tcPr>
            <w:tcW w:w="3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(State or other jurisdiction of</w:t>
            </w: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91"/>
              </w:rPr>
              <w:t>(I.R.S. Employer</w:t>
            </w:r>
          </w:p>
        </w:tc>
      </w:tr>
      <w:tr>
        <w:trPr>
          <w:trHeight w:val="172"/>
        </w:trPr>
        <w:tc>
          <w:tcPr>
            <w:tcW w:w="3740" w:type="dxa"/>
            <w:vAlign w:val="bottom"/>
            <w:gridSpan w:val="2"/>
          </w:tcPr>
          <w:p>
            <w:pPr>
              <w:jc w:val="center"/>
              <w:spacing w:after="0"/>
              <w:rPr>
                <w:sz w:val="20"/>
                <w:szCs w:val="20"/>
                <w:color w:val="auto"/>
              </w:rPr>
            </w:pPr>
            <w:r>
              <w:rPr>
                <w:rFonts w:ascii="Arial" w:cs="Arial" w:eastAsia="Arial" w:hAnsi="Arial"/>
                <w:sz w:val="14"/>
                <w:szCs w:val="14"/>
                <w:color w:val="auto"/>
                <w:w w:val="88"/>
              </w:rPr>
              <w:t>incorporation or organization)</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tcPr>
          <w:p>
            <w:pPr>
              <w:jc w:val="center"/>
              <w:ind w:right="273"/>
              <w:spacing w:after="0"/>
              <w:rPr>
                <w:sz w:val="20"/>
                <w:szCs w:val="20"/>
                <w:color w:val="auto"/>
              </w:rPr>
            </w:pPr>
            <w:r>
              <w:rPr>
                <w:rFonts w:ascii="Arial" w:cs="Arial" w:eastAsia="Arial" w:hAnsi="Arial"/>
                <w:sz w:val="14"/>
                <w:szCs w:val="14"/>
                <w:color w:val="auto"/>
                <w:w w:val="91"/>
              </w:rPr>
              <w:t>Identification Number)</w:t>
            </w:r>
          </w:p>
        </w:tc>
      </w:tr>
      <w:tr>
        <w:trPr>
          <w:trHeight w:val="393"/>
        </w:trPr>
        <w:tc>
          <w:tcPr>
            <w:tcW w:w="3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1114 Avenue of the Americas, 39</w:t>
            </w:r>
            <w:r>
              <w:rPr>
                <w:rFonts w:ascii="Arial" w:cs="Arial" w:eastAsia="Arial" w:hAnsi="Arial"/>
                <w:sz w:val="22"/>
                <w:szCs w:val="22"/>
                <w:b w:val="1"/>
                <w:bCs w:val="1"/>
                <w:color w:val="auto"/>
                <w:w w:val="85"/>
                <w:vertAlign w:val="superscript"/>
              </w:rPr>
              <w:t>th</w:t>
            </w:r>
            <w:r>
              <w:rPr>
                <w:rFonts w:ascii="Arial" w:cs="Arial" w:eastAsia="Arial" w:hAnsi="Arial"/>
                <w:sz w:val="14"/>
                <w:szCs w:val="14"/>
                <w:b w:val="1"/>
                <w:bCs w:val="1"/>
                <w:color w:val="auto"/>
                <w:w w:val="85"/>
              </w:rPr>
              <w:t xml:space="preserve"> Floor</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51"/>
        </w:trPr>
        <w:tc>
          <w:tcPr>
            <w:tcW w:w="37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2"/>
              </w:rPr>
              <w:t>New York, NY</w:t>
            </w:r>
          </w:p>
        </w:tc>
        <w:tc>
          <w:tcPr>
            <w:tcW w:w="4160" w:type="dxa"/>
            <w:vAlign w:val="bottom"/>
            <w:gridSpan w:val="3"/>
          </w:tcPr>
          <w:p>
            <w:pPr>
              <w:jc w:val="right"/>
              <w:ind w:right="1033"/>
              <w:spacing w:after="0" w:line="151" w:lineRule="exact"/>
              <w:rPr>
                <w:sz w:val="20"/>
                <w:szCs w:val="20"/>
                <w:color w:val="auto"/>
              </w:rPr>
            </w:pPr>
            <w:r>
              <w:rPr>
                <w:rFonts w:ascii="Arial" w:cs="Arial" w:eastAsia="Arial" w:hAnsi="Arial"/>
                <w:sz w:val="14"/>
                <w:szCs w:val="14"/>
                <w:b w:val="1"/>
                <w:bCs w:val="1"/>
                <w:color w:val="auto"/>
              </w:rPr>
              <w:t>10036</w:t>
            </w:r>
          </w:p>
        </w:tc>
      </w:tr>
      <w:tr>
        <w:trPr>
          <w:trHeight w:val="172"/>
        </w:trPr>
        <w:tc>
          <w:tcPr>
            <w:tcW w:w="3740" w:type="dxa"/>
            <w:vAlign w:val="bottom"/>
            <w:gridSpan w:val="2"/>
          </w:tcPr>
          <w:p>
            <w:pPr>
              <w:jc w:val="center"/>
              <w:spacing w:after="0"/>
              <w:rPr>
                <w:sz w:val="20"/>
                <w:szCs w:val="20"/>
                <w:color w:val="auto"/>
              </w:rPr>
            </w:pPr>
            <w:r>
              <w:rPr>
                <w:rFonts w:ascii="Arial" w:cs="Arial" w:eastAsia="Arial" w:hAnsi="Arial"/>
                <w:sz w:val="14"/>
                <w:szCs w:val="14"/>
                <w:color w:val="auto"/>
                <w:w w:val="89"/>
              </w:rPr>
              <w:t>(Address of principal executive offices)</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tcPr>
          <w:p>
            <w:pPr>
              <w:jc w:val="center"/>
              <w:ind w:right="273"/>
              <w:spacing w:after="0"/>
              <w:rPr>
                <w:sz w:val="20"/>
                <w:szCs w:val="20"/>
                <w:color w:val="auto"/>
              </w:rPr>
            </w:pPr>
            <w:r>
              <w:rPr>
                <w:rFonts w:ascii="Arial" w:cs="Arial" w:eastAsia="Arial" w:hAnsi="Arial"/>
                <w:sz w:val="14"/>
                <w:szCs w:val="14"/>
                <w:color w:val="auto"/>
                <w:w w:val="91"/>
              </w:rPr>
              <w:t>(Zip code)</w:t>
            </w:r>
          </w:p>
        </w:tc>
      </w:tr>
      <w:tr>
        <w:trPr>
          <w:trHeight w:val="365"/>
        </w:trPr>
        <w:tc>
          <w:tcPr>
            <w:tcW w:w="7900" w:type="dxa"/>
            <w:vAlign w:val="bottom"/>
            <w:gridSpan w:val="5"/>
          </w:tcPr>
          <w:p>
            <w:pPr>
              <w:jc w:val="center"/>
              <w:ind w:left="533"/>
              <w:spacing w:after="0"/>
              <w:rPr>
                <w:sz w:val="20"/>
                <w:szCs w:val="20"/>
                <w:color w:val="auto"/>
              </w:rPr>
            </w:pPr>
            <w:r>
              <w:rPr>
                <w:rFonts w:ascii="Arial" w:cs="Arial" w:eastAsia="Arial" w:hAnsi="Arial"/>
                <w:sz w:val="14"/>
                <w:szCs w:val="14"/>
                <w:color w:val="auto"/>
                <w:w w:val="86"/>
              </w:rPr>
              <w:t xml:space="preserve">Registrant's telephone number, including area code: </w:t>
            </w:r>
            <w:r>
              <w:rPr>
                <w:rFonts w:ascii="Arial" w:cs="Arial" w:eastAsia="Arial" w:hAnsi="Arial"/>
                <w:sz w:val="14"/>
                <w:szCs w:val="14"/>
                <w:b w:val="1"/>
                <w:bCs w:val="1"/>
                <w:color w:val="auto"/>
                <w:w w:val="86"/>
              </w:rPr>
              <w:t>(212) 930-9400</w:t>
            </w:r>
          </w:p>
        </w:tc>
      </w:tr>
      <w:tr>
        <w:trPr>
          <w:trHeight w:val="203"/>
        </w:trPr>
        <w:tc>
          <w:tcPr>
            <w:tcW w:w="2820" w:type="dxa"/>
            <w:vAlign w:val="bottom"/>
          </w:tcPr>
          <w:p>
            <w:pPr>
              <w:spacing w:after="0"/>
              <w:rPr>
                <w:sz w:val="17"/>
                <w:szCs w:val="17"/>
                <w:color w:val="auto"/>
              </w:rPr>
            </w:pPr>
          </w:p>
        </w:tc>
        <w:tc>
          <w:tcPr>
            <w:tcW w:w="2540" w:type="dxa"/>
            <w:vAlign w:val="bottom"/>
            <w:tcBorders>
              <w:bottom w:val="single" w:sz="8" w:color="auto"/>
            </w:tcBorders>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0" w:type="dxa"/>
            <w:vAlign w:val="bottom"/>
          </w:tcPr>
          <w:p>
            <w:pPr>
              <w:spacing w:after="0"/>
              <w:rPr>
                <w:sz w:val="17"/>
                <w:szCs w:val="17"/>
                <w:color w:val="auto"/>
              </w:rPr>
            </w:pPr>
          </w:p>
        </w:tc>
      </w:tr>
      <w:tr>
        <w:trPr>
          <w:trHeight w:val="628"/>
        </w:trPr>
        <w:tc>
          <w:tcPr>
            <w:tcW w:w="7900" w:type="dxa"/>
            <w:vAlign w:val="bottom"/>
            <w:gridSpan w:val="5"/>
          </w:tcPr>
          <w:p>
            <w:pPr>
              <w:jc w:val="center"/>
              <w:ind w:left="553"/>
              <w:spacing w:after="0"/>
              <w:rPr>
                <w:sz w:val="20"/>
                <w:szCs w:val="20"/>
                <w:color w:val="auto"/>
              </w:rPr>
            </w:pPr>
            <w:r>
              <w:rPr>
                <w:rFonts w:ascii="Arial" w:cs="Arial" w:eastAsia="Arial" w:hAnsi="Arial"/>
                <w:sz w:val="14"/>
                <w:szCs w:val="14"/>
                <w:color w:val="auto"/>
                <w:w w:val="87"/>
              </w:rPr>
              <w:t>Securities registered pursuant to Section 12(b) of the Act:</w:t>
            </w:r>
          </w:p>
        </w:tc>
      </w:tr>
      <w:tr>
        <w:trPr>
          <w:trHeight w:val="365"/>
        </w:trPr>
        <w:tc>
          <w:tcPr>
            <w:tcW w:w="3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Title of each class: Name of Exchange on which registered:</w:t>
            </w:r>
          </w:p>
        </w:tc>
        <w:tc>
          <w:tcPr>
            <w:tcW w:w="1620" w:type="dxa"/>
            <w:vAlign w:val="bottom"/>
          </w:tcPr>
          <w:p>
            <w:pPr>
              <w:spacing w:after="0"/>
              <w:rPr>
                <w:sz w:val="24"/>
                <w:szCs w:val="24"/>
                <w:color w:val="auto"/>
              </w:rPr>
            </w:pPr>
          </w:p>
        </w:tc>
        <w:tc>
          <w:tcPr>
            <w:tcW w:w="2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Name of Exchange on which registered:</w:t>
            </w:r>
          </w:p>
        </w:tc>
      </w:tr>
      <w:tr>
        <w:trPr>
          <w:trHeight w:val="118"/>
        </w:trPr>
        <w:tc>
          <w:tcPr>
            <w:tcW w:w="3740" w:type="dxa"/>
            <w:vAlign w:val="bottom"/>
            <w:gridSpan w:val="2"/>
          </w:tcPr>
          <w:p>
            <w:pPr>
              <w:jc w:val="center"/>
              <w:spacing w:after="0" w:line="118" w:lineRule="exact"/>
              <w:rPr>
                <w:sz w:val="20"/>
                <w:szCs w:val="20"/>
                <w:color w:val="auto"/>
              </w:rPr>
            </w:pPr>
            <w:r>
              <w:rPr>
                <w:rFonts w:ascii="Arial" w:cs="Arial" w:eastAsia="Arial" w:hAnsi="Arial"/>
                <w:sz w:val="12"/>
                <w:szCs w:val="12"/>
                <w:color w:val="auto"/>
              </w:rPr>
              <w:t>Common Stock, $0.001 par value</w:t>
            </w:r>
          </w:p>
        </w:tc>
        <w:tc>
          <w:tcPr>
            <w:tcW w:w="1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0" w:type="dxa"/>
            <w:vAlign w:val="bottom"/>
          </w:tcPr>
          <w:p>
            <w:pPr>
              <w:jc w:val="center"/>
              <w:ind w:right="273"/>
              <w:spacing w:after="0" w:line="118" w:lineRule="exact"/>
              <w:rPr>
                <w:sz w:val="20"/>
                <w:szCs w:val="20"/>
                <w:color w:val="auto"/>
              </w:rPr>
            </w:pPr>
            <w:r>
              <w:rPr>
                <w:rFonts w:ascii="Arial" w:cs="Arial" w:eastAsia="Arial" w:hAnsi="Arial"/>
                <w:sz w:val="12"/>
                <w:szCs w:val="12"/>
                <w:color w:val="auto"/>
              </w:rPr>
              <w:t>New York Stock Exchange</w:t>
            </w:r>
          </w:p>
        </w:tc>
      </w:tr>
      <w:tr>
        <w:trPr>
          <w:trHeight w:val="149"/>
        </w:trPr>
        <w:tc>
          <w:tcPr>
            <w:tcW w:w="3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8.000% Series D Cumulative Redeemable</w:t>
            </w: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3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Preferred Stock, $0.001 par value</w:t>
            </w: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49"/>
        </w:trPr>
        <w:tc>
          <w:tcPr>
            <w:tcW w:w="3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7.875% Series E Cumulative Redeemable</w:t>
            </w: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3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Preferred Stock, $0.001 par value</w:t>
            </w: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49"/>
        </w:trPr>
        <w:tc>
          <w:tcPr>
            <w:tcW w:w="3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7.8% Series F Cumulative Redeemable</w:t>
            </w: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3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Preferred Stock, $0.001 par value</w:t>
            </w: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49"/>
        </w:trPr>
        <w:tc>
          <w:tcPr>
            <w:tcW w:w="3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7.65% Series G Cumulative Redeemable</w:t>
            </w: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3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Preferred Stock, $0.001 par value</w:t>
            </w: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49"/>
        </w:trPr>
        <w:tc>
          <w:tcPr>
            <w:tcW w:w="3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7.50% Series I Cumulative Redeemable</w:t>
            </w: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72"/>
        </w:trPr>
        <w:tc>
          <w:tcPr>
            <w:tcW w:w="3740" w:type="dxa"/>
            <w:vAlign w:val="bottom"/>
            <w:gridSpan w:val="2"/>
          </w:tcPr>
          <w:p>
            <w:pPr>
              <w:jc w:val="center"/>
              <w:spacing w:after="0"/>
              <w:rPr>
                <w:sz w:val="20"/>
                <w:szCs w:val="20"/>
                <w:color w:val="auto"/>
              </w:rPr>
            </w:pPr>
            <w:r>
              <w:rPr>
                <w:rFonts w:ascii="Arial" w:cs="Arial" w:eastAsia="Arial" w:hAnsi="Arial"/>
                <w:sz w:val="14"/>
                <w:szCs w:val="14"/>
                <w:color w:val="auto"/>
                <w:w w:val="86"/>
              </w:rPr>
              <w:t>Preferred Stock, $0.001 par value</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r>
    </w:tbl>
    <w:p>
      <w:pPr>
        <w:spacing w:after="0" w:line="190"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81" w:lineRule="exact"/>
        <w:rPr>
          <w:sz w:val="24"/>
          <w:szCs w:val="24"/>
          <w:color w:val="auto"/>
        </w:rPr>
      </w:pPr>
    </w:p>
    <w:p>
      <w:pPr>
        <w:ind w:left="340"/>
        <w:spacing w:after="0" w:line="138" w:lineRule="exact"/>
        <w:tabs>
          <w:tab w:leader="none" w:pos="6780" w:val="left"/>
        </w:tabs>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tab/>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227" w:lineRule="exact"/>
        <w:rPr>
          <w:sz w:val="24"/>
          <w:szCs w:val="24"/>
          <w:color w:val="auto"/>
        </w:rPr>
      </w:pPr>
    </w:p>
    <w:p>
      <w:pPr>
        <w:ind w:left="340"/>
        <w:spacing w:after="0" w:line="138" w:lineRule="exact"/>
        <w:tabs>
          <w:tab w:leader="none" w:pos="692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1"/>
          <w:szCs w:val="11"/>
          <w:color w:val="auto"/>
        </w:rPr>
        <w:t xml:space="preserve">Yes o No </w:t>
      </w:r>
      <w:r>
        <w:rPr>
          <w:rFonts w:ascii="MS PGothic" w:cs="MS PGothic" w:eastAsia="MS PGothic" w:hAnsi="MS PGothic"/>
          <w:sz w:val="11"/>
          <w:szCs w:val="11"/>
          <w:color w:val="auto"/>
        </w:rPr>
        <w:t>☒</w:t>
      </w:r>
    </w:p>
    <w:p>
      <w:pPr>
        <w:spacing w:after="0" w:line="252" w:lineRule="exact"/>
        <w:rPr>
          <w:sz w:val="24"/>
          <w:szCs w:val="24"/>
          <w:color w:val="auto"/>
        </w:rPr>
      </w:pPr>
    </w:p>
    <w:p>
      <w:pPr>
        <w:ind w:firstLine="386"/>
        <w:spacing w:after="0" w:line="168" w:lineRule="exact"/>
        <w:rPr>
          <w:sz w:val="20"/>
          <w:szCs w:val="20"/>
          <w:color w:val="auto"/>
        </w:rPr>
      </w:pPr>
      <w:r>
        <w:rPr>
          <w:rFonts w:ascii="Arial" w:cs="Arial" w:eastAsia="Arial" w:hAnsi="Arial"/>
          <w:sz w:val="14"/>
          <w:szCs w:val="14"/>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20" w:firstLine="347"/>
        <w:spacing w:after="0" w:line="239"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93" w:lineRule="exact"/>
        <w:rPr>
          <w:sz w:val="24"/>
          <w:szCs w:val="24"/>
          <w:color w:val="auto"/>
        </w:rPr>
      </w:pPr>
    </w:p>
    <w:p>
      <w:pPr>
        <w:ind w:firstLine="357"/>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79" w:lineRule="exact"/>
        <w:rPr>
          <w:sz w:val="24"/>
          <w:szCs w:val="24"/>
          <w:color w:val="auto"/>
        </w:rPr>
      </w:pPr>
    </w:p>
    <w:p>
      <w:pPr>
        <w:ind w:firstLine="469"/>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69" w:right="239" w:bottom="0" w:gutter="0" w:footer="0" w:header="0"/>
        </w:sectPr>
      </w:pPr>
    </w:p>
    <w:p>
      <w:pPr>
        <w:spacing w:after="0" w:line="193" w:lineRule="exact"/>
        <w:rPr>
          <w:sz w:val="24"/>
          <w:szCs w:val="24"/>
          <w:color w:val="auto"/>
        </w:rPr>
      </w:pPr>
    </w:p>
    <w:p>
      <w:pPr>
        <w:ind w:left="268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24" w:lineRule="exact"/>
        <w:rPr>
          <w:sz w:val="24"/>
          <w:szCs w:val="24"/>
          <w:color w:val="auto"/>
        </w:rPr>
      </w:pPr>
    </w:p>
    <w:p>
      <w:pPr>
        <w:sectPr>
          <w:pgSz w:w="11900" w:h="16838" w:orient="portrait"/>
          <w:cols w:equalWidth="0" w:num="2">
            <w:col w:w="6840" w:space="720"/>
            <w:col w:w="3860"/>
          </w:cols>
          <w:pgMar w:left="240" w:top="469" w:right="239" w:bottom="0" w:gutter="0" w:footer="0" w:header="0"/>
          <w:type w:val="continuous"/>
        </w:sectPr>
      </w:pPr>
    </w:p>
    <w:p>
      <w:pPr>
        <w:spacing w:after="0" w:line="54" w:lineRule="exact"/>
        <w:rPr>
          <w:sz w:val="24"/>
          <w:szCs w:val="24"/>
          <w:color w:val="auto"/>
        </w:rPr>
      </w:pPr>
    </w:p>
    <w:p>
      <w:pPr>
        <w:ind w:left="2720"/>
        <w:spacing w:after="0"/>
        <w:rPr>
          <w:sz w:val="20"/>
          <w:szCs w:val="20"/>
          <w:color w:val="auto"/>
        </w:rPr>
      </w:pPr>
      <w:r>
        <w:rPr>
          <w:rFonts w:ascii="Arial" w:cs="Arial" w:eastAsia="Arial" w:hAnsi="Arial"/>
          <w:sz w:val="12"/>
          <w:szCs w:val="12"/>
          <w:color w:val="auto"/>
        </w:rPr>
        <w:t>Non-accelerated filer 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ectPr>
          <w:pgSz w:w="11900" w:h="16838" w:orient="portrait"/>
          <w:cols w:equalWidth="0" w:num="2">
            <w:col w:w="6580" w:space="720"/>
            <w:col w:w="4120"/>
          </w:cols>
          <w:pgMar w:left="240" w:top="469" w:right="239" w:bottom="0" w:gutter="0" w:footer="0" w:header="0"/>
          <w:type w:val="continuous"/>
        </w:sectPr>
      </w:pPr>
    </w:p>
    <w:bookmarkStart w:id="1" w:name="page2"/>
    <w:bookmarkEnd w:id="1"/>
    <w:p>
      <w:pPr>
        <w:ind w:left="2080"/>
        <w:spacing w:after="0"/>
        <w:rPr>
          <w:sz w:val="20"/>
          <w:szCs w:val="20"/>
          <w:color w:val="auto"/>
        </w:rPr>
      </w:pPr>
      <w:r>
        <w:rPr>
          <w:rFonts w:ascii="Arial" w:cs="Arial" w:eastAsia="Arial" w:hAnsi="Arial"/>
          <w:sz w:val="14"/>
          <w:szCs w:val="14"/>
          <w:color w:val="auto"/>
        </w:rPr>
        <w:t>(Do not check if a smaller reporting company)</w:t>
      </w:r>
    </w:p>
    <w:p>
      <w:pPr>
        <w:spacing w:after="0" w:line="179" w:lineRule="exact"/>
        <w:rPr>
          <w:sz w:val="20"/>
          <w:szCs w:val="20"/>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o No </w:t>
      </w:r>
      <w:r>
        <w:rPr>
          <w:rFonts w:ascii="MS PGothic" w:cs="MS PGothic" w:eastAsia="MS PGothic" w:hAnsi="MS PGothic"/>
          <w:sz w:val="14"/>
          <w:szCs w:val="14"/>
          <w:color w:val="auto"/>
        </w:rPr>
        <w:t>☒</w:t>
      </w:r>
    </w:p>
    <w:p>
      <w:pPr>
        <w:spacing w:after="0" w:line="229" w:lineRule="exact"/>
        <w:rPr>
          <w:sz w:val="20"/>
          <w:szCs w:val="20"/>
          <w:color w:val="auto"/>
        </w:rPr>
      </w:pPr>
    </w:p>
    <w:p>
      <w:pPr>
        <w:ind w:firstLine="375"/>
        <w:spacing w:after="0" w:line="239" w:lineRule="auto"/>
        <w:rPr>
          <w:sz w:val="20"/>
          <w:szCs w:val="20"/>
          <w:color w:val="auto"/>
        </w:rPr>
      </w:pPr>
      <w:r>
        <w:rPr>
          <w:rFonts w:ascii="Arial" w:cs="Arial" w:eastAsia="Arial" w:hAnsi="Arial"/>
          <w:sz w:val="14"/>
          <w:szCs w:val="14"/>
          <w:color w:val="auto"/>
        </w:rPr>
        <w:t>As of June 30, 2009 the aggregate market value of the common stock, $0.001 par value per share of iStar Financial Inc. ("Common Stock"), held by non-affiliates (1) of the registrant was approximately $267.1 million, based upon the closing price of $2.84 on the New York Stock Exchange composite tape on such date.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February 16, 2010, there were 94,195,478 shares of Common Stock outstanding.</w:t>
      </w:r>
    </w:p>
    <w:p>
      <w:pPr>
        <w:spacing w:after="0" w:line="190"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purposes of this Annual Report only, includes all outstanding Common Stock other than Common Stock held directly by the registrant's directors and executive officers.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2" w:lineRule="exact"/>
        <w:rPr>
          <w:sz w:val="20"/>
          <w:szCs w:val="20"/>
          <w:color w:val="auto"/>
        </w:rPr>
      </w:pPr>
    </w:p>
    <w:p>
      <w:pPr>
        <w:ind w:left="540" w:hanging="532"/>
        <w:spacing w:after="0" w:line="239"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Portions of the registrant's definitive proxy statement for the registrant's 2010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40" w:type="dxa"/>
            <w:vAlign w:val="bottom"/>
            <w:gridSpan w:val="12"/>
          </w:tcPr>
          <w:p>
            <w:pPr>
              <w:ind w:left="9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1"/>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r>
      <w:tr>
        <w:trPr>
          <w:trHeight w:val="385"/>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34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1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 Business</w:t>
              </w:r>
            </w:hyperlink>
          </w:p>
        </w:tc>
        <w:tc>
          <w:tcPr>
            <w:tcW w:w="7620" w:type="dxa"/>
            <w:vAlign w:val="bottom"/>
            <w:gridSpan w:val="2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5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Item 1A. Risk Factors</w:t>
              </w:r>
            </w:hyperlink>
          </w:p>
        </w:tc>
        <w:tc>
          <w:tcPr>
            <w:tcW w:w="7240" w:type="dxa"/>
            <w:vAlign w:val="bottom"/>
            <w:gridSpan w:val="18"/>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1B. Unresolved Staff Comments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2660" w:type="dxa"/>
            <w:vAlign w:val="bottom"/>
            <w:tcBorders>
              <w:top w:val="single" w:sz="8" w:color="0000EE"/>
            </w:tcBorders>
            <w:gridSpan w:val="1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 Properties</w:t>
              </w:r>
            </w:hyperlink>
          </w:p>
        </w:tc>
        <w:tc>
          <w:tcPr>
            <w:tcW w:w="614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Item 3. Legal Proceedings</w:t>
              </w:r>
            </w:hyperlink>
          </w:p>
        </w:tc>
        <w:tc>
          <w:tcPr>
            <w:tcW w:w="6940" w:type="dxa"/>
            <w:vAlign w:val="bottom"/>
            <w:gridSpan w:val="1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 Submission of Matters to a Vote of Security Holders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22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4580" w:type="dxa"/>
            <w:vAlign w:val="bottom"/>
            <w:gridSpan w:val="10"/>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5. Market for Registrant's Equity and Related Share Matters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22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Item 6. Selected Financial Data</w:t>
              </w:r>
            </w:hyperlink>
          </w:p>
        </w:tc>
        <w:tc>
          <w:tcPr>
            <w:tcW w:w="2360" w:type="dxa"/>
            <w:vAlign w:val="bottom"/>
            <w:tcBorders>
              <w:top w:val="single" w:sz="8" w:color="0000EE"/>
            </w:tcBorders>
            <w:gridSpan w:val="6"/>
          </w:tcPr>
          <w:p>
            <w:pPr>
              <w:spacing w:after="0"/>
              <w:rPr>
                <w:sz w:val="24"/>
                <w:szCs w:val="24"/>
                <w:color w:val="auto"/>
              </w:rPr>
            </w:pPr>
          </w:p>
        </w:tc>
        <w:tc>
          <w:tcPr>
            <w:tcW w:w="4220" w:type="dxa"/>
            <w:vAlign w:val="bottom"/>
            <w:gridSpan w:val="9"/>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4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Item 7. Management's Discussion and Analysis of Financial Condition and Results of Operations</w:t>
              </w:r>
            </w:hyperlink>
          </w:p>
        </w:tc>
        <w:tc>
          <w:tcPr>
            <w:tcW w:w="196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7A. Quantitative and Qualitative Disclosures about Market Risk</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880" w:type="dxa"/>
            <w:vAlign w:val="bottom"/>
            <w:tcBorders>
              <w:top w:val="single" w:sz="8" w:color="0000EE"/>
            </w:tcBorders>
            <w:gridSpan w:val="1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8. Financial Statements and Supplemental Data</w:t>
              </w:r>
            </w:hyperlink>
          </w:p>
        </w:tc>
        <w:tc>
          <w:tcPr>
            <w:tcW w:w="3920" w:type="dxa"/>
            <w:vAlign w:val="bottom"/>
            <w:gridSpan w:val="8"/>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w w:val="92"/>
              </w:rPr>
            </w:pPr>
            <w:hyperlink w:anchor="page126">
              <w:r>
                <w:rPr>
                  <w:rFonts w:ascii="Arial" w:cs="Arial" w:eastAsia="Arial" w:hAnsi="Arial"/>
                  <w:sz w:val="18"/>
                  <w:szCs w:val="18"/>
                  <w:color w:val="0000EE"/>
                  <w:w w:val="92"/>
                </w:rPr>
                <w:t>Item 9. Changes in and Disagreements with Registered Public Accounting Firm on Accounting and Financial Disclosure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123</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24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126">
              <w:r>
                <w:rPr>
                  <w:rFonts w:ascii="Arial" w:cs="Arial" w:eastAsia="Arial" w:hAnsi="Arial"/>
                  <w:sz w:val="18"/>
                  <w:szCs w:val="18"/>
                  <w:color w:val="0000EE"/>
                  <w:w w:val="88"/>
                </w:rPr>
                <w:t>Item 9A. Controls and Procedures</w:t>
              </w:r>
            </w:hyperlink>
          </w:p>
        </w:tc>
        <w:tc>
          <w:tcPr>
            <w:tcW w:w="6060" w:type="dxa"/>
            <w:vAlign w:val="bottom"/>
            <w:tcBorders>
              <w:top w:val="single" w:sz="8" w:color="0000EE"/>
            </w:tcBorders>
            <w:gridSpan w:val="12"/>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123</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Item 9B. 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123</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7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PART III</w:t>
              </w:r>
            </w:hyperlink>
          </w:p>
        </w:tc>
        <w:tc>
          <w:tcPr>
            <w:tcW w:w="1220" w:type="dxa"/>
            <w:vAlign w:val="bottom"/>
            <w:tcBorders>
              <w:top w:val="single" w:sz="8" w:color="0000EE"/>
            </w:tcBorders>
            <w:gridSpan w:val="6"/>
          </w:tcPr>
          <w:p>
            <w:pPr>
              <w:spacing w:after="0"/>
              <w:rPr>
                <w:sz w:val="24"/>
                <w:szCs w:val="24"/>
                <w:color w:val="auto"/>
              </w:rPr>
            </w:pPr>
          </w:p>
        </w:tc>
        <w:tc>
          <w:tcPr>
            <w:tcW w:w="6860" w:type="dxa"/>
            <w:vAlign w:val="bottom"/>
            <w:gridSpan w:val="16"/>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Item 10. Directors, Executive Officers and Corporate Governance of the Registrant</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124</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127">
              <w:r>
                <w:rPr>
                  <w:rFonts w:ascii="Arial" w:cs="Arial" w:eastAsia="Arial" w:hAnsi="Arial"/>
                  <w:sz w:val="18"/>
                  <w:szCs w:val="18"/>
                  <w:color w:val="0000EE"/>
                  <w:w w:val="88"/>
                </w:rPr>
                <w:t>Item 11. Executive Compensation</w:t>
              </w:r>
            </w:hyperlink>
          </w:p>
        </w:tc>
        <w:tc>
          <w:tcPr>
            <w:tcW w:w="3440" w:type="dxa"/>
            <w:vAlign w:val="bottom"/>
            <w:tcBorders>
              <w:top w:val="single" w:sz="8" w:color="0000EE"/>
            </w:tcBorders>
            <w:gridSpan w:val="10"/>
          </w:tcPr>
          <w:p>
            <w:pPr>
              <w:spacing w:after="0"/>
              <w:rPr>
                <w:sz w:val="24"/>
                <w:szCs w:val="24"/>
                <w:color w:val="auto"/>
              </w:rPr>
            </w:pPr>
          </w:p>
        </w:tc>
        <w:tc>
          <w:tcPr>
            <w:tcW w:w="296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124</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776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127">
              <w:r>
                <w:rPr>
                  <w:rFonts w:ascii="Arial" w:cs="Arial" w:eastAsia="Arial" w:hAnsi="Arial"/>
                  <w:sz w:val="18"/>
                  <w:szCs w:val="18"/>
                  <w:color w:val="0000EE"/>
                  <w:w w:val="88"/>
                </w:rPr>
                <w:t>Item 12. Security Ownership of Certain Beneficial Owners and Management and Related Stockholder Matters</w:t>
              </w:r>
            </w:hyperlink>
          </w:p>
        </w:tc>
        <w:tc>
          <w:tcPr>
            <w:tcW w:w="104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124</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566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127">
              <w:r>
                <w:rPr>
                  <w:rFonts w:ascii="Arial" w:cs="Arial" w:eastAsia="Arial" w:hAnsi="Arial"/>
                  <w:sz w:val="18"/>
                  <w:szCs w:val="18"/>
                  <w:color w:val="0000EE"/>
                  <w:w w:val="87"/>
                </w:rPr>
                <w:t>Item 13. Certain Relationships, Related Transactions and Director Independence</w:t>
              </w:r>
            </w:hyperlink>
          </w:p>
        </w:tc>
        <w:tc>
          <w:tcPr>
            <w:tcW w:w="314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124</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Item 14. Principal Registered Public Accounting Firm Fees and Services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124</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510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PART IV</w:t>
              </w:r>
            </w:hyperlink>
          </w:p>
        </w:tc>
        <w:tc>
          <w:tcPr>
            <w:tcW w:w="3700" w:type="dxa"/>
            <w:vAlign w:val="bottom"/>
            <w:gridSpan w:val="7"/>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180" w:type="dxa"/>
            <w:vAlign w:val="bottom"/>
            <w:gridSpan w:val="15"/>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32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127">
              <w:r>
                <w:rPr>
                  <w:rFonts w:ascii="Arial" w:cs="Arial" w:eastAsia="Arial" w:hAnsi="Arial"/>
                  <w:sz w:val="18"/>
                  <w:szCs w:val="18"/>
                  <w:color w:val="0000EE"/>
                  <w:w w:val="88"/>
                </w:rPr>
                <w:t>Item 15. Exhibits, Financial Statement Schedules and Reports on Form 8-K</w:t>
              </w:r>
            </w:hyperlink>
          </w:p>
        </w:tc>
        <w:tc>
          <w:tcPr>
            <w:tcW w:w="348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124</w:t>
            </w: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SIGNATURES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130</w:t>
            </w:r>
          </w:p>
        </w:tc>
        <w:tc>
          <w:tcPr>
            <w:tcW w:w="1140" w:type="dxa"/>
            <w:vAlign w:val="bottom"/>
          </w:tcPr>
          <w:p>
            <w:pPr>
              <w:spacing w:after="0"/>
              <w:rPr>
                <w:sz w:val="24"/>
                <w:szCs w:val="24"/>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8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20" w:type="dxa"/>
            <w:vAlign w:val="bottom"/>
            <w:tcBorders>
              <w:top w:val="single" w:sz="8" w:color="0000EE"/>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 for Purposes of the "Safe Harbor Provisions" of Section 21E of the Securities Exchange Act of 1934, as amended</w:t>
      </w:r>
    </w:p>
    <w:p>
      <w:pPr>
        <w:spacing w:after="0" w:line="231" w:lineRule="exact"/>
        <w:rPr>
          <w:sz w:val="20"/>
          <w:szCs w:val="20"/>
          <w:color w:val="auto"/>
        </w:rPr>
      </w:pPr>
    </w:p>
    <w:p>
      <w:pPr>
        <w:jc w:val="both"/>
        <w:ind w:firstLine="559"/>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Forward-looking statements are included with respect to, among other things, iStar Financial Inc.'s (the "Company's") current business plan, business strategy, portfolio management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the Company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521"/>
        <w:spacing w:after="0" w:line="291" w:lineRule="auto"/>
        <w:rPr>
          <w:sz w:val="20"/>
          <w:szCs w:val="20"/>
          <w:color w:val="auto"/>
        </w:rPr>
      </w:pPr>
      <w:r>
        <w:rPr>
          <w:rFonts w:ascii="Arial" w:cs="Arial" w:eastAsia="Arial" w:hAnsi="Arial"/>
          <w:sz w:val="16"/>
          <w:szCs w:val="16"/>
          <w:color w:val="auto"/>
        </w:rPr>
        <w:t>iStar Financial Inc., or the "Company," is a publicly-traded finance company focused on the commercial real estate industry. The Company primarily provides custom-tailored financing to high-end private and corporate owners of real estate, including senior and mezzanine real estate debt, senior and mezzanine corporate capital, as well as corporate net lease financing and equity. The Company, which is taxed as a real estate investment trust, or "REIT," seeks to generate attractive risk-adjusted returns on equity to shareholders by providing innovative and value-added financing solutions to its customers. The Company delivers customized financing products to sophisticated real estate borrowers and corporate customers who require a high level of flexibility and service. The Company's two primary lines of business are lending and corporate tenant leasing.</w:t>
      </w:r>
    </w:p>
    <w:p>
      <w:pPr>
        <w:spacing w:after="0" w:line="174"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original terms generally ranging from three to ten years. These loans may be either fixed-rate (based on the U.S. Treasury rate plus a spread) or variable-rate (based on LIBOR plus a spread) and are structured to meet the specific financing needs of the borrowers. The Company also provides senior and subordinated capital to corporations, particularly those engaged in real estate or real estate related businesses. These financings may be either secured or unsecured, typically range in size from $20 million to $150 million and have initial maturities generally ranging from three to ten years. As part of the lending business, the Company also acquires whole loans, loan participations and debt securities which present attractive risk-reward opportunities.</w:t>
      </w:r>
    </w:p>
    <w:p>
      <w:pPr>
        <w:spacing w:after="0" w:line="174" w:lineRule="exact"/>
        <w:rPr>
          <w:sz w:val="20"/>
          <w:szCs w:val="20"/>
          <w:color w:val="auto"/>
        </w:rPr>
      </w:pPr>
    </w:p>
    <w:p>
      <w:pPr>
        <w:jc w:val="both"/>
        <w:ind w:firstLine="492"/>
        <w:spacing w:after="0" w:line="256" w:lineRule="auto"/>
        <w:rPr>
          <w:sz w:val="20"/>
          <w:szCs w:val="20"/>
          <w:color w:val="auto"/>
        </w:rPr>
      </w:pPr>
      <w:r>
        <w:rPr>
          <w:rFonts w:ascii="Arial" w:cs="Arial" w:eastAsia="Arial" w:hAnsi="Arial"/>
          <w:sz w:val="18"/>
          <w:szCs w:val="18"/>
          <w:color w:val="auto"/>
        </w:rPr>
        <w:t>The Company's corporate tenant leasing business provides capital to corporations and other owners who control facilities leased to single creditworthy customers. The Company's net leased assets are generally mission critical headquarters or distribution facilities that are subject to long-term leases with public companies, many of which are rated corporate credits. Most of the leases provide for expenses at the facility to be paid by the corporate customer on a triple net lease basis. Corporate tenant lease,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"CTL," transactions have initial terms generally ranging from 15 to 20 years and typically range in size from $20 million to $150 million.</w:t>
      </w:r>
    </w:p>
    <w:p>
      <w:pPr>
        <w:spacing w:after="0" w:line="225"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The Company's primary sources of revenues are interest income, which is the interest that borrowers pay on loans, and operating lease income, which is the rent that corporate customers pay to lease CTL properties. The Company primarily generates income through the "spread" or "margin," which is the difference between the revenues generated from loans and leases and interest expense and the cost of CTL operations.</w:t>
      </w:r>
    </w:p>
    <w:p>
      <w:pPr>
        <w:spacing w:after="0" w:line="161" w:lineRule="exact"/>
        <w:rPr>
          <w:sz w:val="20"/>
          <w:szCs w:val="20"/>
          <w:color w:val="auto"/>
        </w:rPr>
      </w:pPr>
    </w:p>
    <w:p>
      <w:pPr>
        <w:jc w:val="both"/>
        <w:ind w:firstLine="428"/>
        <w:spacing w:after="0" w:line="294" w:lineRule="auto"/>
        <w:rPr>
          <w:sz w:val="20"/>
          <w:szCs w:val="20"/>
          <w:color w:val="auto"/>
        </w:rPr>
      </w:pPr>
      <w:r>
        <w:rPr>
          <w:rFonts w:ascii="Arial" w:cs="Arial" w:eastAsia="Arial" w:hAnsi="Arial"/>
          <w:sz w:val="16"/>
          <w:szCs w:val="16"/>
          <w:color w:val="auto"/>
        </w:rPr>
        <w:t>The Company began its business in 1993 through private investment funds and became publicly traded in 1998. Since that time, the Company has grown through the origination of new lending and leasing transactions, as well as through corporate acquisitions, including the acquisition of TriNet Corporate Realty Trust, Inc. in 1999, the acquisitions of Falcon Financial Investment Trust and of a significant non-controlling interest in Oak Hill Advisors, L.P. and affiliates in 2005, and the acquisition of the commercial real estate lending business and loan portfolio which we refer to as the "Fremont CRE," of Fremont Investment and Loan, or "Fremont," a division of Fremont General Corporation, in 2007.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Market Conditions</w:t>
      </w:r>
    </w:p>
    <w:p>
      <w:pPr>
        <w:spacing w:after="0" w:line="231" w:lineRule="exact"/>
        <w:rPr>
          <w:sz w:val="20"/>
          <w:szCs w:val="20"/>
          <w:color w:val="auto"/>
        </w:rPr>
      </w:pPr>
    </w:p>
    <w:p>
      <w:pPr>
        <w:jc w:val="both"/>
        <w:ind w:firstLine="363"/>
        <w:spacing w:after="0" w:line="286" w:lineRule="auto"/>
        <w:rPr>
          <w:sz w:val="20"/>
          <w:szCs w:val="20"/>
          <w:color w:val="auto"/>
        </w:rPr>
      </w:pPr>
      <w:r>
        <w:rPr>
          <w:rFonts w:ascii="Arial" w:cs="Arial" w:eastAsia="Arial" w:hAnsi="Arial"/>
          <w:sz w:val="16"/>
          <w:szCs w:val="16"/>
          <w:color w:val="auto"/>
        </w:rPr>
        <w:t>The financial market conditions that began in late 2007, including the economic recession and tightening of credit markets, continued to significantly impact the commercial real estate market and financial services industry in 2009. The severe economic downturn led to a decline in commercial real estate values which, combined with a lack of available debt financing for commercial and residential real estate assets, limited borrowers' ability to repay or refinance their loans. Further, the ability of many of the Company's borrowers to sell units in residential projects has been adversely impacted by current economic conditions and the lack of end loan financing available to residential unit purchasers. The combination of these factors continued to adversely affect the Company's business, financial condition and operating performance in 2009, resulting in significant additions to non-performing assets, increases in the related provision for loan losses and a reduction in the level of liquidity available to finance its operations. These economic factors and their effects on the Company's operations have resulted in increases in its financing costs, a continuing inability to access the unsecured debt markets, depressed prices for its Common Stock, the continued suspension of quarterly Common Stock dividends and has narrowed the Company's margin of compliance with debt covenants. In addition, we have significantly curtailed our asset origination activities, reduced operating expenses and focused on asset management in order to maximize recoveries from existing asset resolutions. A more detailed discussion of how current market conditions have impacted the Company is provided in Item 7—"Management's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jc w:val="both"/>
        <w:ind w:firstLine="417"/>
        <w:spacing w:after="0" w:line="256" w:lineRule="auto"/>
        <w:rPr>
          <w:sz w:val="20"/>
          <w:szCs w:val="20"/>
          <w:color w:val="auto"/>
        </w:rPr>
      </w:pPr>
      <w:r>
        <w:rPr>
          <w:rFonts w:ascii="Arial" w:cs="Arial" w:eastAsia="Arial" w:hAnsi="Arial"/>
          <w:sz w:val="18"/>
          <w:szCs w:val="18"/>
          <w:color w:val="auto"/>
        </w:rPr>
        <w:t>The Company's risk management team is comprised of over 120 professionals with in-house experience in asset management, legal, corporate credit, loan servicing, project and construction management and engineering. The risk management team includes a rated loan servicer, iStar Asset Services, or "iSAS," that provides the Company's customers with responsive post-closing support. The Company employs a proactive risk management strategy centered on information sharing and frequent customer contact.</w:t>
      </w:r>
    </w:p>
    <w:p>
      <w:pPr>
        <w:spacing w:after="0" w:line="197"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The Company has a quarterly risk rating process that enables it to evaluate, monitor and manage asset-specific credit issues and identify credit trends on a portfolio-wide basis. The quarterly risk rating process allows the Company to create a common language and framework to evaluate risk and the adequacy of the loan loss provision and reserves. A detailed credit review of each asset is performed quarterly with ratings of "1" to "5" assigned ("1" represents the lowest level of risk, "5" represents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highest level of risk). Risk ratings provide the Company with a means of identifying assets that warrant a greater degree of monitoring and senior management attention.</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also has collateral and customer monitoring risk management systems that enable it to proactively review the performance of its asset base.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Risk management information is generated from collateral-level controls, customer reporting requirements and on-site asset monitoring programs.</w:t>
      </w:r>
    </w:p>
    <w:p>
      <w:pPr>
        <w:spacing w:after="0" w:line="242" w:lineRule="exact"/>
        <w:rPr>
          <w:sz w:val="20"/>
          <w:szCs w:val="20"/>
          <w:color w:val="auto"/>
        </w:rPr>
      </w:pPr>
    </w:p>
    <w:p>
      <w:pPr>
        <w:jc w:val="both"/>
        <w:ind w:firstLine="419"/>
        <w:spacing w:after="0" w:line="256" w:lineRule="auto"/>
        <w:rPr>
          <w:sz w:val="20"/>
          <w:szCs w:val="20"/>
          <w:color w:val="auto"/>
        </w:rPr>
      </w:pPr>
      <w:r>
        <w:rPr>
          <w:rFonts w:ascii="Arial" w:cs="Arial" w:eastAsia="Arial" w:hAnsi="Arial"/>
          <w:sz w:val="18"/>
          <w:szCs w:val="18"/>
          <w:color w:val="auto"/>
        </w:rPr>
        <w:t>iSAS, the Company's rated loan servicing subsidiary, and the Company's corporate tenant lease asset management personnel are responsible for managing the Company's asset base, including monitoring customers' compliance with their respective loan and leasing agreements, collecting customer payments and analyzing and distributing customer performance information throughout the Company. iSAS performs servicing responsibilities primarily for Company owned assets and is currently rated "strong" by Standard &amp; Poor's.</w:t>
      </w:r>
    </w:p>
    <w:p>
      <w:pPr>
        <w:spacing w:after="0" w:line="197" w:lineRule="exact"/>
        <w:rPr>
          <w:sz w:val="20"/>
          <w:szCs w:val="20"/>
          <w:color w:val="auto"/>
        </w:rPr>
      </w:pPr>
    </w:p>
    <w:p>
      <w:pPr>
        <w:jc w:val="both"/>
        <w:ind w:firstLine="559"/>
        <w:spacing w:after="0" w:line="254" w:lineRule="auto"/>
        <w:rPr>
          <w:sz w:val="20"/>
          <w:szCs w:val="20"/>
          <w:color w:val="auto"/>
        </w:rPr>
      </w:pPr>
      <w:r>
        <w:rPr>
          <w:rFonts w:ascii="Arial" w:cs="Arial" w:eastAsia="Arial" w:hAnsi="Arial"/>
          <w:sz w:val="18"/>
          <w:szCs w:val="18"/>
          <w:color w:val="auto"/>
        </w:rPr>
        <w:t>Loan customers are required to comply with periodic covenant tests and typically must submit collateral performance information, such as monthly operating statements and operating budgets, to the Company. The Company may also require customers to deposit cash into escrow accounts to cover major capital expenditures, such as expected re-tenanting costs, and typically requires approval rights over major decisions impacting collateral cash flows. In some cases, collateral cash receipts must be deposited into lock-box bank accounts with the Company before the net cash, after debt service, is distributed to its customers. In addition, the Company has a formal annual inspection program designed to ensure that its corporate tenant lease customers are complying with their lease terms.</w:t>
      </w:r>
    </w:p>
    <w:p>
      <w:pPr>
        <w:spacing w:after="0" w:line="198"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The Company's risk management team employs an asset specific approach to managing and resolving loans that may become non-performing as well as other real estate owned assets ("OREO") and real estate held for investment assets ("REHI"). Asset performance or collectability can deteriorate due to a variety of factors, including adverse market conditions, construction delays and overruns, or a borrower's financial condition or managerial capabilities. Once an asset's performance or collectability begins deteriorating and we believe the asset will become a non-performing loan ("NPL"), the team seeks to formulate asset resolution strategies which may include, but are not limited to the following:</w:t>
      </w:r>
    </w:p>
    <w:p>
      <w:pPr>
        <w:spacing w:after="0" w:line="183" w:lineRule="exact"/>
        <w:rPr>
          <w:sz w:val="20"/>
          <w:szCs w:val="20"/>
          <w:color w:val="auto"/>
        </w:rPr>
      </w:pPr>
    </w:p>
    <w:p>
      <w:pPr>
        <w:jc w:val="both"/>
        <w:ind w:left="1080" w:hanging="532"/>
        <w:spacing w:after="0" w:line="255"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Foreclosing on a loan to gain title to the underlying property collateral. Once title is obtained, the risk management team puts in place an asset-specific plan designed to maximize the value of the collateral—which can include completing the construction or renovation of the property, continuing the sale of condominium units, leasing or increasing the occupancy of the property, engaging a third party property manager or selling the entire asset or a partial interest to a third party. In appropriate circumstances the Company may also seek to collect under guarantees of the loan;</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Selling the existing mortgage note to a third party;</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Entering into a restructuring discussion with the borrower. Typical loan terms that may be changed or modified in a restructuring include: the interest rate, loan amount, maturity date or the level of borrower support through guarantees or letters of credit.</w:t>
      </w:r>
    </w:p>
    <w:p>
      <w:pPr>
        <w:spacing w:after="0" w:line="186" w:lineRule="exact"/>
        <w:rPr>
          <w:sz w:val="20"/>
          <w:szCs w:val="20"/>
          <w:color w:val="auto"/>
        </w:rPr>
      </w:pPr>
    </w:p>
    <w:p>
      <w:pPr>
        <w:jc w:val="both"/>
        <w:ind w:firstLine="620"/>
        <w:spacing w:after="0" w:line="259" w:lineRule="auto"/>
        <w:rPr>
          <w:sz w:val="20"/>
          <w:szCs w:val="20"/>
          <w:color w:val="auto"/>
        </w:rPr>
      </w:pPr>
      <w:r>
        <w:rPr>
          <w:rFonts w:ascii="Arial" w:cs="Arial" w:eastAsia="Arial" w:hAnsi="Arial"/>
          <w:sz w:val="18"/>
          <w:szCs w:val="18"/>
          <w:color w:val="auto"/>
        </w:rPr>
        <w:t>The risk management team responsible for a non-performing loan or OREO/REHI resolution presents its proposed plan to the Company's senior management team for discussion and approval. The resolution plan is monitored as part of the Company's asset management meetings and its quarterly risk rating process. Asset resolution strategies may be modified as conditions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31" w:lineRule="exact"/>
        <w:rPr>
          <w:sz w:val="20"/>
          <w:szCs w:val="20"/>
          <w:color w:val="auto"/>
        </w:rPr>
      </w:pPr>
    </w:p>
    <w:p>
      <w:pPr>
        <w:jc w:val="both"/>
        <w:ind w:firstLine="405"/>
        <w:spacing w:after="0" w:line="332" w:lineRule="auto"/>
        <w:rPr>
          <w:sz w:val="20"/>
          <w:szCs w:val="20"/>
          <w:color w:val="auto"/>
        </w:rPr>
      </w:pPr>
      <w:r>
        <w:rPr>
          <w:rFonts w:ascii="Arial" w:cs="Arial" w:eastAsia="Arial" w:hAnsi="Arial"/>
          <w:sz w:val="16"/>
          <w:szCs w:val="16"/>
          <w:color w:val="auto"/>
        </w:rPr>
        <w:t>The Company has utilized a wide range of debt and equity capital resources to finance its investment and growth strategies. Prior to the onset of the credit crisis, the Company's primary sources of liquidity were its unsecured bank credit facilities, issuances of unsecured debt and equity securities in capital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markets transactions and repayments of loans. However, liquidity in the capital markets has been severely constrained since the beginning of the credit crisis, increasing the Company's cost of funds and effectively eliminating its access to the unsecured debt markets—previously its primary source of debt financing. The Company has also seen its stock price decline significantly, which has limited its ability to access additional equity capital. As a result, the Company has sought alternative sources of liquidity primarily through secured debt financings and sales of assets. The Company has sought, and will continue to seek to raise capital through means other than unsecured financing, such as additional secured financing, asset sales, joint ventures and other third party capital arrangements. A more detailed discussion of the Company's current liquidity and capital resources is provided in Item 7—"Management's Discussion and Analysis of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231" w:lineRule="exact"/>
        <w:rPr>
          <w:sz w:val="20"/>
          <w:szCs w:val="20"/>
          <w:color w:val="auto"/>
        </w:rPr>
      </w:pPr>
    </w:p>
    <w:p>
      <w:pPr>
        <w:jc w:val="both"/>
        <w:ind w:firstLine="422"/>
        <w:spacing w:after="0" w:line="298" w:lineRule="auto"/>
        <w:rPr>
          <w:sz w:val="20"/>
          <w:szCs w:val="20"/>
          <w:color w:val="auto"/>
        </w:rPr>
      </w:pPr>
      <w:r>
        <w:rPr>
          <w:rFonts w:ascii="Arial" w:cs="Arial" w:eastAsia="Arial" w:hAnsi="Arial"/>
          <w:sz w:val="16"/>
          <w:szCs w:val="16"/>
          <w:color w:val="auto"/>
        </w:rPr>
        <w:t>Given the economic conditions within the commercial real estate market, the uncertainty associated with the timing of scheduled loan repayments and the increased constraints in the financing markets, the Company's new loan and CTL originations were limited during 2008 and 2009. Prior to 2008, the Company's investment strategy targeted specific sectors of the real estate and corporate credit markets in which it believed it could deliver innovative, custom-tailored and flexible financial solutions to its customers, thereby differentiating its financial products from those offered by other capital providers.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implemented its investment strategy by:</w:t>
      </w:r>
    </w:p>
    <w:p>
      <w:pPr>
        <w:spacing w:after="0" w:line="239" w:lineRule="exact"/>
        <w:rPr>
          <w:sz w:val="20"/>
          <w:szCs w:val="20"/>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Focusing on the origination of large, structured mortgage, corporate and lease financings where customers require flexible financial solutions and "one-call" responsiveness post-closing.</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Avoiding commodity businesses in which there is significant direct competition from other providers of capital such as conduit lending and investments in commercial or residential mortgage-backed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Developing direct relationships with borrowers and corporate customers as opposed to sourcing transactions solely through intermediaries.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Adding value beyond simply providing capital by offering borrowers and corporate customers specific lending expertise, flexibility, certainty of closing and continuing relationships beyond the closing of a particular financing transaction.</w:t>
      </w:r>
    </w:p>
    <w:p>
      <w:pPr>
        <w:spacing w:after="0" w:line="21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Taking advantage of market anomalies in the real estate financing markets when the Company believes credit is mispriced by other providers of capital, such as the spread between lease yields and the yields on corporate customers' underlying credit obligations.</w:t>
      </w:r>
    </w:p>
    <w:p>
      <w:pPr>
        <w:spacing w:after="0" w:line="139" w:lineRule="exact"/>
        <w:rPr>
          <w:sz w:val="20"/>
          <w:szCs w:val="20"/>
          <w:color w:val="auto"/>
        </w:rPr>
      </w:pPr>
    </w:p>
    <w:p>
      <w:pPr>
        <w:ind w:firstLine="373"/>
        <w:spacing w:after="0" w:line="268" w:lineRule="auto"/>
        <w:rPr>
          <w:sz w:val="20"/>
          <w:szCs w:val="20"/>
          <w:color w:val="auto"/>
        </w:rPr>
      </w:pPr>
      <w:r>
        <w:rPr>
          <w:rFonts w:ascii="Arial" w:cs="Arial" w:eastAsia="Arial" w:hAnsi="Arial"/>
          <w:sz w:val="18"/>
          <w:szCs w:val="18"/>
          <w:color w:val="auto"/>
        </w:rPr>
        <w:t>The Company seeks to invest in a mix of portfolio financing transactions to create asset diversification and single-asset financings of properties with strong, long-term competitive market positions. The Company's credit process focuses on:</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diversification by asset type, property type, obligor, loan/lease maturity and geography.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Financing commercial real estate assets in major metropolitan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Underwriting assets using conservative assumptions regarding collateral value and future property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Evaluating relative risk adjusted returns across multiple investment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Focusing on replacement costs as the long-term determinant of real estate values.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15"/>
        <w:spacing w:after="0" w:line="268" w:lineRule="auto"/>
        <w:rPr>
          <w:sz w:val="20"/>
          <w:szCs w:val="20"/>
          <w:color w:val="auto"/>
        </w:rPr>
      </w:pPr>
      <w:r>
        <w:rPr>
          <w:rFonts w:ascii="Arial" w:cs="Arial" w:eastAsia="Arial" w:hAnsi="Arial"/>
          <w:sz w:val="18"/>
          <w:szCs w:val="18"/>
          <w:color w:val="auto"/>
        </w:rPr>
        <w:t>Substantially all of the Company's investments have been in assets with customers based in the United States. As of December 31, 2009, based on current gross carrying values, the Company's total investment portfolio has the following characteristics: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Asset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152400</wp:posOffset>
            </wp:positionV>
            <wp:extent cx="3936365" cy="1903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3636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Property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152400</wp:posOffset>
            </wp:positionV>
            <wp:extent cx="3936365" cy="1964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3636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152400</wp:posOffset>
            </wp:positionV>
            <wp:extent cx="3936365" cy="1903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3636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Process</w:t>
      </w:r>
    </w:p>
    <w:p>
      <w:pPr>
        <w:spacing w:after="0" w:line="231" w:lineRule="exact"/>
        <w:rPr>
          <w:sz w:val="20"/>
          <w:szCs w:val="20"/>
          <w:color w:val="auto"/>
        </w:rPr>
      </w:pPr>
    </w:p>
    <w:p>
      <w:pPr>
        <w:jc w:val="both"/>
        <w:ind w:firstLine="444"/>
        <w:spacing w:after="0" w:line="286" w:lineRule="auto"/>
        <w:rPr>
          <w:sz w:val="20"/>
          <w:szCs w:val="20"/>
          <w:color w:val="auto"/>
        </w:rPr>
      </w:pPr>
      <w:r>
        <w:rPr>
          <w:rFonts w:ascii="Arial" w:cs="Arial" w:eastAsia="Arial" w:hAnsi="Arial"/>
          <w:sz w:val="16"/>
          <w:szCs w:val="16"/>
          <w:color w:val="auto"/>
        </w:rPr>
        <w:t>The Company discusses and analyzes investment opportunities in meetings which are attended by its investment professionals, as well as representatives from its legal, credit, risk management and capital markets areas. The Company has developed a process for screening potential investments called the Six Point</w:t>
      </w:r>
    </w:p>
    <w:p>
      <w:pPr>
        <w:jc w:val="both"/>
        <w:spacing w:after="0" w:line="259" w:lineRule="auto"/>
        <w:rPr>
          <w:sz w:val="20"/>
          <w:szCs w:val="20"/>
          <w:color w:val="auto"/>
        </w:rPr>
      </w:pPr>
      <w:r>
        <w:rPr>
          <w:rFonts w:ascii="Arial" w:cs="Arial" w:eastAsia="Arial" w:hAnsi="Arial"/>
          <w:sz w:val="16"/>
          <w:szCs w:val="16"/>
          <w:color w:val="auto"/>
        </w:rPr>
        <w:t>Methodology</w:t>
      </w:r>
      <w:r>
        <w:rPr>
          <w:rFonts w:ascii="Arial" w:cs="Arial" w:eastAsia="Arial" w:hAnsi="Arial"/>
          <w:sz w:val="26"/>
          <w:szCs w:val="26"/>
          <w:color w:val="auto"/>
          <w:vertAlign w:val="superscript"/>
        </w:rPr>
        <w:t>sm</w:t>
      </w:r>
      <w:r>
        <w:rPr>
          <w:rFonts w:ascii="Arial" w:cs="Arial" w:eastAsia="Arial" w:hAnsi="Arial"/>
          <w:sz w:val="16"/>
          <w:szCs w:val="16"/>
          <w:color w:val="auto"/>
        </w:rPr>
        <w:t>. Through this process, the Company evaluates an investment opportunity prior to beginning its formal due diligence process by: (1) evaluating the source of the opportunity; (2) evaluating the quality of the collateral or corporate credit, as well as its market or industry dynamics; (3) evaluating the equity or corporate sponsor; (4) determining whether it can implement an appropriate legal and financial structure for the transaction given its risk profile; (5) performing an alternative investment test; and (6) evaluating the liquidity of the investment and its ability to match fund the asset.</w:t>
      </w:r>
    </w:p>
    <w:p>
      <w:pPr>
        <w:spacing w:after="0" w:line="196"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6"/>
          <w:szCs w:val="16"/>
          <w:color w:val="auto"/>
        </w:rPr>
        <w:t>The Company's underwriting process provides for feedback and review by key disciplines within the Company, including investments, credit, risk management, legal/structuring and capital markets. Participation is encouraged from professionals in these disciplines throughout the entire origination process,</w:t>
      </w:r>
    </w:p>
    <w:p>
      <w:pPr>
        <w:jc w:val="both"/>
        <w:ind w:right="20"/>
        <w:spacing w:after="0" w:line="209" w:lineRule="auto"/>
        <w:rPr>
          <w:sz w:val="20"/>
          <w:szCs w:val="20"/>
          <w:color w:val="auto"/>
        </w:rPr>
      </w:pPr>
      <w:r>
        <w:rPr>
          <w:rFonts w:ascii="Arial" w:cs="Arial" w:eastAsia="Arial" w:hAnsi="Arial"/>
          <w:sz w:val="18"/>
          <w:szCs w:val="18"/>
          <w:color w:val="auto"/>
        </w:rPr>
        <w:t>from the initial consideration of the opportunity, through the Six Point Methodology</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and into the preparation and distribution of a memorandum for the Company's internal and/or Board of Directors investment committees.</w:t>
      </w:r>
    </w:p>
    <w:p>
      <w:pPr>
        <w:spacing w:after="0" w:line="212" w:lineRule="exact"/>
        <w:rPr>
          <w:sz w:val="20"/>
          <w:szCs w:val="20"/>
          <w:color w:val="auto"/>
        </w:rPr>
      </w:pPr>
    </w:p>
    <w:p>
      <w:pPr>
        <w:jc w:val="both"/>
        <w:ind w:firstLine="524"/>
        <w:spacing w:after="0" w:line="291" w:lineRule="auto"/>
        <w:rPr>
          <w:sz w:val="20"/>
          <w:szCs w:val="20"/>
          <w:color w:val="auto"/>
        </w:rPr>
      </w:pPr>
      <w:r>
        <w:rPr>
          <w:rFonts w:ascii="Arial" w:cs="Arial" w:eastAsia="Arial" w:hAnsi="Arial"/>
          <w:sz w:val="16"/>
          <w:szCs w:val="16"/>
          <w:color w:val="auto"/>
        </w:rPr>
        <w:t>Any commitment to make an investment of $25 million or less in any transaction or series of related transactions requires the approval of the Chief Executive Officer and Chief Investment Officer. Any commitment in an amount in excess of $25 million but less than or equal to $75 million requires the further approval of the Company's internal investment committee, consisting of senior management representatives from all of the Company's key disciplines. Any commitment in an amount in excess of $75 million but less than or equal to $150 million requires the further approval of the Investment Committee of the Board of Directors. Any commitment in an amount in excess of $150 million, and any strategic investment such as a corporate merger, acquisition or material transaction involving the Company's entry into a new line of business, requires the approval of the full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Strategy</w:t>
      </w:r>
    </w:p>
    <w:p>
      <w:pPr>
        <w:spacing w:after="0" w:line="231"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Company has variable-rate lending assets and variable-rate debt obligations. These assets and liabilities create a natural hedge against changes in variable interest rates. This means that, as interest rates increase, the Company earns more on its variable-rate lending assets and pays more on its variable-rate debt obligations and, conversely, as interest rates decrease, the Company earns less on its variable-rate lending assets and pays less on its variable-rate debt obligations. When the Company's variable-rate debt obligations differ significantly from its variable-rate lending assets, the Company may utilize derivative instruments to limit the impact of changing interest rates on its net income. The Company's interest rate risk management policy requires that it enter into hedging transactions when it is determined, based on sensitivity models, that the impact of various increasing or decreasing interest rate scenarios could have a significant negative effect on its net interest income. The Company does not use derivative instruments for speculative purposes. The derivative instruments the Company uses are typically in the form of interest rate swaps and interest rate caps.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Segments</w:t>
      </w:r>
    </w:p>
    <w:p>
      <w:pPr>
        <w:spacing w:after="0" w:line="231" w:lineRule="exact"/>
        <w:rPr>
          <w:sz w:val="20"/>
          <w:szCs w:val="20"/>
          <w:color w:val="auto"/>
        </w:rPr>
      </w:pPr>
    </w:p>
    <w:p>
      <w:pPr>
        <w:jc w:val="both"/>
        <w:ind w:firstLine="415"/>
        <w:spacing w:after="0" w:line="298" w:lineRule="auto"/>
        <w:rPr>
          <w:sz w:val="20"/>
          <w:szCs w:val="20"/>
          <w:color w:val="auto"/>
        </w:rPr>
      </w:pPr>
      <w:r>
        <w:rPr>
          <w:rFonts w:ascii="Arial" w:cs="Arial" w:eastAsia="Arial" w:hAnsi="Arial"/>
          <w:sz w:val="16"/>
          <w:szCs w:val="16"/>
          <w:color w:val="auto"/>
        </w:rPr>
        <w:t>The Company has determined that it has two reportable operating segments: Real Estate Lending and Corporate Tenant Leasing. The Real Estate Lending segment includes all of the Company's activities related to senior and mezzanine real estate debt and corporate capital investments, OREO and REHI. The Corporate Tenant Leasing segment includes all of the Company's activities related to the ownership and leasing of corporate facilities. Segment revenue and profit information is presented in Note 17 of the Company's Notes to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Lending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Real Estate Lending segment includes loans and other lending investments, real estate held for investment and other real estate owned.</w:t>
      </w:r>
    </w:p>
    <w:p>
      <w:pPr>
        <w:spacing w:after="0" w:line="248" w:lineRule="exact"/>
        <w:rPr>
          <w:sz w:val="20"/>
          <w:szCs w:val="20"/>
          <w:color w:val="auto"/>
        </w:rPr>
      </w:pPr>
    </w:p>
    <w:p>
      <w:pPr>
        <w:jc w:val="both"/>
        <w:ind w:firstLine="376"/>
        <w:spacing w:after="0" w:line="306" w:lineRule="auto"/>
        <w:rPr>
          <w:sz w:val="20"/>
          <w:szCs w:val="20"/>
          <w:color w:val="auto"/>
        </w:rPr>
      </w:pPr>
      <w:r>
        <w:rPr>
          <w:rFonts w:ascii="Arial" w:cs="Arial" w:eastAsia="Arial" w:hAnsi="Arial"/>
          <w:sz w:val="16"/>
          <w:szCs w:val="16"/>
          <w:color w:val="auto"/>
        </w:rPr>
        <w:t>Loans and other lending investments primarily consists of senior mortgage loans that are secured by commercial and residential real estate assets. A smaller portion of the portfolio consists of subordinated mortgage loans that are secured by subordinated interests in commercial and residential real estate assets, corporate/partnership loans, which are typically unsecured and may be senior or subordinate and corporate debt securities.</w:t>
      </w:r>
    </w:p>
    <w:p>
      <w:pPr>
        <w:spacing w:after="0" w:line="161"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6"/>
          <w:szCs w:val="16"/>
          <w:color w:val="auto"/>
        </w:rPr>
        <w:t>As of December 31, 2009, a significant portion of the Company's loan portfolio was designated as non-performing. Non-performing loans are placed on non-accrual status and reserves for loan losses are recorded to the extent these loans are determined to be impaired. See Note 3 to the Company's Notes to Consolidated Financial Statements for a discussion of the Company's policies regarding non-performing loans and reserves for loan losses.</w:t>
      </w:r>
    </w:p>
    <w:p>
      <w:pPr>
        <w:spacing w:after="0" w:line="161" w:lineRule="exact"/>
        <w:rPr>
          <w:sz w:val="20"/>
          <w:szCs w:val="20"/>
          <w:color w:val="auto"/>
        </w:rPr>
      </w:pPr>
    </w:p>
    <w:p>
      <w:pPr>
        <w:jc w:val="both"/>
        <w:ind w:firstLine="424"/>
        <w:spacing w:after="0" w:line="256" w:lineRule="auto"/>
        <w:rPr>
          <w:sz w:val="20"/>
          <w:szCs w:val="20"/>
          <w:color w:val="auto"/>
        </w:rPr>
      </w:pPr>
      <w:r>
        <w:rPr>
          <w:rFonts w:ascii="Arial" w:cs="Arial" w:eastAsia="Arial" w:hAnsi="Arial"/>
          <w:sz w:val="18"/>
          <w:szCs w:val="18"/>
          <w:color w:val="auto"/>
        </w:rPr>
        <w:t>REHI and OREO consist of properties acquired through foreclosure or through deed-in-lieu of foreclosure in full or partial satisfaction of non-performing loans. Properties are designated as REHI or OREO depending on the Company's strategic plan to realize the maximum value from the collateral received. The Company will designate properties as REHI if it intends to hold, operate or develop a property for a period of at least twelve months and will designate properties as OREO if it intends to market a property for sale in the near term.</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2009, the Company's Real Estate Lending segment included the following ($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jc w:val="right"/>
              <w:ind w:right="2"/>
              <w:spacing w:after="0"/>
              <w:rPr>
                <w:sz w:val="20"/>
                <w:szCs w:val="20"/>
                <w:color w:val="auto"/>
              </w:rPr>
            </w:pPr>
            <w:r>
              <w:rPr>
                <w:rFonts w:ascii="Arial" w:cs="Arial" w:eastAsia="Arial" w:hAnsi="Arial"/>
                <w:sz w:val="14"/>
                <w:szCs w:val="14"/>
                <w:b w:val="1"/>
                <w:bCs w:val="1"/>
                <w:color w:val="auto"/>
                <w:w w:val="94"/>
              </w:rPr>
              <w:t>Loan/Property</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ind w:lef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jc w:val="right"/>
              <w:ind w:right="242"/>
              <w:spacing w:after="0"/>
              <w:rPr>
                <w:sz w:val="20"/>
                <w:szCs w:val="20"/>
                <w:color w:val="auto"/>
              </w:rPr>
            </w:pPr>
            <w:r>
              <w:rPr>
                <w:rFonts w:ascii="Arial" w:cs="Arial" w:eastAsia="Arial" w:hAnsi="Arial"/>
                <w:sz w:val="14"/>
                <w:szCs w:val="14"/>
                <w:b w:val="1"/>
                <w:bCs w:val="1"/>
                <w:color w:val="auto"/>
              </w:rPr>
              <w:t>Count</w:t>
            </w:r>
          </w:p>
        </w:tc>
        <w:tc>
          <w:tcPr>
            <w:tcW w:w="160" w:type="dxa"/>
            <w:vAlign w:val="bottom"/>
          </w:tcPr>
          <w:p>
            <w:pPr>
              <w:spacing w:after="0"/>
              <w:rPr>
                <w:sz w:val="14"/>
                <w:szCs w:val="14"/>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Carrying Value</w:t>
            </w:r>
          </w:p>
        </w:tc>
        <w:tc>
          <w:tcPr>
            <w:tcW w:w="206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Performing loans:</w:t>
            </w:r>
          </w:p>
        </w:tc>
        <w:tc>
          <w:tcPr>
            <w:tcW w:w="19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Senior mortgages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3,616,697</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Subordinated mortgages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401,532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Corporate/Partnership loans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887,555</w:t>
            </w: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4,905,784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Non-performing loans:</w:t>
            </w: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mortgages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3,751,050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Subordinated mortgages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89,798</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Corporate/Partnership loans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60" w:type="dxa"/>
            <w:vAlign w:val="bottom"/>
            <w:vMerge w:val="restart"/>
          </w:tcPr>
          <w:p>
            <w:pPr>
              <w:ind w:left="120"/>
              <w:spacing w:after="0"/>
              <w:rPr>
                <w:sz w:val="20"/>
                <w:szCs w:val="20"/>
                <w:color w:val="auto"/>
              </w:rPr>
            </w:pPr>
            <w:r>
              <w:rPr>
                <w:rFonts w:ascii="Arial" w:cs="Arial" w:eastAsia="Arial" w:hAnsi="Arial"/>
                <w:sz w:val="18"/>
                <w:szCs w:val="18"/>
                <w:color w:val="auto"/>
              </w:rPr>
              <w:t>Subtotal</w:t>
            </w:r>
          </w:p>
        </w:tc>
        <w:tc>
          <w:tcPr>
            <w:tcW w:w="2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3,910,922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loans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8,816,706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Reserve for loan losses</w:t>
            </w:r>
          </w:p>
        </w:tc>
        <w:tc>
          <w:tcPr>
            <w:tcW w:w="1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(1,417,949)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loans, net</w:t>
            </w: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7,398,757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lending investments—securities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262,805</w:t>
            </w: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Loans and other lending investments, net</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7,661,562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120" w:type="dxa"/>
            <w:vAlign w:val="bottom"/>
            <w:gridSpan w:val="2"/>
          </w:tcPr>
          <w:p>
            <w:pPr>
              <w:ind w:left="1140"/>
              <w:spacing w:after="0"/>
              <w:rPr>
                <w:sz w:val="20"/>
                <w:szCs w:val="20"/>
                <w:color w:val="auto"/>
              </w:rPr>
            </w:pPr>
            <w:r>
              <w:rPr>
                <w:rFonts w:ascii="Arial" w:cs="Arial" w:eastAsia="Arial" w:hAnsi="Arial"/>
                <w:sz w:val="18"/>
                <w:szCs w:val="18"/>
                <w:color w:val="auto"/>
              </w:rPr>
              <w:t>Real estate held for investment, net</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422,664</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839,141</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60" w:type="dxa"/>
            <w:vAlign w:val="bottom"/>
            <w:vMerge w:val="restart"/>
          </w:tcPr>
          <w:p>
            <w:pPr>
              <w:ind w:left="120"/>
              <w:spacing w:after="0"/>
              <w:rPr>
                <w:sz w:val="20"/>
                <w:szCs w:val="20"/>
                <w:color w:val="auto"/>
              </w:rPr>
            </w:pPr>
            <w:r>
              <w:rPr>
                <w:rFonts w:ascii="Arial" w:cs="Arial" w:eastAsia="Arial" w:hAnsi="Arial"/>
                <w:sz w:val="18"/>
                <w:szCs w:val="18"/>
                <w:color w:val="auto"/>
              </w:rPr>
              <w:t>Total Real estate lending long-lived assets, net</w:t>
            </w:r>
          </w:p>
        </w:tc>
        <w:tc>
          <w:tcPr>
            <w:tcW w:w="1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8,923,367</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60" w:type="dxa"/>
            <w:vAlign w:val="bottom"/>
            <w:vMerge w:val="restart"/>
          </w:tcPr>
          <w:p>
            <w:pPr>
              <w:jc w:val="right"/>
              <w:ind w:right="1232"/>
              <w:spacing w:after="0"/>
              <w:rPr>
                <w:sz w:val="20"/>
                <w:szCs w:val="20"/>
                <w:color w:val="auto"/>
              </w:rPr>
            </w:pPr>
            <w:r>
              <w:rPr>
                <w:rFonts w:ascii="Arial" w:cs="Arial" w:eastAsia="Arial" w:hAnsi="Arial"/>
                <w:sz w:val="18"/>
                <w:szCs w:val="18"/>
                <w:color w:val="auto"/>
              </w:rPr>
              <w:t>7</w:t>
            </w: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i w:val="1"/>
          <w:iCs w:val="1"/>
          <w:color w:val="auto"/>
        </w:rPr>
        <w:t>Summary of Collateral/Property Types</w:t>
      </w:r>
      <w:r>
        <w:rPr>
          <w:rFonts w:ascii="Arial" w:cs="Arial" w:eastAsia="Arial" w:hAnsi="Arial"/>
          <w:sz w:val="18"/>
          <w:szCs w:val="18"/>
          <w:color w:val="auto"/>
        </w:rPr>
        <w:t>—As of December 31, 2009, assets in the Company's real estate lending segment had the following collateral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characteristics ($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Performing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8"/>
              </w:rPr>
              <w:t>Loans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performing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OREO &amp;</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1"/>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Collateral/Property Type</w:t>
            </w: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82"/>
              </w:rPr>
              <w:t>Loans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REHI</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1,218,108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2,103,065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Condo:</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Construction—Completed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1,885,291</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20"/>
              <w:spacing w:after="0"/>
              <w:rPr>
                <w:sz w:val="20"/>
                <w:szCs w:val="20"/>
                <w:color w:val="auto"/>
              </w:rPr>
            </w:pPr>
            <w:r>
              <w:rPr>
                <w:rFonts w:ascii="Arial" w:cs="Arial" w:eastAsia="Arial" w:hAnsi="Arial"/>
                <w:sz w:val="18"/>
                <w:szCs w:val="18"/>
                <w:color w:val="auto"/>
              </w:rPr>
              <w:t>Construction—In Progress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964,654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210,165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1,174,819</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Conversion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298,888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Mixed Use/Mixed Collateral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330,647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348,491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698,899</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Entertainment/Leisure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424,382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687,458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243,915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972,960</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Multifamily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456,678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Hotel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372,897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234,005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83,300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690,202</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318,243</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Corporate—Real Estate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674,110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61,754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735,864</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Industrial/R&amp;D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348,372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209,664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233,653</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carrying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5,168,589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3,910,922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1,261,805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10,341,316</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09"/>
        <w:spacing w:after="0" w:line="268" w:lineRule="auto"/>
        <w:rPr>
          <w:sz w:val="20"/>
          <w:szCs w:val="20"/>
          <w:color w:val="auto"/>
        </w:rPr>
      </w:pPr>
      <w:r>
        <w:rPr>
          <w:rFonts w:ascii="Arial" w:cs="Arial" w:eastAsia="Arial" w:hAnsi="Arial"/>
          <w:sz w:val="18"/>
          <w:szCs w:val="18"/>
          <w:i w:val="1"/>
          <w:iCs w:val="1"/>
          <w:color w:val="auto"/>
        </w:rPr>
        <w:t>Summary of Loan Interest Rate Characteristics</w:t>
      </w:r>
      <w:r>
        <w:rPr>
          <w:rFonts w:ascii="Arial" w:cs="Arial" w:eastAsia="Arial" w:hAnsi="Arial"/>
          <w:sz w:val="18"/>
          <w:szCs w:val="18"/>
          <w:color w:val="auto"/>
        </w:rPr>
        <w:t>—As of December 31, 2009, the Company's loans and other lending investments had the following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characteristics ($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Carrying</w:t>
            </w: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 of</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Value</w:t>
            </w:r>
          </w:p>
        </w:tc>
        <w:tc>
          <w:tcPr>
            <w:tcW w:w="160" w:type="dxa"/>
            <w:vAlign w:val="bottom"/>
            <w:gridSpan w:val="2"/>
          </w:tcPr>
          <w:p>
            <w:pPr>
              <w:spacing w:after="0"/>
              <w:rPr>
                <w:sz w:val="14"/>
                <w:szCs w:val="1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Accrual Rate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Fixed-rate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1,809,703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6"/>
              </w:rPr>
              <w:t>9.11%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Variable-rate loans(1)</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3,358,886</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w w:val="90"/>
              </w:rPr>
              <w:t>5.99%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3,910,922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980" w:type="dxa"/>
            <w:vAlign w:val="bottom"/>
            <w:vMerge w:val="restart"/>
          </w:tcPr>
          <w:p>
            <w:pPr>
              <w:spacing w:after="0"/>
              <w:rPr>
                <w:sz w:val="20"/>
                <w:szCs w:val="20"/>
                <w:color w:val="auto"/>
              </w:rPr>
            </w:pPr>
            <w:r>
              <w:rPr>
                <w:rFonts w:ascii="Arial" w:cs="Arial" w:eastAsia="Arial" w:hAnsi="Arial"/>
                <w:sz w:val="18"/>
                <w:szCs w:val="18"/>
                <w:color w:val="auto"/>
              </w:rPr>
              <w:t>Gross carrying value</w:t>
            </w: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9,079,511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15265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840" w:hanging="550"/>
        <w:spacing w:after="0"/>
        <w:tabs>
          <w:tab w:leader="none" w:pos="28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December 31, 2009, amount includes $1.87 billion of loans with a weighted average interest rate floor of 3.86%.</w:t>
      </w:r>
    </w:p>
    <w:p>
      <w:pPr>
        <w:spacing w:after="0" w:line="20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Summary of Loan Maturities</w:t>
      </w:r>
      <w:r>
        <w:rPr>
          <w:rFonts w:ascii="Arial" w:cs="Arial" w:eastAsia="Arial" w:hAnsi="Arial"/>
          <w:sz w:val="18"/>
          <w:szCs w:val="18"/>
          <w:color w:val="auto"/>
        </w:rPr>
        <w:t>—As of December 31, 2009, the Company's loans and other lending investments had the following maturity characteristics ($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820" w:type="dxa"/>
            <w:vAlign w:val="bottom"/>
            <w:gridSpan w:val="3"/>
          </w:tcPr>
          <w:p>
            <w:pPr>
              <w:jc w:val="right"/>
              <w:ind w:right="142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1"/>
        </w:trPr>
        <w:tc>
          <w:tcPr>
            <w:tcW w:w="4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Year of Maturity</w:t>
            </w:r>
          </w:p>
        </w:tc>
        <w:tc>
          <w:tcPr>
            <w:tcW w:w="3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Maturing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82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0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2,399,853</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2011</w:t>
            </w:r>
          </w:p>
        </w:tc>
        <w:tc>
          <w:tcPr>
            <w:tcW w:w="2020" w:type="dxa"/>
            <w:vAlign w:val="bottom"/>
          </w:tcPr>
          <w:p>
            <w:pPr>
              <w:spacing w:after="0"/>
              <w:rPr>
                <w:sz w:val="18"/>
                <w:szCs w:val="18"/>
                <w:color w:val="auto"/>
              </w:rPr>
            </w:pP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517,821</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1,065,489</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2013</w:t>
            </w:r>
          </w:p>
        </w:tc>
        <w:tc>
          <w:tcPr>
            <w:tcW w:w="2020" w:type="dxa"/>
            <w:vAlign w:val="bottom"/>
          </w:tcPr>
          <w:p>
            <w:pPr>
              <w:spacing w:after="0"/>
              <w:rPr>
                <w:sz w:val="18"/>
                <w:szCs w:val="18"/>
                <w:color w:val="auto"/>
              </w:rPr>
            </w:pP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227,718</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162,031</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2015</w:t>
            </w:r>
          </w:p>
        </w:tc>
        <w:tc>
          <w:tcPr>
            <w:tcW w:w="2020" w:type="dxa"/>
            <w:vAlign w:val="bottom"/>
          </w:tcPr>
          <w:p>
            <w:pPr>
              <w:spacing w:after="0"/>
              <w:rPr>
                <w:sz w:val="18"/>
                <w:szCs w:val="18"/>
                <w:color w:val="auto"/>
              </w:rPr>
            </w:pP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133,171</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203,204</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2017</w:t>
            </w:r>
          </w:p>
        </w:tc>
        <w:tc>
          <w:tcPr>
            <w:tcW w:w="2020" w:type="dxa"/>
            <w:vAlign w:val="bottom"/>
          </w:tcPr>
          <w:p>
            <w:pPr>
              <w:spacing w:after="0"/>
              <w:rPr>
                <w:sz w:val="18"/>
                <w:szCs w:val="18"/>
                <w:color w:val="auto"/>
              </w:rPr>
            </w:pP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50,984</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2019</w:t>
            </w:r>
          </w:p>
        </w:tc>
        <w:tc>
          <w:tcPr>
            <w:tcW w:w="2020" w:type="dxa"/>
            <w:vAlign w:val="bottom"/>
          </w:tcPr>
          <w:p>
            <w:pPr>
              <w:spacing w:after="0"/>
              <w:rPr>
                <w:sz w:val="18"/>
                <w:szCs w:val="18"/>
                <w:color w:val="auto"/>
              </w:rPr>
            </w:pP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32,713</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and thereafter</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329,613</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20" w:type="dxa"/>
            <w:vAlign w:val="bottom"/>
            <w:gridSpan w:val="3"/>
            <w:vMerge w:val="restart"/>
          </w:tcPr>
          <w:p>
            <w:pPr>
              <w:ind w:left="1140"/>
              <w:spacing w:after="0"/>
              <w:rPr>
                <w:sz w:val="20"/>
                <w:szCs w:val="20"/>
                <w:color w:val="auto"/>
              </w:rPr>
            </w:pPr>
            <w:r>
              <w:rPr>
                <w:rFonts w:ascii="Arial" w:cs="Arial" w:eastAsia="Arial" w:hAnsi="Arial"/>
                <w:sz w:val="18"/>
                <w:szCs w:val="18"/>
                <w:color w:val="auto"/>
              </w:rPr>
              <w:t>Total performing loans</w:t>
            </w:r>
          </w:p>
        </w:tc>
        <w:tc>
          <w:tcPr>
            <w:tcW w:w="3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20" w:type="dxa"/>
            <w:vAlign w:val="bottom"/>
            <w:gridSpan w:val="3"/>
            <w:vMerge w:val="continue"/>
          </w:tcPr>
          <w:p>
            <w:pPr>
              <w:spacing w:after="0"/>
              <w:rPr>
                <w:sz w:val="18"/>
                <w:szCs w:val="18"/>
                <w:color w:val="auto"/>
              </w:rPr>
            </w:pPr>
          </w:p>
        </w:tc>
        <w:tc>
          <w:tcPr>
            <w:tcW w:w="3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5,168,589</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3,910,922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20" w:type="dxa"/>
            <w:vAlign w:val="bottom"/>
            <w:gridSpan w:val="3"/>
            <w:vMerge w:val="restart"/>
          </w:tcPr>
          <w:p>
            <w:pPr>
              <w:ind w:left="1140"/>
              <w:spacing w:after="0"/>
              <w:rPr>
                <w:sz w:val="20"/>
                <w:szCs w:val="20"/>
                <w:color w:val="auto"/>
              </w:rPr>
            </w:pPr>
            <w:r>
              <w:rPr>
                <w:rFonts w:ascii="Arial" w:cs="Arial" w:eastAsia="Arial" w:hAnsi="Arial"/>
                <w:sz w:val="18"/>
                <w:szCs w:val="18"/>
                <w:color w:val="auto"/>
              </w:rPr>
              <w:t>Gross carrying value</w:t>
            </w:r>
          </w:p>
        </w:tc>
        <w:tc>
          <w:tcPr>
            <w:tcW w:w="3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20" w:type="dxa"/>
            <w:vAlign w:val="bottom"/>
            <w:gridSpan w:val="3"/>
            <w:vMerge w:val="continue"/>
          </w:tcPr>
          <w:p>
            <w:pPr>
              <w:spacing w:after="0"/>
              <w:rPr>
                <w:sz w:val="18"/>
                <w:szCs w:val="18"/>
                <w:color w:val="auto"/>
              </w:rPr>
            </w:pPr>
          </w:p>
        </w:tc>
        <w:tc>
          <w:tcPr>
            <w:tcW w:w="3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9,079,511</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20" w:type="dxa"/>
            <w:vAlign w:val="bottom"/>
            <w:vMerge w:val="restart"/>
          </w:tcPr>
          <w:p>
            <w:pPr>
              <w:jc w:val="right"/>
              <w:ind w:right="1592"/>
              <w:spacing w:after="0"/>
              <w:rPr>
                <w:sz w:val="20"/>
                <w:szCs w:val="20"/>
                <w:color w:val="auto"/>
              </w:rPr>
            </w:pPr>
            <w:r>
              <w:rPr>
                <w:rFonts w:ascii="Arial" w:cs="Arial" w:eastAsia="Arial" w:hAnsi="Arial"/>
                <w:sz w:val="18"/>
                <w:szCs w:val="18"/>
                <w:color w:val="auto"/>
              </w:rPr>
              <w:t>8</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20" w:type="dxa"/>
            <w:vAlign w:val="bottom"/>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Tenant Leasing</w:t>
      </w:r>
    </w:p>
    <w:p>
      <w:pPr>
        <w:spacing w:after="0" w:line="225" w:lineRule="exact"/>
        <w:rPr>
          <w:sz w:val="20"/>
          <w:szCs w:val="20"/>
          <w:color w:val="auto"/>
        </w:rPr>
      </w:pPr>
    </w:p>
    <w:p>
      <w:pPr>
        <w:jc w:val="both"/>
        <w:ind w:firstLine="420"/>
        <w:spacing w:after="0" w:line="291" w:lineRule="auto"/>
        <w:rPr>
          <w:sz w:val="20"/>
          <w:szCs w:val="20"/>
          <w:color w:val="auto"/>
        </w:rPr>
      </w:pPr>
      <w:r>
        <w:rPr>
          <w:rFonts w:ascii="Arial" w:cs="Arial" w:eastAsia="Arial" w:hAnsi="Arial"/>
          <w:sz w:val="16"/>
          <w:szCs w:val="16"/>
          <w:color w:val="auto"/>
        </w:rPr>
        <w:t>The Company has pursued the origination of CTL transactions by structuring purchase/leasebacks and by acquiring facilities subject to existing long-term net leases. In a typical purchase/leaseback transaction, the Company purchases a corporation's facility and leases it back to that corporation subject to a long-term net lease. This structure allows the corporate customer to reinvest the proceeds from the sale of its facilities into its core business, while the Company benefits from a long term income stream. The Company generally intends to hold its CTL assets for long-term investment. However, subject to certain tax restrictions, the Company may dispose of assets if it deems the disposition to be in the Company's best interests and may either reinvest the disposition proceeds, use the proceeds to reduce debt, or distribute the proceeds to shareholders.</w:t>
      </w:r>
    </w:p>
    <w:p>
      <w:pPr>
        <w:spacing w:after="0" w:line="174" w:lineRule="exact"/>
        <w:rPr>
          <w:sz w:val="20"/>
          <w:szCs w:val="20"/>
          <w:color w:val="auto"/>
        </w:rPr>
      </w:pPr>
    </w:p>
    <w:p>
      <w:pPr>
        <w:jc w:val="both"/>
        <w:ind w:firstLine="506"/>
        <w:spacing w:after="0" w:line="268" w:lineRule="auto"/>
        <w:rPr>
          <w:sz w:val="20"/>
          <w:szCs w:val="20"/>
          <w:color w:val="auto"/>
        </w:rPr>
      </w:pPr>
      <w:r>
        <w:rPr>
          <w:rFonts w:ascii="Arial" w:cs="Arial" w:eastAsia="Arial" w:hAnsi="Arial"/>
          <w:sz w:val="18"/>
          <w:szCs w:val="18"/>
          <w:color w:val="auto"/>
        </w:rPr>
        <w:t>Under a typical net lease agreement, the corporate customer agrees to pay a base monthly operating lease payment and all facility operating expenses (including taxes, maintenance and insurance).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generally seeks corporate customers with the following characteristics:</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Established companies with stable core businesses or market leaders in growing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Investment-grade credit strength or appropriate credit enhancements if corporate credit strength is not sufficient on a stand-alone basis.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Commitments to the facilities that are mission-critical to their ongoing businesses.</w:t>
      </w:r>
    </w:p>
    <w:p>
      <w:pPr>
        <w:spacing w:after="0" w:line="225"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i w:val="1"/>
          <w:iCs w:val="1"/>
          <w:color w:val="auto"/>
        </w:rPr>
        <w:t>Summary of Tenant Credit Characteristics</w:t>
      </w:r>
      <w:r>
        <w:rPr>
          <w:rFonts w:ascii="Arial" w:cs="Arial" w:eastAsia="Arial" w:hAnsi="Arial"/>
          <w:sz w:val="18"/>
          <w:szCs w:val="18"/>
          <w:color w:val="auto"/>
        </w:rPr>
        <w:t>—As of December 31, 2009, the Company had 95 CTL customers operating in more than 37 major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sectors, including transportation, business services, recreation, technology and communications. The majority of these customers are well-recognized national and international organizations, such as FedEx, IBM, Google, DirecTV and the U.S. Government.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2009, the Company's CTL portfolio has the following tenant credit characteristics ($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Annualized In-Place</w:t>
            </w: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 of In-Place</w:t>
            </w: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Operating</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Operating</w:t>
            </w: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7"/>
              </w:rPr>
              <w:t>Lease Income(1)</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Lease Income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Investment grade(2)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91,327</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Implied investment grade(3)</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19,549</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Non-investment grade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106,610</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Unrated</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91,009</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308,495</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tabs>
          <w:tab w:leader="none" w:pos="16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annualized GAAP operating lease income for leases in-place at December 31, 2009.</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tenant's credit rating is considered "Investment Grade" if the tenant or its guarantor has a published senior unsecured credit rating, and if such rating is not available, a corporate entity rating, of Baa3/BBB- or above by one or more of the three national rating agencies.</w:t>
      </w:r>
    </w:p>
    <w:p>
      <w:pPr>
        <w:spacing w:after="0" w:line="111" w:lineRule="exact"/>
        <w:rPr>
          <w:rFonts w:ascii="Arial" w:cs="Arial" w:eastAsia="Arial" w:hAnsi="Arial"/>
          <w:sz w:val="14"/>
          <w:szCs w:val="14"/>
          <w:color w:val="auto"/>
        </w:rPr>
      </w:pPr>
    </w:p>
    <w:p>
      <w:pPr>
        <w:ind w:left="1680" w:hanging="531"/>
        <w:spacing w:after="0" w:line="318" w:lineRule="auto"/>
        <w:tabs>
          <w:tab w:leader="none" w:pos="16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consider a tenant's credit rating to be "Implied Investment Grade" if it is 100% owned by an investment-grade parent or it has no published ratings, but has credit characteristics that the Company believes are consistent with other companies that have an investment grade senior unsecured credit ratings. An example is Google,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i w:val="1"/>
          <w:iCs w:val="1"/>
          <w:color w:val="auto"/>
        </w:rPr>
        <w:t>Summary of CTL Asset Types</w:t>
      </w:r>
      <w:r>
        <w:rPr>
          <w:rFonts w:ascii="Arial" w:cs="Arial" w:eastAsia="Arial" w:hAnsi="Arial"/>
          <w:sz w:val="18"/>
          <w:szCs w:val="18"/>
          <w:color w:val="auto"/>
        </w:rPr>
        <w:t>—As of December 31, 2009, the Company owned 356 office, industrial, entertainment, hotel and retail facilities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net leases to 95 customers, comprising 38.8 million square feet in 39 states. Information regarding the Company's CTL assets as of December 31, 2009 is set forth below:</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 of In-Place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Operating Lease</w:t>
            </w:r>
          </w:p>
        </w:tc>
        <w:tc>
          <w:tcPr>
            <w:tcW w:w="9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2"/>
              </w:rPr>
              <w:t>Leases</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Income(1)</w:t>
            </w:r>
          </w:p>
        </w:tc>
        <w:tc>
          <w:tcPr>
            <w:tcW w:w="160" w:type="dxa"/>
            <w:vAlign w:val="bottom"/>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5"/>
              </w:rPr>
              <w:t>Revenue(2)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Office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Industrial/R&amp;D</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29.3%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Entertainment/Leisure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Retail</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Hotel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40" w:type="dxa"/>
            <w:vAlign w:val="bottom"/>
            <w:gridSpan w:val="2"/>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tabs>
          <w:tab w:leader="none" w:pos="16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a percentage of annualized GAAP operating lease income for leases in-place at December 31, 2009.</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Reflects annualized GAAP operating lease income for leases in-place at December 31, 2009 as a percentage of annualized total revenue for the quarter ended December 31, 2009.</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Summary of CTL Asset Lease Expirations</w:t>
      </w:r>
      <w:r>
        <w:rPr>
          <w:rFonts w:ascii="Arial" w:cs="Arial" w:eastAsia="Arial" w:hAnsi="Arial"/>
          <w:sz w:val="16"/>
          <w:szCs w:val="16"/>
          <w:color w:val="auto"/>
        </w:rPr>
        <w:t>—As of December 31, 2009, lease expirations on the Company's CTL assets are as follows ($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Annualized In-Place</w:t>
            </w: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 of In-Place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Leases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Operating</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Operating</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61"/>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Year of Lease Expiration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Expiring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75"/>
              <w:spacing w:after="0"/>
              <w:rPr>
                <w:sz w:val="20"/>
                <w:szCs w:val="20"/>
                <w:color w:val="auto"/>
              </w:rPr>
            </w:pPr>
            <w:r>
              <w:rPr>
                <w:rFonts w:ascii="Arial" w:cs="Arial" w:eastAsia="Arial" w:hAnsi="Arial"/>
                <w:sz w:val="14"/>
                <w:szCs w:val="14"/>
                <w:b w:val="1"/>
                <w:bCs w:val="1"/>
                <w:color w:val="auto"/>
                <w:w w:val="85"/>
              </w:rPr>
              <w:t>Lease Income(1)</w:t>
            </w: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Lease Income</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Revenue(2)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9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2011</w:t>
            </w:r>
          </w:p>
        </w:tc>
        <w:tc>
          <w:tcPr>
            <w:tcW w:w="2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4,893</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9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17,791</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2013</w:t>
            </w:r>
          </w:p>
        </w:tc>
        <w:tc>
          <w:tcPr>
            <w:tcW w:w="2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9,009</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2015</w:t>
            </w:r>
          </w:p>
        </w:tc>
        <w:tc>
          <w:tcPr>
            <w:tcW w:w="2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9,830</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9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23,002</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2017</w:t>
            </w:r>
          </w:p>
        </w:tc>
        <w:tc>
          <w:tcPr>
            <w:tcW w:w="2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37,739</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12.2%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9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2019</w:t>
            </w:r>
          </w:p>
        </w:tc>
        <w:tc>
          <w:tcPr>
            <w:tcW w:w="2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7,823</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and thereafter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168,554</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4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gridSpan w:val="3"/>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308,495</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 years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tabs>
          <w:tab w:leader="none" w:pos="16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annualized GAAP operating lease income for leases in-place at December 31, 2009.</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the percentage of annualized GAAP operating lease income for leases in-place at December 31, 2009 as a percentage of annualized total revenue for the quarter ended December 31, 2009.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Other Activities</w:t>
      </w:r>
    </w:p>
    <w:p>
      <w:pPr>
        <w:spacing w:after="0" w:line="231" w:lineRule="exact"/>
        <w:rPr>
          <w:sz w:val="20"/>
          <w:szCs w:val="20"/>
          <w:color w:val="auto"/>
        </w:rPr>
      </w:pPr>
    </w:p>
    <w:p>
      <w:pPr>
        <w:jc w:val="both"/>
        <w:ind w:firstLine="404"/>
        <w:spacing w:after="0" w:line="306" w:lineRule="auto"/>
        <w:rPr>
          <w:sz w:val="20"/>
          <w:szCs w:val="20"/>
          <w:color w:val="auto"/>
        </w:rPr>
      </w:pPr>
      <w:r>
        <w:rPr>
          <w:rFonts w:ascii="Arial" w:cs="Arial" w:eastAsia="Arial" w:hAnsi="Arial"/>
          <w:sz w:val="16"/>
          <w:szCs w:val="16"/>
          <w:color w:val="auto"/>
        </w:rPr>
        <w:t>The Company 's investment, financing and conflicts of interests policies are managed under the ultimate supervision of the Company's Board of Directors. The Company can amend, revise or eliminate these policies at anytime without a vote of shareholders. The Company currently intends to make investments in a manner consistent with the requirements of the Internal Revenue Code of 1986, as amended (the "Code") for the Company to qualify as a REIT.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Restrictions or Limitations</w:t>
      </w:r>
    </w:p>
    <w:p>
      <w:pPr>
        <w:spacing w:after="0" w:line="231" w:lineRule="exact"/>
        <w:rPr>
          <w:sz w:val="20"/>
          <w:szCs w:val="20"/>
          <w:color w:val="auto"/>
        </w:rPr>
      </w:pPr>
    </w:p>
    <w:p>
      <w:pPr>
        <w:jc w:val="both"/>
        <w:ind w:firstLine="370"/>
        <w:spacing w:after="0" w:line="332" w:lineRule="auto"/>
        <w:rPr>
          <w:sz w:val="20"/>
          <w:szCs w:val="20"/>
          <w:color w:val="auto"/>
        </w:rPr>
      </w:pPr>
      <w:r>
        <w:rPr>
          <w:rFonts w:ascii="Arial" w:cs="Arial" w:eastAsia="Arial" w:hAnsi="Arial"/>
          <w:sz w:val="16"/>
          <w:szCs w:val="16"/>
          <w:color w:val="auto"/>
        </w:rPr>
        <w:t>The Company does not have any prescribed allocation among investments or product lines. Instead, the Company focuses on corporate and real estate credit underwriting to develop an analysis of the risk/reward ratios in determining the pricing and advisability of each particular transaction.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23"/>
        <w:spacing w:after="0" w:line="289" w:lineRule="auto"/>
        <w:rPr>
          <w:sz w:val="20"/>
          <w:szCs w:val="20"/>
          <w:color w:val="auto"/>
        </w:rPr>
      </w:pPr>
      <w:r>
        <w:rPr>
          <w:rFonts w:ascii="Arial" w:cs="Arial" w:eastAsia="Arial" w:hAnsi="Arial"/>
          <w:sz w:val="16"/>
          <w:szCs w:val="16"/>
          <w:color w:val="auto"/>
        </w:rPr>
        <w:t>The Company believes that it is not, and intends to conduct its operations so as not to become, regulated as an investment company under the Investment Company Act. The Investment Company Act generally exempts entities that are "primarily engaged in purchasing or otherwise acquiring mortgages and other liens on and interests in real estate" (collectively, "Qualifying Interests"). The Company intends to rely on current interpretations of the Securities and Exchange Commission in an effort to qualify for this exemption. Based on these interpretations, the Company, among other things, must maintain at least 55% of its assets in Qualifying Interests and at least 25% of its assets in real estate- related assets (subject to reduction to the extent the Company invests more than 55% of its assets in Qualifying Interests). Generally, the Company's senior mortgages, CTL assets and certain of its subordinated mortgages constitute Qualifying Interests. Subject to the limitations on ownership of certain types of assets and the gross income tests imposed by the Code, the Company also may invest in the securities of other REITs, other entities engaged in real estate activities or other issuers, including for the purpose of exercising control over such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firstLine="463"/>
        <w:spacing w:after="0" w:line="268" w:lineRule="auto"/>
        <w:rPr>
          <w:sz w:val="20"/>
          <w:szCs w:val="20"/>
          <w:color w:val="auto"/>
        </w:rPr>
      </w:pPr>
      <w:r>
        <w:rPr>
          <w:rFonts w:ascii="Arial" w:cs="Arial" w:eastAsia="Arial" w:hAnsi="Arial"/>
          <w:sz w:val="18"/>
          <w:szCs w:val="18"/>
          <w:color w:val="auto"/>
        </w:rPr>
        <w:t>The Company operates in a competitive market. See Item 1a—"Risk factors—We compete with a variety of financing sources for our customers," for a discussion of how we may be affected by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operations of the Company are subject, in certain instances, to supervision and regulation by state and federal governmental authorities and may be subject to various laws and judicial and administrative decisions imposing various requirements and restrictions, which, among other things: (1) regulate credit granting activities; (2) establish maximum interest rates, finance charges and other charges; (3) require disclosures to customers; (4) govern secured transactions; and (5) set collection, foreclosure, repossession and claims-handling procedures and other trade practices. Although most states do not regulate commercial finance, certain states impose limitations on interest rates and other charges and on certain collection practices and creditor remedies, and require licensing of lenders and financiers and adequate disclosure of certain contract terms. The Company is also required to comply with certain provisions of the Equal Credit Opportunity Act that are applicable to commercial loans.</w:t>
      </w:r>
    </w:p>
    <w:p>
      <w:pPr>
        <w:spacing w:after="0" w:line="172"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8"/>
          <w:szCs w:val="18"/>
          <w:color w:val="auto"/>
        </w:rPr>
        <w:t>In the judgment of management, existing statutes and regulations have not had a material adverse effect on the business conducted by the Company. It is not possible at this time to forecast the exact nature of any future legislation, regulations, judicial decisions, orders or interpretations, nor their impact upon the future business, financial condition or results of operations or prospects of the Company.</w:t>
      </w:r>
    </w:p>
    <w:p>
      <w:pPr>
        <w:spacing w:after="0" w:line="194"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Company has elected and expects to continue to qualify to be taxed as a REIT under Section 856 through 860 of the Code. As a REIT, the Company must generally distribute at least 90% of its net taxable income, excluding capital gains, to its stockholders each year. In addition, the Company must distribute 100% of its net taxable income each year to avoid paying federal income taxes. REITs are also subject to a number of organizational and operational requirements in order to elect and maintain REIT qualification. These requirements include specific share ownership tests and asset and gross income tests. If the Company fails to qualify as a REIT in any taxable year, the Company will be subject to federal income tax (including any applicable alternative minimum tax) on its net taxable income at regular corporate tax rates. Even if the Company qualifies for taxation as a REIT, the Company may be subject to state and local taxes and to federal income tax and excise tax on its undistributed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31" w:lineRule="exact"/>
        <w:rPr>
          <w:sz w:val="20"/>
          <w:szCs w:val="20"/>
          <w:color w:val="auto"/>
        </w:rPr>
      </w:pPr>
    </w:p>
    <w:p>
      <w:pPr>
        <w:jc w:val="both"/>
        <w:ind w:firstLine="372"/>
        <w:spacing w:after="0" w:line="298" w:lineRule="auto"/>
        <w:rPr>
          <w:sz w:val="20"/>
          <w:szCs w:val="20"/>
          <w:color w:val="auto"/>
        </w:rPr>
      </w:pPr>
      <w:r>
        <w:rPr>
          <w:rFonts w:ascii="Arial" w:cs="Arial" w:eastAsia="Arial" w:hAnsi="Arial"/>
          <w:sz w:val="16"/>
          <w:szCs w:val="16"/>
          <w:color w:val="auto"/>
        </w:rPr>
        <w:t xml:space="preserve">The Company has adopted a code of business conduct for all of its employees and directors, including the Company's chief executive officer, chief financial officer, other executive officers and personnel. A copy of the Company's code of conduct has been previously filed with the SEC and is incorporated by reference in this Annual Report on Form 10-K as Exhibit 14.0. The code of conduct is also available on the Company's website at </w:t>
      </w:r>
      <w:r>
        <w:rPr>
          <w:rFonts w:ascii="Arial" w:cs="Arial" w:eastAsia="Arial" w:hAnsi="Arial"/>
          <w:sz w:val="16"/>
          <w:szCs w:val="16"/>
          <w:i w:val="1"/>
          <w:iCs w:val="1"/>
          <w:color w:val="auto"/>
        </w:rPr>
        <w:t>www.istarfinancial.com</w:t>
      </w:r>
      <w:r>
        <w:rPr>
          <w:rFonts w:ascii="Arial" w:cs="Arial" w:eastAsia="Arial" w:hAnsi="Arial"/>
          <w:sz w:val="16"/>
          <w:szCs w:val="16"/>
          <w:color w:val="auto"/>
        </w:rPr>
        <w:t>. The Company intends to post on its website material changes to, or waivers from, its code of conduct, if any, within two days of any such event. As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there were no waivers or changes since adoption of the current code of conduct in October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8"/>
          <w:szCs w:val="18"/>
          <w:color w:val="auto"/>
        </w:rPr>
        <w:t>As of January 29, 2010, the Company had 247 employees and believes its relationships with its employees to be good. The Company's employees are not represented by a collective bargaining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jc w:val="both"/>
        <w:ind w:firstLine="379"/>
        <w:spacing w:after="0" w:line="289" w:lineRule="auto"/>
        <w:rPr>
          <w:sz w:val="20"/>
          <w:szCs w:val="20"/>
          <w:color w:val="auto"/>
        </w:rPr>
      </w:pPr>
      <w:r>
        <w:rPr>
          <w:rFonts w:ascii="Arial" w:cs="Arial" w:eastAsia="Arial" w:hAnsi="Arial"/>
          <w:sz w:val="16"/>
          <w:szCs w:val="16"/>
          <w:color w:val="auto"/>
        </w:rPr>
        <w:t xml:space="preserve">In addition to this Annual Report, the Company files quarterly and special reports, proxy statements and other information with the SEC. All documents are filed with the SEC and are available free of charge on the Company's corporate website, which is </w:t>
      </w:r>
      <w:r>
        <w:rPr>
          <w:rFonts w:ascii="Arial" w:cs="Arial" w:eastAsia="Arial" w:hAnsi="Arial"/>
          <w:sz w:val="16"/>
          <w:szCs w:val="16"/>
          <w:i w:val="1"/>
          <w:iCs w:val="1"/>
          <w:color w:val="auto"/>
        </w:rPr>
        <w:t>www.istarfinancial.com.</w:t>
      </w:r>
      <w:r>
        <w:rPr>
          <w:rFonts w:ascii="Arial" w:cs="Arial" w:eastAsia="Arial" w:hAnsi="Arial"/>
          <w:sz w:val="16"/>
          <w:szCs w:val="16"/>
          <w:color w:val="auto"/>
        </w:rPr>
        <w:t xml:space="preserve"> Through the Company's website, the Company makes available free of charge its annual proxy statement, Annual Reports on Form 10-K, Quarterly Reports on Form 10-Q, Current Reports on Form 8-K, and amendments to those Reports filed or furnished pursuant to Section 13(a) or 15(d) of the Securities Exchange Act of 1934, as amended, as soon as reasonably practicable after the Company electronically files such material with, or furnishes it to, the SEC. You may also read and copy any document filed at the public reference facilities at 100 F Street, N.E., Washington, D.C. 25049. Please call the SEC at (800) SEC-0330 for further information about the public reference facilities. These documents also may be accessed through the SEC's electronic data gathering, analysis and retrieval system ("EDGAR") via electronic means, including on the SEC's homepage, which can be found at </w:t>
      </w:r>
      <w:r>
        <w:rPr>
          <w:rFonts w:ascii="Arial" w:cs="Arial" w:eastAsia="Arial" w:hAnsi="Arial"/>
          <w:sz w:val="16"/>
          <w:szCs w:val="16"/>
          <w:i w:val="1"/>
          <w:iCs w:val="1"/>
          <w:color w:val="auto"/>
        </w:rPr>
        <w:t>www.sec.gov.</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jc w:val="both"/>
        <w:ind w:firstLine="400"/>
        <w:spacing w:after="0" w:line="256" w:lineRule="auto"/>
        <w:rPr>
          <w:sz w:val="20"/>
          <w:szCs w:val="20"/>
          <w:color w:val="auto"/>
        </w:rPr>
      </w:pPr>
      <w:r>
        <w:rPr>
          <w:rFonts w:ascii="Arial" w:cs="Arial" w:eastAsia="Arial" w:hAnsi="Arial"/>
          <w:sz w:val="18"/>
          <w:szCs w:val="18"/>
          <w:color w:val="auto"/>
        </w:rPr>
        <w:t>In addition to the other information in this document, you should consider carefully the following risk factors in evaluating an investment in our securities. Any of these risks or the occurrence of any one or more of the uncertainties described below could have a material adverse effect on our business, financial condition, results of operations, cash flows, and trading price of our common stock. For purposes of these risk factors, the terms "we," "our" and "us" refer to iStar Financial Inc. and its consolidated subsidiaries, unless the context indicates otherwise.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general economic conditions have and may continue to adversely affect our business.</w:t>
      </w:r>
    </w:p>
    <w:p>
      <w:pPr>
        <w:spacing w:after="0" w:line="231" w:lineRule="exact"/>
        <w:rPr>
          <w:sz w:val="20"/>
          <w:szCs w:val="20"/>
          <w:color w:val="auto"/>
        </w:rPr>
      </w:pPr>
    </w:p>
    <w:p>
      <w:pPr>
        <w:jc w:val="both"/>
        <w:ind w:firstLine="484"/>
        <w:spacing w:after="0" w:line="289" w:lineRule="auto"/>
        <w:rPr>
          <w:sz w:val="20"/>
          <w:szCs w:val="20"/>
          <w:color w:val="auto"/>
        </w:rPr>
      </w:pPr>
      <w:r>
        <w:rPr>
          <w:rFonts w:ascii="Arial" w:cs="Arial" w:eastAsia="Arial" w:hAnsi="Arial"/>
          <w:sz w:val="16"/>
          <w:szCs w:val="16"/>
          <w:color w:val="auto"/>
        </w:rPr>
        <w:t>Our success is generally dependent upon economic conditions in the U.S. and, in particular, the geographic areas in which a substantial number of our investments are located. The recessionary changes in national economic conditions and in the economic conditions of the regions in which we conduct operations have had an adverse effect on our business. In addition, the commercial real estate industry and financial markets in general have been negatively impacted by volatility in the capital markets, significant declines in asset values and lack of liquidity. These factors have resulted in numerous negative implications to our business, including the inability of our customers to access capital to repay their obligations to us resulting in material increases in non-performing loans, our limited ability to execute asset sales, declines in the market price of our common stock, and the reduction in our unsecured corporate credit ratings to below investment grade, leading to increases in our financing costs and an inability to access the unsecured debt markets. These market and economic factors have combined to adversely impact our financial performance and our ability to pay dividends and may continue to do so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significant indebtedness and limitations on our liquidity and ability to raise capital may adversely affect us.</w:t>
      </w:r>
    </w:p>
    <w:p>
      <w:pPr>
        <w:spacing w:after="0" w:line="231" w:lineRule="exact"/>
        <w:rPr>
          <w:sz w:val="20"/>
          <w:szCs w:val="20"/>
          <w:color w:val="auto"/>
        </w:rPr>
      </w:pPr>
    </w:p>
    <w:p>
      <w:pPr>
        <w:jc w:val="both"/>
        <w:ind w:firstLine="466"/>
        <w:spacing w:after="0" w:line="285" w:lineRule="auto"/>
        <w:rPr>
          <w:sz w:val="20"/>
          <w:szCs w:val="20"/>
          <w:color w:val="auto"/>
        </w:rPr>
      </w:pPr>
      <w:r>
        <w:rPr>
          <w:rFonts w:ascii="Arial" w:cs="Arial" w:eastAsia="Arial" w:hAnsi="Arial"/>
          <w:sz w:val="16"/>
          <w:szCs w:val="16"/>
          <w:color w:val="auto"/>
        </w:rPr>
        <w:t>Sufficient liquidity is critical to the management of our balance sheet and our ability to meet our financing commitments and scheduled debt payments. Historically, our primary sources of liquidity have been our bank credit facilities, issuances of debt and equity securities in capital markets transactions, repayments of our loans and sales of assets. However, liquidity in the currently dislocated capital markets has been severely constrained since the beginning of the credit crisis, increasing our cost of funds and effectively eliminating our access to the unsecured debt markets—previously our primary source of debt financing. We have sought, and will continue to seek, to raise capital through means other than unsecured debt financing, such as secured debt financing, asset sales, joint ventures and other third party capital arrangements. For the upcoming year, we will require significant capital to repay $586.8 million of our 2010 debt maturities and to fund our investment activities and operating expenses, including approximately $430.0 million of unfunded commitments primarily associated with our construction loan portfolio. Furthermore, if we do not pay down our existing $1.00 billion First Priority Credit Agreement by $500.0 million in September 2010, then under the terms of the credit agreement, we would be required to apply payments of principal and net sale proceeds received by us in respect of assets constituting collateral for our obligations under that agreement toward the mandatory prepayment of the First Priority Credit Agreement, and such prepayment amounts would not be available to us for other purposes. In 2011, we have approximately $4.02 billion of scheduled debt maturities. Continued disruption in the global credit markets or further deterioration in those markets may have a material adverse effect on our ability to repay or refinance our borrowings. Although we currently expect our sources of capital to be sufficient to meet our near term liquidity needs and are actively exploring alternatives to enable us to meet our long-term debt maturities, there can be no assurance that our liquidity requirements will continue to be satisfied or that we will be able to meet our long term liquidity needs.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suffered adverse consequences as a result of our credit ratings being downgraded.</w:t>
      </w:r>
    </w:p>
    <w:p>
      <w:pPr>
        <w:spacing w:after="0" w:line="231"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Our borrowing costs and our access to the debt capital markets depend significantly on our credit ratings. Our unsecured corporate credit ratings were reduced to below investment grade by the major national credit rating agencies, primarily due to concerns over worsening credit metrics in our loan portfolio. These reductions in our credit ratings, together with the current dislocation in the capital markets in general, have increased our borrowing costs, limited our access to the capital markets and caused restrictive covenants in our public debt instruments to become operative. Further, these downgrades could result in a decision by the lenders under our existing bank credit facilities not to extend such credit facilities after their expirations. These reductions in our credit ratings have increased our cost of funds which has reduced our earnings and adversely impacted our liquidity and competitive positions. Further downgrades could have additional adverse consequences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indebtedness could limit our flexibility and adversely affect our financial condition.</w:t>
      </w:r>
    </w:p>
    <w:p>
      <w:pPr>
        <w:spacing w:after="0" w:line="231"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Our ability to borrow under our secured credit facilities is dependent on maintaining compliance with various covenants, including a minimum tangible net worth covenant and specified financial ratios, such as fixed charge coverage, unencumbered assets to unsecured indebtedness, eligible collateral coverage and leverage. All of these covenants on the facilities are maintenance covenants and, if breached, could result in an acceleration of our facilities if a waiver or modification is not agreed upon with the requisite percentage of the unsecured lending group and the lenders on the other facilities.</w:t>
      </w:r>
    </w:p>
    <w:p>
      <w:pPr>
        <w:spacing w:after="0" w:line="167"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Our publicly held debt securities also contain covenants for fixed charge coverage and unencumbered assets to unsecured indebtedness ratios and our secured debt securities have an eligible collateral coverage requirement. The fixed charge coverage ratio in our publicly held securities is an incurrence test. If we do not meet the fixed charge coverage ratio, our ability to incur additional indebtedness will be restricted. The unencumbered asset to unsecured indebtedness covenant and the eligible collateral coverage covenant are maintenance covenants and, if breached and not cured within applicable cure periods, could result in acceleration of our publicly held debt unless a waiver or modification is agreed upon with the requisite percentage of the bondholders. Based on our unsecured credit ratings at December 31, 2009, the financial covenants in our publicly held debt securities, including the fixed charge coverage ratio and maintenance of unencumbered assets compared to unsecured indebtedness, are operative.</w:t>
      </w:r>
    </w:p>
    <w:p>
      <w:pPr>
        <w:spacing w:after="0" w:line="172"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Our secured credit facilities and our public debt securities contain cross-default provisions which would allow the lenders and the bondholders to declare an event of default and accelerate our indebtedness to them if we fail to pay amounts due in respect of our other recourse indebtedness in excess of specified thresholds. In addition, our secured credit facilities, unsecured credit facilities and the indentures governing our public debt securities provide that the lenders and bondholders may declare an event of default and accelerate our indebtedness to them if there is a nonpayment default under our other recourse indebtedness in excess of specified thresholds and, if the holders of the other indebtedness are permitted to accelerate, in the case of our secured credit facilities, or accelerate, in the case of our unsecured credit facilities and the bond indentures, the other recourse indebtedness.</w:t>
      </w:r>
    </w:p>
    <w:p>
      <w:pPr>
        <w:spacing w:after="0" w:line="174" w:lineRule="exact"/>
        <w:rPr>
          <w:sz w:val="20"/>
          <w:szCs w:val="20"/>
          <w:color w:val="auto"/>
        </w:rPr>
      </w:pPr>
    </w:p>
    <w:p>
      <w:pPr>
        <w:jc w:val="both"/>
        <w:ind w:firstLine="378"/>
        <w:spacing w:after="0" w:line="291" w:lineRule="auto"/>
        <w:rPr>
          <w:sz w:val="20"/>
          <w:szCs w:val="20"/>
          <w:color w:val="auto"/>
        </w:rPr>
      </w:pPr>
      <w:r>
        <w:rPr>
          <w:rFonts w:ascii="Arial" w:cs="Arial" w:eastAsia="Arial" w:hAnsi="Arial"/>
          <w:sz w:val="16"/>
          <w:szCs w:val="16"/>
          <w:color w:val="auto"/>
        </w:rPr>
        <w:t>Our current level of financial performance and credit metrics has put pressure on our ability to meet these financial covenants. In particular, our tangible net worth at December 31, 2009 was approximately $1.7 billion, which is not significantly above the financial covenant minimum requirement in our secured credit facilities of $1.5 billion. While we believe we are in compliance with our covenants as of the date of this report, there can be no assurance that we will be able to stay in compliance if our financial performance and credit metrics do not improve or if we do not have sufficient eligible assets to satisfy our collateral coverage covenants. In addition, we may be forced to take actions outside of management's operating strategy that will enable us to meet our covenants in the near term but may adversely affect our earnings in the longer term.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market conditions could adversely affect the market price of our common stock.</w:t>
      </w:r>
    </w:p>
    <w:p>
      <w:pPr>
        <w:spacing w:after="0" w:line="231"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auto"/>
        </w:rPr>
        <w:t>The market value of our common stock is based upon general stock and bond market conditions, as well as the market's perception of our growth potential, current and future expectations of our financial performance and prospects for payment of cash dividends by the Company. Consequently, our common stock may trade at prices that are higher or lower than our book value per share of common stock. The current economic conditions impacting financial markets and the commercial real estate industry combined with the our recent financial performance have resulted in a significant decline in the market price of our Common Stock. If our financial performance does not improve, the market price of our common stock could be further adversely impacted.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reserves for loan losses may prove inadequate, which could have a material adverse effect on our financial results.</w:t>
      </w:r>
    </w:p>
    <w:p>
      <w:pPr>
        <w:spacing w:after="0" w:line="231" w:lineRule="exact"/>
        <w:rPr>
          <w:sz w:val="20"/>
          <w:szCs w:val="20"/>
          <w:color w:val="auto"/>
        </w:rPr>
      </w:pPr>
    </w:p>
    <w:p>
      <w:pPr>
        <w:jc w:val="both"/>
        <w:ind w:firstLine="402"/>
        <w:spacing w:after="0" w:line="287" w:lineRule="auto"/>
        <w:rPr>
          <w:sz w:val="20"/>
          <w:szCs w:val="20"/>
          <w:color w:val="auto"/>
        </w:rPr>
      </w:pPr>
      <w:r>
        <w:rPr>
          <w:rFonts w:ascii="Arial" w:cs="Arial" w:eastAsia="Arial" w:hAnsi="Arial"/>
          <w:sz w:val="16"/>
          <w:szCs w:val="16"/>
          <w:color w:val="auto"/>
        </w:rPr>
        <w:t>We maintain financial reserves to protect against potential losses and conduct a review of the adequacy of these reserves on a quarterly basis. Our reserves reflect management's current judgment of the probability and severity of losses within our portfolio, based on this quarterly review. However, estimation of ultimate loan losses, provision expenses and loss reserves is a complex process and there can be no assurance that management's judgment will prove to be correct and that reserves will be adequate over time to protect against potential future losses. Such losses could be caused by factors including, but not limited to, unanticipated adverse changes in the economy or events adversely affecting specific assets, borrowers, industries in which our borrowers operate or markets in which our borrowers or their properties are located. In particular, our non-performing loans have increased materially, driven by the weak economy and the disruption of the credit markets which have adversely impacted the ability and willingness of many of our borrowers to service their debt and refinance our loans to them at maturity. We recorded significant provisions for loan losses in 2009 based upon the performance of our assets and conditions in the financial markets and overall economy. If our reserves for credit losses prove inadequate we may suffer additional losses which would have a material adverse effect on our financial performance and results of operations.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are required to make a number of judgments in applying accounting policies and different estimates and assumptions could result in changes to our financial condition and results of operations.</w:t>
      </w:r>
    </w:p>
    <w:p>
      <w:pPr>
        <w:spacing w:after="0" w:line="180" w:lineRule="exact"/>
        <w:rPr>
          <w:sz w:val="20"/>
          <w:szCs w:val="20"/>
          <w:color w:val="auto"/>
        </w:rPr>
      </w:pPr>
    </w:p>
    <w:p>
      <w:pPr>
        <w:jc w:val="both"/>
        <w:ind w:firstLine="435"/>
        <w:spacing w:after="0" w:line="255" w:lineRule="auto"/>
        <w:rPr>
          <w:sz w:val="20"/>
          <w:szCs w:val="20"/>
          <w:color w:val="auto"/>
        </w:rPr>
      </w:pPr>
      <w:r>
        <w:rPr>
          <w:rFonts w:ascii="Arial" w:cs="Arial" w:eastAsia="Arial" w:hAnsi="Arial"/>
          <w:sz w:val="18"/>
          <w:szCs w:val="18"/>
          <w:color w:val="auto"/>
        </w:rPr>
        <w:t>Material estimates that are particularly susceptible to significant change relate to our determination of the reserve for loan losses, the fair value of certain financial instruments (including loans and related collateral and investment securities) and the valuation of CTL, OREO and REHI assets and intangible assets. While we have identified those accounting policies that are considered critical and have procedures in place to facilitate the associated judgments, different assumptions in the application of these policies could have a material adverse effect on our financial performance and results of operations and actual results may differ materially from our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may fluctuate and may not be indicative of future quarterly performance.</w:t>
      </w:r>
    </w:p>
    <w:p>
      <w:pPr>
        <w:spacing w:after="0" w:line="231" w:lineRule="exact"/>
        <w:rPr>
          <w:sz w:val="20"/>
          <w:szCs w:val="20"/>
          <w:color w:val="auto"/>
        </w:rPr>
      </w:pPr>
    </w:p>
    <w:p>
      <w:pPr>
        <w:jc w:val="both"/>
        <w:ind w:firstLine="416"/>
        <w:spacing w:after="0" w:line="256" w:lineRule="auto"/>
        <w:rPr>
          <w:sz w:val="20"/>
          <w:szCs w:val="20"/>
          <w:color w:val="auto"/>
        </w:rPr>
      </w:pPr>
      <w:r>
        <w:rPr>
          <w:rFonts w:ascii="Arial" w:cs="Arial" w:eastAsia="Arial" w:hAnsi="Arial"/>
          <w:sz w:val="18"/>
          <w:szCs w:val="18"/>
          <w:color w:val="auto"/>
        </w:rPr>
        <w:t>Our quarterly operating results could fluctuate; therefore, reliance should not be placed on past quarterly results as indicative of our performance in future quarters. Factors that could cause quarterly operating results to fluctuate include, among others, variations in loan and CTL portfolio performance, levels of non-performing assets, market values of investments, costs associated with debt, general economic conditions, the state of the real estate and financial markets and the degree to which we encounter competition in our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have suffered losses when a borrower defaults on a loan and the underlying collateral is not sufficient, and we may suffer additional losses in the future.</w:t>
      </w:r>
    </w:p>
    <w:p>
      <w:pPr>
        <w:spacing w:after="0" w:line="180" w:lineRule="exact"/>
        <w:rPr>
          <w:sz w:val="20"/>
          <w:szCs w:val="20"/>
          <w:color w:val="auto"/>
        </w:rPr>
      </w:pPr>
    </w:p>
    <w:p>
      <w:pPr>
        <w:jc w:val="both"/>
        <w:ind w:firstLine="460"/>
        <w:spacing w:after="0" w:line="259" w:lineRule="auto"/>
        <w:rPr>
          <w:sz w:val="20"/>
          <w:szCs w:val="20"/>
          <w:color w:val="auto"/>
        </w:rPr>
      </w:pPr>
      <w:r>
        <w:rPr>
          <w:rFonts w:ascii="Arial" w:cs="Arial" w:eastAsia="Arial" w:hAnsi="Arial"/>
          <w:sz w:val="18"/>
          <w:szCs w:val="18"/>
          <w:color w:val="auto"/>
        </w:rPr>
        <w:t>We have suffered significant losses since the onset of the financial crisis arising from several factors, including general market conditions, reductions in collateral values, failures of borrowers to comply with covenants and guarantees, borrower inability and unwillingness to repay their loans and increasing costs of foreclosure. We may continue to suffer from these factors in the future, as discussed below.</w:t>
      </w:r>
    </w:p>
    <w:p>
      <w:pPr>
        <w:spacing w:after="0" w:line="194"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In the event of a default by a borrower on a non-recourse loan, we will only have recourse to the real estate-related assets collateralizing the loan. If the underlying collateral value is less than the loan amount, we will suffer a loss. Conversely, we sometimes make loans that are unsecured or are secured only by equity interests in the borrowing entities. These loans are subject to the risk that other lenders may be directly secured by the real estate assets of the borrower. In the event of a default, those collateralized lenders would have priority over us with respect to the proceeds of a sale of the underlying real estate. In cases described above, we may lack control over the underlying asset collateralizing our loan or the underlying assets of the borrower prior to a default, and as a result the value of the collateral may be reduced by acts or omissions by owners or managers of the assets.</w:t>
      </w:r>
    </w:p>
    <w:p>
      <w:pPr>
        <w:spacing w:after="0" w:line="174" w:lineRule="exact"/>
        <w:rPr>
          <w:sz w:val="20"/>
          <w:szCs w:val="20"/>
          <w:color w:val="auto"/>
        </w:rPr>
      </w:pPr>
    </w:p>
    <w:p>
      <w:pPr>
        <w:jc w:val="both"/>
        <w:ind w:firstLine="379"/>
        <w:spacing w:after="0" w:line="291" w:lineRule="auto"/>
        <w:rPr>
          <w:sz w:val="20"/>
          <w:szCs w:val="20"/>
          <w:color w:val="auto"/>
        </w:rPr>
      </w:pPr>
      <w:r>
        <w:rPr>
          <w:rFonts w:ascii="Arial" w:cs="Arial" w:eastAsia="Arial" w:hAnsi="Arial"/>
          <w:sz w:val="16"/>
          <w:szCs w:val="16"/>
          <w:color w:val="auto"/>
        </w:rPr>
        <w:t>We sometimes obtain individual or corporate guarantees from borrowers or their affiliates, which are not secured. In cases where guarantees are not fully or partially secured, we typically rely on financial covenants from borrowers and guarantors which are designed to require the borrower or guarantor to maintain certain levels of creditworthiness. Where we do not have recourse to specific collateral pledged to satisfy such guarantees or recourse loans, we will only have recourse as an unsecured creditor to the general assets of the borrower or guarantor, some or all of which may be pledged to satisfy other lenders. There can be no assurance that a borrower or guarantor will comply with its financial covenants, or that sufficient assets will be available to pay amounts owed to us under our loans and guarantees. As a result of these factors, we may suffer additional losses which could have a material adverse effect on our financial performance.</w:t>
      </w:r>
    </w:p>
    <w:p>
      <w:pPr>
        <w:spacing w:after="0" w:line="174" w:lineRule="exact"/>
        <w:rPr>
          <w:sz w:val="20"/>
          <w:szCs w:val="20"/>
          <w:color w:val="auto"/>
        </w:rPr>
      </w:pPr>
    </w:p>
    <w:p>
      <w:pPr>
        <w:jc w:val="both"/>
        <w:ind w:firstLine="433"/>
        <w:spacing w:after="0" w:line="291" w:lineRule="auto"/>
        <w:rPr>
          <w:sz w:val="20"/>
          <w:szCs w:val="20"/>
          <w:color w:val="auto"/>
        </w:rPr>
      </w:pPr>
      <w:r>
        <w:rPr>
          <w:rFonts w:ascii="Arial" w:cs="Arial" w:eastAsia="Arial" w:hAnsi="Arial"/>
          <w:sz w:val="16"/>
          <w:szCs w:val="16"/>
          <w:color w:val="auto"/>
        </w:rPr>
        <w:t>In the event of a borrower bankruptcy, we may not have full recourse to the assets of the borrower in order to satisfy our loan. In addition, certain of our loans are subordinate to other debt of the borrower. If a borrower defaults on our loan or on debt senior to our loan, or in the event of a borrower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relating to borrowers. Bankruptcy and borrower litigation can significantly increase collection costs and losses and the time needed for us to acquire title to the underlying collateral, during which time the collateral may decline in value, causing us to suffer additional losses.</w:t>
      </w:r>
    </w:p>
    <w:p>
      <w:pPr>
        <w:spacing w:after="0" w:line="174" w:lineRule="exact"/>
        <w:rPr>
          <w:sz w:val="20"/>
          <w:szCs w:val="20"/>
          <w:color w:val="auto"/>
        </w:rPr>
      </w:pPr>
    </w:p>
    <w:p>
      <w:pPr>
        <w:jc w:val="both"/>
        <w:ind w:firstLine="512"/>
        <w:spacing w:after="0" w:line="298" w:lineRule="auto"/>
        <w:rPr>
          <w:sz w:val="20"/>
          <w:szCs w:val="20"/>
          <w:color w:val="auto"/>
        </w:rPr>
      </w:pPr>
      <w:r>
        <w:rPr>
          <w:rFonts w:ascii="Arial" w:cs="Arial" w:eastAsia="Arial" w:hAnsi="Arial"/>
          <w:sz w:val="16"/>
          <w:szCs w:val="16"/>
          <w:color w:val="auto"/>
        </w:rPr>
        <w:t>If the value of collateral underlying our loan declines or interest rates increase during the term of our loan, a borrower may not be able to obtain the necessary funds to repay our loan at maturity through refinancing. Decreasing collateral value and/or increasing interest rates may hinder a borrower's ability to refinance our loan because the underlying property cannot satisfy the debt service coverage requirements necessary to obtain new financing. If a borrower is unable to repay our loan at maturity, we could suffer additional loss which may adversely impact our financial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additional risks associated with loan participations.</w:t>
      </w:r>
    </w:p>
    <w:p>
      <w:pPr>
        <w:spacing w:after="0" w:line="231"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8"/>
          <w:szCs w:val="18"/>
          <w:color w:val="auto"/>
        </w:rPr>
        <w:t>Some of our loans are participation interests or co-lender arrangements in which we share the rights, obligations and benefits of the loan with other lenders. We may need the consent of these parties to exercise our rights under such loans, including rights with respect to amendment of loan documentation, enforcement proceedings in the event of default and the institution of, and control over, foreclosure proceedings. Similarly, a majority of the participants may be able to take actions to which we object but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which we will be bound if our participation interest represents a minority interest. We may be adversely affected by this lack of full control.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additional risks associated with construction lending.</w:t>
      </w:r>
    </w:p>
    <w:p>
      <w:pPr>
        <w:spacing w:after="0" w:line="231" w:lineRule="exact"/>
        <w:rPr>
          <w:sz w:val="20"/>
          <w:szCs w:val="20"/>
          <w:color w:val="auto"/>
        </w:rPr>
      </w:pPr>
    </w:p>
    <w:p>
      <w:pPr>
        <w:jc w:val="both"/>
        <w:ind w:firstLine="393"/>
        <w:spacing w:after="0" w:line="254" w:lineRule="auto"/>
        <w:rPr>
          <w:sz w:val="20"/>
          <w:szCs w:val="20"/>
          <w:color w:val="auto"/>
        </w:rPr>
      </w:pPr>
      <w:r>
        <w:rPr>
          <w:rFonts w:ascii="Arial" w:cs="Arial" w:eastAsia="Arial" w:hAnsi="Arial"/>
          <w:sz w:val="18"/>
          <w:szCs w:val="18"/>
          <w:color w:val="auto"/>
        </w:rPr>
        <w:t>Our loan portfolio includes loans made to developers to construct commercial and residential projects. The primary risks to us of construction loans are the potential for cost over-runs, the developer's failure to meet a project delivery schedule and the inability of a borrower to sell or refinance the project at completion and repay our loan. Further, the ability of many of our borrowers to sell units in residential projects has been adversely impacted by current economic conditions and lack of end loan financing available to residential unit purchasers. These risks could require us to fund more money than we originally anticipated in order to complete and carry the project and have caused and could continue to cause the developers to lose leases and/or sales contracts, which may cause us to suffer additional losses on our loans.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losses if the creditworthiness of our corporate tenants deteriorates and they are unable to meet their lease obligations.</w:t>
      </w:r>
    </w:p>
    <w:p>
      <w:pPr>
        <w:spacing w:after="0" w:line="254" w:lineRule="exact"/>
        <w:rPr>
          <w:sz w:val="20"/>
          <w:szCs w:val="20"/>
          <w:color w:val="auto"/>
        </w:rPr>
      </w:pPr>
    </w:p>
    <w:p>
      <w:pPr>
        <w:jc w:val="both"/>
        <w:ind w:firstLine="368"/>
        <w:spacing w:after="0" w:line="286" w:lineRule="auto"/>
        <w:rPr>
          <w:sz w:val="20"/>
          <w:szCs w:val="20"/>
          <w:color w:val="auto"/>
        </w:rPr>
      </w:pPr>
      <w:r>
        <w:rPr>
          <w:rFonts w:ascii="Arial" w:cs="Arial" w:eastAsia="Arial" w:hAnsi="Arial"/>
          <w:sz w:val="16"/>
          <w:szCs w:val="16"/>
          <w:color w:val="auto"/>
        </w:rPr>
        <w:t>We own the properties leased to the tenants of our CTL assets and receive rents from the tenants during the terms of our leases. A tenant's ability to pay rent is determined by its creditworthiness, among other factors. If a tenant's credit deteriorates, the tenant may default on its obligations under our lease and may also become bankrupt. The bankruptcy or insolvency of our tenants or other failure to pay is likely to adversely affect the income produced by our CTL assets. If a tenant defaults, we may experience delays and incur substantial costs in enforcing our rights as landlord. If a tenant files for bankruptcy, we may not be able to evict the tenant solely because of such bankruptcy or failure to pay. A court, however, may authorize a tenant to reject and terminate its lease with us. In such a case, our claim against the tenant for unpaid, future rent would be subject to a statutory cap that might be substantially less than the remaining rent owed under the lease. In addition, certain amounts paid to us within 90 days prior to the tenant's bankruptcy filing could be required to be returned to the tenant's bankruptcy estate. In any event, it is highly unlikely that a bankrupt or insolvent tenant would pay in full amounts it owes us under a lease. In other circumstances, where a tenant's financial condition has become impaired, we may agree to partially or wholly terminate the lease in advance of the termination date in consideration for a lease termination fee that is likely less than the total contractual rental amount. Without regard to the manner in which the lease termination occurs, we are likely to incur additional costs in the form of tenant improvements and leasing commissions in our efforts to lease the space to a new tenant. In any of the foregoing circumstances, our financial performance could be materially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 lease defaults and lease terminations may adversely affect our revenue.</w:t>
      </w:r>
    </w:p>
    <w:p>
      <w:pPr>
        <w:spacing w:after="0" w:line="231"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Lease expirations and lease terminations may result in reduced revenues if the lease payments received from replacement corporate tenants are less than the lease payments received from the expiring or terminating corporate tenants. In addition, lease defaults or lease terminations by one or more significant corporate tenants or the failure of corporate tenants under expiring leases to elect to renew their leases, could cause us to experience long periods of vacancy with no revenue from a facility and to incur substantial capital expenditures and/or lease concessions in order to obtain replacement corporate tenants.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our asset concentration.</w:t>
      </w:r>
    </w:p>
    <w:p>
      <w:pPr>
        <w:spacing w:after="0" w:line="231"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Our portfolio consists primarily of large balance commercial real estate loans, OREO assets, REHI assets and corporate tenant leases. Our asset base is generally diversified by asset type, obligor, property type and geographic location. However, as of December 31, 2009, approximately 27.1% of the gross carrying value of our assets related to apartment/residential assets, 15.4% related to land, 13.3% related to office properties and 9.4% related to industrial properties. All of these types of collateral have been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adversely affected by the ongoing financial crisis. In addition, as of December 31, 2009, approximately 33.4% of the gross carrying value of our assets related to properties located in the western U.S., 18.7% related to properties located in the northeastern U.S. and 15.6% related to properties located in the southeastern U.S. These regions include areas such as Florida and California that have been particularly hard hit by the downturn in the residential real estate markets. Additionally, as of December 31, 2009, the Company had loans collateralized by in-progress condo construction assets that represented approximately 10.6% of the total investment portfolio. These loans typically do not generate cash flows and have unique additional risks related to such issues as cost overruns, delays and the ability to repay with proceeds through unit sales. We may suffer additional losses on our assets based on these concentrations.</w:t>
      </w:r>
    </w:p>
    <w:p>
      <w:pPr>
        <w:spacing w:after="0" w:line="174" w:lineRule="exact"/>
        <w:rPr>
          <w:sz w:val="20"/>
          <w:szCs w:val="20"/>
          <w:color w:val="auto"/>
        </w:rPr>
      </w:pPr>
    </w:p>
    <w:p>
      <w:pPr>
        <w:jc w:val="both"/>
        <w:ind w:firstLine="407"/>
        <w:spacing w:after="0" w:line="306" w:lineRule="auto"/>
        <w:rPr>
          <w:sz w:val="20"/>
          <w:szCs w:val="20"/>
          <w:color w:val="auto"/>
        </w:rPr>
      </w:pPr>
      <w:r>
        <w:rPr>
          <w:rFonts w:ascii="Arial" w:cs="Arial" w:eastAsia="Arial" w:hAnsi="Arial"/>
          <w:sz w:val="16"/>
          <w:szCs w:val="16"/>
          <w:color w:val="auto"/>
        </w:rPr>
        <w:t>In addition, our AutoStar business, totaling 4.4% of the portfolio, focuses on customers in the automotive retail industry. To the extent these customers are adversely affected by the current downturn in the U.S. automotive markets, our investments in the automotive retail industry may also be adversely affected. Our financial position and operating performance could be adversely impacted by additional losses based upon these concentrations.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compete with a variety of financing and leasing sources for our customers.</w:t>
      </w:r>
    </w:p>
    <w:p>
      <w:pPr>
        <w:spacing w:after="0" w:line="231" w:lineRule="exact"/>
        <w:rPr>
          <w:sz w:val="20"/>
          <w:szCs w:val="20"/>
          <w:color w:val="auto"/>
        </w:rPr>
      </w:pPr>
    </w:p>
    <w:p>
      <w:pPr>
        <w:jc w:val="both"/>
        <w:ind w:firstLine="539"/>
        <w:spacing w:after="0" w:line="294" w:lineRule="auto"/>
        <w:rPr>
          <w:sz w:val="20"/>
          <w:szCs w:val="20"/>
          <w:color w:val="auto"/>
        </w:rPr>
      </w:pPr>
      <w:r>
        <w:rPr>
          <w:rFonts w:ascii="Arial" w:cs="Arial" w:eastAsia="Arial" w:hAnsi="Arial"/>
          <w:sz w:val="16"/>
          <w:szCs w:val="16"/>
          <w:color w:val="auto"/>
        </w:rPr>
        <w:t>The financial services industry and commercial real estate markets are highly competitive. Our competitors include finance companies, other REITs, commercial banks and thrift institutions, investment banks and hedge funds. Our competitors seek to compete aggressively on the basis of a number of factors including transaction pricing, terms and structure. We may have difficulty competing to the extent we are unwilling to match our competitors' deal terms in order to maintain our interest margins and/or credit standards. To the extent that we match competitors' pricing, terms or structure, we may experience decreased interest margins and/or increased risk of credit losses, which could have an adverse effect on our financial performance.</w:t>
      </w:r>
    </w:p>
    <w:p>
      <w:pPr>
        <w:spacing w:after="0" w:line="170" w:lineRule="exact"/>
        <w:rPr>
          <w:sz w:val="20"/>
          <w:szCs w:val="20"/>
          <w:color w:val="auto"/>
        </w:rPr>
      </w:pPr>
    </w:p>
    <w:p>
      <w:pPr>
        <w:jc w:val="both"/>
        <w:ind w:firstLine="370"/>
        <w:spacing w:after="0" w:line="255" w:lineRule="auto"/>
        <w:rPr>
          <w:sz w:val="20"/>
          <w:szCs w:val="20"/>
          <w:color w:val="auto"/>
        </w:rPr>
      </w:pPr>
      <w:r>
        <w:rPr>
          <w:rFonts w:ascii="Arial" w:cs="Arial" w:eastAsia="Arial" w:hAnsi="Arial"/>
          <w:sz w:val="18"/>
          <w:szCs w:val="18"/>
          <w:color w:val="auto"/>
        </w:rPr>
        <w:t>We face significant competition within our corporate tenant leasing business from other owners, operators and developers of properties, many of which own properties similar to ours in markets where we operate. Such competition may affect our ability to attract and retain tenants and reduce the rents we are able to charge. These competing properties may have vacancy rates higher than our properties, which may result in their owners being willing to rent space at lower rental rates than we would or providing greater tenant improvement allowances or other leasing concessions. This combination of circumstances could adversely affect our revenues and financial performance.</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are subject to certain risks associated with investing in real estate, including potential liabilities under environmental laws and risks of loss from earthquakes and terrorism.</w:t>
      </w:r>
    </w:p>
    <w:p>
      <w:pPr>
        <w:spacing w:after="0" w:line="18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Absent succeeding to ownership or control of real property, a secured lender is not likely to be subject to any of these forms of environmental liability. Additionally, under our CTL assets we require our tenants to undertake the obligation for environmental compliance and indemnify us from liability with respect thereto. There can be no assurance that our tenants will have sufficient resources to satisfy their obligations to 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Approximately 26.5% of the gross carrying value of our assets as of December 31, 2009, were located in the Western and Northwestern United States, geographic areas at higher risk for earthquakes. In addition, a significant number of our properties are located in New York City and other major urban areas which, in recent years, have been high risk geographical areas for terrorism and threats of terrorism. Future earthquakes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CTL assets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earthquake or terrorist attack, whether or not insured, could have a material adverse effect on our financial performance, the market prices of our Common Stock and our ability to pay dividends. In addition, there is a risk that one or more of our property insurers may not be able to fulfill its obligations with respect to claims payments due to a deterioration in its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Declines in the market values of our investments may adversely affect periodic reported results.</w:t>
      </w:r>
    </w:p>
    <w:p>
      <w:pPr>
        <w:spacing w:after="0" w:line="231" w:lineRule="exact"/>
        <w:rPr>
          <w:sz w:val="20"/>
          <w:szCs w:val="20"/>
          <w:color w:val="auto"/>
        </w:rPr>
      </w:pPr>
    </w:p>
    <w:p>
      <w:pPr>
        <w:jc w:val="both"/>
        <w:ind w:firstLine="374"/>
        <w:spacing w:after="0" w:line="298" w:lineRule="auto"/>
        <w:rPr>
          <w:sz w:val="20"/>
          <w:szCs w:val="20"/>
          <w:color w:val="auto"/>
        </w:rPr>
      </w:pPr>
      <w:r>
        <w:rPr>
          <w:rFonts w:ascii="Arial" w:cs="Arial" w:eastAsia="Arial" w:hAnsi="Arial"/>
          <w:sz w:val="16"/>
          <w:szCs w:val="16"/>
          <w:color w:val="auto"/>
        </w:rPr>
        <w:t>Current economic conditions and volatility in the securities markets have led to certain of our investments experiencing significant declines in market value, which have adversely impacted our financial position and results of operations. Given the recent volatility of asset prices and economic uncertainty, there is continued risk that further declines in market values could occur, resulting in additional writedowns of assets within our investment portfolio. Any such charges may result in volatility in our reported earnings and may adversely affect the market price of our common stock.</w:t>
      </w:r>
    </w:p>
    <w:p>
      <w:pPr>
        <w:spacing w:after="0" w:line="167" w:lineRule="exact"/>
        <w:rPr>
          <w:sz w:val="20"/>
          <w:szCs w:val="20"/>
          <w:color w:val="auto"/>
        </w:rPr>
      </w:pPr>
    </w:p>
    <w:p>
      <w:pPr>
        <w:jc w:val="both"/>
        <w:ind w:firstLine="362"/>
        <w:spacing w:after="0" w:line="254" w:lineRule="auto"/>
        <w:rPr>
          <w:sz w:val="20"/>
          <w:szCs w:val="20"/>
          <w:color w:val="auto"/>
        </w:rPr>
      </w:pPr>
      <w:r>
        <w:rPr>
          <w:rFonts w:ascii="Arial" w:cs="Arial" w:eastAsia="Arial" w:hAnsi="Arial"/>
          <w:sz w:val="18"/>
          <w:szCs w:val="18"/>
          <w:color w:val="auto"/>
        </w:rPr>
        <w:t>We make investments in leveraged finance directly through our portfolio of corporate loans and debt securities, which had a carrying value of approximately $565.0 million at December 31, 2009, and indirectly through our interest in Oak Hill Advisors, L.P. and its affiliates. The stress in the mortgage and overall financial markets extended to the leveraged finance market and caused the market prices of bank debt and bonds to trade lower. Significant prolonged reductions in the trading prices of debt securities we hold may cause us to reduce the carrying value of our assets by taking a charge to earnings. In addition, the value of our investment in Oak Hill Advisors, L.P. and its affiliates and its ability to earn performance fees are subject to the risks of a material deterioration in the leveraged finance market.</w:t>
      </w:r>
    </w:p>
    <w:p>
      <w:pPr>
        <w:spacing w:after="0" w:line="198"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8"/>
          <w:szCs w:val="18"/>
          <w:color w:val="auto"/>
        </w:rPr>
        <w:t>Most of our equity investments and many of our investments in debt securities will be in the form of securities that are not publicly traded. The fair value of securities and other investments that are not publicly traded may not be readily determinable. We may periodically measure the fair value of these investments, based upon available information and management's judgment. Because such valuations are inherently uncertain, may fluctuate over short periods of time and may be based on estimates, our determinations of fair value may differ materially from the values that would have been used if a ready market for these securities existed. In addition, our determinations regarding the fair value of these investments may be materially higher than the values that we ultimately realize upon their disposal, which could result in losses that have a material adverse effect on our financial performance, the market price of our common stock and our ability to pay dividends.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utilize interest rate hedging arrangements which may adversely affect our borrowing cost and expose us to other risks.</w:t>
      </w:r>
    </w:p>
    <w:p>
      <w:pPr>
        <w:spacing w:after="0" w:line="231" w:lineRule="exact"/>
        <w:rPr>
          <w:sz w:val="20"/>
          <w:szCs w:val="20"/>
          <w:color w:val="auto"/>
        </w:rPr>
      </w:pPr>
    </w:p>
    <w:p>
      <w:pPr>
        <w:jc w:val="both"/>
        <w:ind w:firstLine="406"/>
        <w:spacing w:after="0" w:line="294" w:lineRule="auto"/>
        <w:rPr>
          <w:sz w:val="20"/>
          <w:szCs w:val="20"/>
          <w:color w:val="auto"/>
        </w:rPr>
      </w:pPr>
      <w:r>
        <w:rPr>
          <w:rFonts w:ascii="Arial" w:cs="Arial" w:eastAsia="Arial" w:hAnsi="Arial"/>
          <w:sz w:val="16"/>
          <w:szCs w:val="16"/>
          <w:color w:val="auto"/>
        </w:rPr>
        <w:t>We have variable-rate lending assets and debt obligations. These assets and liabilities create a natural hedge against changes in variable interest rates. This means that as interest rates increase, we earn more on our variable-rate lending assets and pay more on our variable-rate debt obligations and, conversely, as interest rates decrease, we earn less on our variable-rate lending assets and pay less on our variable-rate debt obligations. When our variable-rate debt obligations differ significantly from our variable rate lending assets, we utilize derivative instruments to limit the impact of changing interest rates on our net income. The derivative instruments we use are typically in the form of interest rate swaps and interest rate caps.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Interest rate swaps effectively change variable-rate debt obligations to fixed-rate debt obligations or fixed-rate debt obligations to variable-rate debt obligations.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rate caps effectively limit the maximum interest rate on variable-rate debt obligations.</w:t>
      </w:r>
    </w:p>
    <w:p>
      <w:pPr>
        <w:spacing w:after="0" w:line="219" w:lineRule="exact"/>
        <w:rPr>
          <w:sz w:val="20"/>
          <w:szCs w:val="20"/>
          <w:color w:val="auto"/>
        </w:rPr>
      </w:pPr>
    </w:p>
    <w:p>
      <w:pPr>
        <w:jc w:val="both"/>
        <w:ind w:firstLine="367"/>
        <w:spacing w:after="0" w:line="306" w:lineRule="auto"/>
        <w:rPr>
          <w:sz w:val="20"/>
          <w:szCs w:val="20"/>
          <w:color w:val="auto"/>
        </w:rPr>
      </w:pPr>
      <w:r>
        <w:rPr>
          <w:rFonts w:ascii="Arial" w:cs="Arial" w:eastAsia="Arial" w:hAnsi="Arial"/>
          <w:sz w:val="16"/>
          <w:szCs w:val="16"/>
          <w:color w:val="auto"/>
        </w:rPr>
        <w:t>Our use of derivative instruments also involves the risk that a counterparty to a hedging arrangement could default on its obligation and the risk that we may have to pay certain costs, such as transaction fees or breakage costs, if a hedging arrangement is terminated by us. As a matter of policy, we enter into hedging arrangements with counterparties that are large, creditworthy financial institutions typically rated at least "A/A2" by S&amp;P and Moody's, respectively.</w:t>
      </w:r>
    </w:p>
    <w:p>
      <w:pPr>
        <w:spacing w:after="0" w:line="161" w:lineRule="exact"/>
        <w:rPr>
          <w:sz w:val="20"/>
          <w:szCs w:val="20"/>
          <w:color w:val="auto"/>
        </w:rPr>
      </w:pPr>
    </w:p>
    <w:p>
      <w:pPr>
        <w:jc w:val="both"/>
        <w:ind w:firstLine="427"/>
        <w:spacing w:after="0" w:line="259" w:lineRule="auto"/>
        <w:rPr>
          <w:sz w:val="20"/>
          <w:szCs w:val="20"/>
          <w:color w:val="auto"/>
        </w:rPr>
      </w:pPr>
      <w:r>
        <w:rPr>
          <w:rFonts w:ascii="Arial" w:cs="Arial" w:eastAsia="Arial" w:hAnsi="Arial"/>
          <w:sz w:val="18"/>
          <w:szCs w:val="18"/>
          <w:color w:val="auto"/>
        </w:rPr>
        <w:t>Developing an effective strategy for dealing with movements in interest rates is complex and no strategy can completely insulate us from risks associated with such fluctuations. There can be no assurance that our hedging activities will have the desired beneficial impact on our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retain and attract key personnel is critical to our success.</w:t>
      </w:r>
    </w:p>
    <w:p>
      <w:pPr>
        <w:spacing w:after="0" w:line="231"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8"/>
          <w:szCs w:val="18"/>
          <w:color w:val="auto"/>
        </w:rPr>
        <w:t>Our success depends on our ability to retain our senior management and the other key members of our management team and recruit additional qualified personnel. We rely in part on equity compensation to retain and incentivize our personnel. Declines in our stock price may hinder our ability to pay competitive compensation and may result in the loss of key personnel. In addition, if members of our management join competitors or form competing companies, the competition could have a material adverse effect on our business. Efforts to retain or attract professionals may result in additional compensation expense, which could affect our financial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highly dependent on information systems, and systems failures could significantly disrupt our business.</w:t>
      </w:r>
    </w:p>
    <w:p>
      <w:pPr>
        <w:spacing w:after="0" w:line="231"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8"/>
          <w:szCs w:val="18"/>
          <w:color w:val="auto"/>
        </w:rPr>
        <w:t>As a financial services firm, our business is highly dependent on communications, information, financial and operational systems. Any failure or interruption of our systems could cause delays or other problems in our business activities, which could have a material adverse effect on our operations and financial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is dependent on leverage, which may create other risks.</w:t>
      </w:r>
    </w:p>
    <w:p>
      <w:pPr>
        <w:spacing w:after="0" w:line="231" w:lineRule="exact"/>
        <w:rPr>
          <w:sz w:val="20"/>
          <w:szCs w:val="20"/>
          <w:color w:val="auto"/>
        </w:rPr>
      </w:pPr>
    </w:p>
    <w:p>
      <w:pPr>
        <w:jc w:val="both"/>
        <w:ind w:firstLine="373"/>
        <w:spacing w:after="0" w:line="259" w:lineRule="auto"/>
        <w:rPr>
          <w:sz w:val="20"/>
          <w:szCs w:val="20"/>
          <w:color w:val="auto"/>
        </w:rPr>
      </w:pPr>
      <w:r>
        <w:rPr>
          <w:rFonts w:ascii="Arial" w:cs="Arial" w:eastAsia="Arial" w:hAnsi="Arial"/>
          <w:sz w:val="18"/>
          <w:szCs w:val="18"/>
          <w:color w:val="auto"/>
        </w:rPr>
        <w:t>Our success is dependent, in part, upon our ability to grow assets through leverage. Our charter does not limit the amount of indebtedness that we may incur and stockholder approval is not required for changes to our financing strategy. If we decided to increase our leverage, it could lead to reduced or negative cash flow and reduced liquidity.</w:t>
      </w:r>
    </w:p>
    <w:p>
      <w:pPr>
        <w:spacing w:after="0" w:line="194"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Leverage creates an opportunity for increased net income, but at the same time creates risks. For example, leverage magnifies changes in our net worth. We will incur leverage only when there is an expectation that it will enhance returns, although there can be no assurance that our use of leverage will prove to be beneficial. Moreover, there can be no assurance that we will be able to meet our debt service obligations and, to the extent that we cannot, we risk the loss of some or all of our assets or a financial loss if we are required to liquidate assets at a commercially inopportune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change certain of our policies without stockholder approval.</w:t>
      </w:r>
    </w:p>
    <w:p>
      <w:pPr>
        <w:spacing w:after="0" w:line="231"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Our charter does not set forth specific percentages of the types of investments we may make. We can amend, revise or eliminate our investment financing and conflict of interest policies at any time at our discretion without a vote of the stockholders. A change in these policies could adversely affect our financial condition or results of operations or the market price of our common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our charter may inhibit a change in control.</w:t>
      </w:r>
    </w:p>
    <w:p>
      <w:pPr>
        <w:spacing w:after="0" w:line="231" w:lineRule="exact"/>
        <w:rPr>
          <w:sz w:val="20"/>
          <w:szCs w:val="20"/>
          <w:color w:val="auto"/>
        </w:rPr>
      </w:pPr>
    </w:p>
    <w:p>
      <w:pPr>
        <w:jc w:val="both"/>
        <w:ind w:firstLine="370"/>
        <w:spacing w:after="0" w:line="255" w:lineRule="auto"/>
        <w:rPr>
          <w:sz w:val="20"/>
          <w:szCs w:val="20"/>
          <w:color w:val="auto"/>
        </w:rPr>
      </w:pPr>
      <w:r>
        <w:rPr>
          <w:rFonts w:ascii="Arial" w:cs="Arial" w:eastAsia="Arial" w:hAnsi="Arial"/>
          <w:sz w:val="18"/>
          <w:szCs w:val="18"/>
          <w:color w:val="auto"/>
        </w:rPr>
        <w:t>Generally, to maintain our qualification as a REIT under the Code, not more than 50% in value of our outstanding shares of stock may be owned, directly or indirectly, by five or fewer individuals at any time during the last half of our taxable year. The Code defines "individuals" for purposes of the requirement described in the preceding sentence to include some types of entities. Under our charter, no person may own more than 9.8% of our outstanding shares of stock, with some exceptions. The restrictions on transferability and ownership may delay, deter or prevent a change in control or other transaction that might involve a premium price or otherwise be in the best interest of the security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would be subject to adverse consequences if we fail to qualify as a REIT.</w:t>
      </w:r>
    </w:p>
    <w:p>
      <w:pPr>
        <w:spacing w:after="0" w:line="231"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We believe that we have been organized and operated in a manner so as to qualify for taxation as a REIT for U.S. federal income tax purposes commencing with our taxable year ended December 31, 1998. However, our qualification as a REIT has depended and will continue to depend on our ability to meet various requirements concerning, among other things, the ownership of our outstanding stock, the nature of our assets, the sources of our income and the amount of our distributions to our stockholders. As a result of the current credit crisis, it may be difficult for us to meet one or more of the requirements for qualification as a REIT including, but not limited to, our distribution requirement.</w:t>
      </w:r>
    </w:p>
    <w:p>
      <w:pPr>
        <w:spacing w:after="0" w:line="197" w:lineRule="exact"/>
        <w:rPr>
          <w:sz w:val="20"/>
          <w:szCs w:val="20"/>
          <w:color w:val="auto"/>
        </w:rPr>
      </w:pPr>
    </w:p>
    <w:p>
      <w:pPr>
        <w:jc w:val="both"/>
        <w:ind w:firstLine="386"/>
        <w:spacing w:after="0" w:line="254" w:lineRule="auto"/>
        <w:rPr>
          <w:sz w:val="20"/>
          <w:szCs w:val="20"/>
          <w:color w:val="auto"/>
        </w:rPr>
      </w:pPr>
      <w:r>
        <w:rPr>
          <w:rFonts w:ascii="Arial" w:cs="Arial" w:eastAsia="Arial" w:hAnsi="Arial"/>
          <w:sz w:val="18"/>
          <w:szCs w:val="18"/>
          <w:color w:val="auto"/>
        </w:rPr>
        <w:t>If we were to fail to qualify as a REIT for any taxable year, we would not be allowed a deduction for distributions to our stockholders in computing our net taxable income and would be subject to U.S. federal income tax, including any applicable alternative minimum tax, or "AMT," on our net taxable income at regular corporate rates, as well as applicable state and local taxes. Unless entitled to relief under certain Code provisions, we would also be disqualified from treatment as a REIT for the four subsequent taxable years following the year during which our REIT qualification was lost. As a result, cash available for distribution would be reduced for each of the years involved. Furthermore, it is possible that future economic, market, legal, tax or other considerations may cause our REIT qualification to be revoked.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secured bank credit facilities prohibit us from paying dividends on our common stock if we no longer qualify as a REIT.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qualify as a REIT, we may be forced to borrow funds, sell assets or take other actions during unfavorable market conditions.</w:t>
      </w:r>
    </w:p>
    <w:p>
      <w:pPr>
        <w:spacing w:after="0" w:line="231" w:lineRule="exact"/>
        <w:rPr>
          <w:sz w:val="20"/>
          <w:szCs w:val="20"/>
          <w:color w:val="auto"/>
        </w:rPr>
      </w:pPr>
    </w:p>
    <w:p>
      <w:pPr>
        <w:jc w:val="both"/>
        <w:ind w:firstLine="379"/>
        <w:spacing w:after="0" w:line="291" w:lineRule="auto"/>
        <w:rPr>
          <w:sz w:val="20"/>
          <w:szCs w:val="20"/>
          <w:color w:val="auto"/>
        </w:rPr>
      </w:pPr>
      <w:r>
        <w:rPr>
          <w:rFonts w:ascii="Arial" w:cs="Arial" w:eastAsia="Arial" w:hAnsi="Arial"/>
          <w:sz w:val="16"/>
          <w:szCs w:val="16"/>
          <w:color w:val="auto"/>
        </w:rPr>
        <w:t>To qualify as a REIT, we generally must distribute to our stockholders at least 90% of our net taxable income, excluding net capital gains each year, and we will be subject to U.S. federal income tax, as well as applicable state and local taxes, to the extent that we distribute less than 100% of our net taxable income each year. In addition, we will be subject to a 4% nondeductible excise tax on the amount, if any, by which distributions paid by us in any calendar year are less than the sum of 85% of our ordinary income, 95% of our capital gain net income and 100% of our undistributed income from prior years. Our net taxable income could exceed our available cash flow as a result of, among other things, a difference in timing between the actual receipt of cash and inclusion of income for U.S. federal income tax purposes, the recognition of non-cash taxable income, the effect of non-deductible capital expenditures or required debt principal repayments.</w:t>
      </w:r>
    </w:p>
    <w:p>
      <w:pPr>
        <w:spacing w:after="0" w:line="174"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In order to qualify as a REIT and avoid the payment of income and excise taxes, we may need to borrow funds on a short-term, or possibly long-term, basis, sell assets or pay distributions in the form of taxable dividends of our common stock to meet our REIT distribution requirement, even if prevailing market conditions are not favorable for these borrowings, asset dispositions or stock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of our activities are subject to taxes and could result in taxes allocated to our Shareholders.</w:t>
      </w:r>
    </w:p>
    <w:p>
      <w:pPr>
        <w:spacing w:after="0" w:line="231" w:lineRule="exact"/>
        <w:rPr>
          <w:sz w:val="20"/>
          <w:szCs w:val="20"/>
          <w:color w:val="auto"/>
        </w:rPr>
      </w:pPr>
    </w:p>
    <w:p>
      <w:pPr>
        <w:jc w:val="both"/>
        <w:ind w:firstLine="450"/>
        <w:spacing w:after="0" w:line="332" w:lineRule="auto"/>
        <w:rPr>
          <w:sz w:val="20"/>
          <w:szCs w:val="20"/>
          <w:color w:val="auto"/>
        </w:rPr>
      </w:pPr>
      <w:r>
        <w:rPr>
          <w:rFonts w:ascii="Arial" w:cs="Arial" w:eastAsia="Arial" w:hAnsi="Arial"/>
          <w:sz w:val="16"/>
          <w:szCs w:val="16"/>
          <w:color w:val="auto"/>
        </w:rPr>
        <w:t>Even if we qualify as a REIT for U.S. federal income tax purposes, we will be required to pay some U.S. federal, state, local and non-U.S. taxes on our income and property. We would be required to pay taxes on net taxable income that we fail to distribute to our stockholders. In addition, our "taxable REIT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subsidiaries" are fully taxable corporations, and there are limitations on the ability of taxable REIT subsidiaries to make interest payments to affiliated REITs. Furthermore, we will be subject to a 100% penalty tax to the extent our economic arrangements with our tenants or our taxable REIT subsidiaries are not comparable to similar arrangements among unrelated parties. We will also be subject to a 100% tax to the extent we derive income from the sale of assets to customers in the ordinary course of business. To the extent we or our taxable REIT subsidiaries are required to pay U.S. federal, state, local or non-U.S. taxes, we will have less cash available for distribution to our stockholders.</w:t>
      </w:r>
    </w:p>
    <w:p>
      <w:pPr>
        <w:spacing w:after="0" w:line="197"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We do not intend to invest a material portion of our assets in real estate mortgage investment conduits, or "REMICs," or taxable mortgage pools. In the event we were to own REMIC or taxable mortgage pool residual interests, or treated as owning such residual interests, a portion of our income from these assets could be treated as "excess inclusion income."</w:t>
      </w:r>
    </w:p>
    <w:p>
      <w:pPr>
        <w:spacing w:after="0" w:line="194"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IRS guidance indicates that our excess inclusion income will be allocated among our shareholders in proportion to our dividends paid. A shareholder's share of our excess inclusion income (i) would not be allowed to be offset by any net operating losses otherwise available to the shareholder, (ii) would be subject to tax as unrelated business taxable income in the hands of most tax-exempt shareholders, and (iii) would result in the application of U.S. federal income tax withholding at a rate of 30%, without reduction for any otherwise applicable income tax treaty, in the hands of a non-U.S. shareholder.</w:t>
      </w:r>
    </w:p>
    <w:p>
      <w:pPr>
        <w:spacing w:after="0" w:line="167" w:lineRule="exact"/>
        <w:rPr>
          <w:sz w:val="20"/>
          <w:szCs w:val="20"/>
          <w:color w:val="auto"/>
        </w:rPr>
      </w:pPr>
    </w:p>
    <w:p>
      <w:pPr>
        <w:jc w:val="both"/>
        <w:ind w:firstLine="431"/>
        <w:spacing w:after="0" w:line="290" w:lineRule="auto"/>
        <w:rPr>
          <w:sz w:val="20"/>
          <w:szCs w:val="20"/>
          <w:color w:val="auto"/>
        </w:rPr>
      </w:pPr>
      <w:r>
        <w:rPr>
          <w:rFonts w:ascii="Arial" w:cs="Arial" w:eastAsia="Arial" w:hAnsi="Arial"/>
          <w:sz w:val="16"/>
          <w:szCs w:val="16"/>
          <w:color w:val="auto"/>
        </w:rPr>
        <w:t>In addition, the IRS has taken the position that we are subject to tax at the highest U.S. federal corporate income tax rate on our excess inclusion income allocated to "disqualified organizations" (generally, tax-exempt investors that are not subject to U.S. federal income tax on unrelated business taxable income, including governmental organizations and charitable remainder trusts) that hold our stock in record name. Further, the IRS has taken the position that broker/dealers and nominees holding our stock in "street name" on behalf of disqualified organizations are subject to U.S. federal income tax at the highest U.S. federal corporate income tax rate on our excess inclusion income allocated to such disqualified organizations. Similarly, a regulated investment company or other pass-through entity may be subject to U.S. federal income tax at the highest U.S. federal corporate income tax rate on our excess inclusion income to the extent such entities are owned by disqualified organizations.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Company Act exemption limits our investment discretion and loss of the exemption would adversely affect us.</w:t>
      </w:r>
    </w:p>
    <w:p>
      <w:pPr>
        <w:spacing w:after="0" w:line="231"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We believe that we currently are not, and we intend to operate our company so that we will not be, regulated as an investment company under the Investment Company Act because we are "primarily engaged in the business of purchasing or otherwise acquiring mortgages and other liens on and interest in real estate." Specifically, we are required to invest at least 55% of our assets in "qualifying real estate assets" (that is, real estate, mortgage loans and other qualifying interests in real estate), and at least an additional 25% of our assets in other "real estate-related assets," such as mezzanine loans and unsecured investments in real estate entities, or additional qualifying real estate assets.</w:t>
      </w:r>
    </w:p>
    <w:p>
      <w:pPr>
        <w:spacing w:after="0" w:line="197" w:lineRule="exact"/>
        <w:rPr>
          <w:sz w:val="20"/>
          <w:szCs w:val="20"/>
          <w:color w:val="auto"/>
        </w:rPr>
      </w:pPr>
    </w:p>
    <w:p>
      <w:pPr>
        <w:jc w:val="both"/>
        <w:ind w:firstLine="416"/>
        <w:spacing w:after="0" w:line="323" w:lineRule="auto"/>
        <w:rPr>
          <w:sz w:val="20"/>
          <w:szCs w:val="20"/>
          <w:color w:val="auto"/>
        </w:rPr>
      </w:pPr>
      <w:r>
        <w:rPr>
          <w:rFonts w:ascii="Arial" w:cs="Arial" w:eastAsia="Arial" w:hAnsi="Arial"/>
          <w:sz w:val="15"/>
          <w:szCs w:val="15"/>
          <w:color w:val="auto"/>
        </w:rPr>
        <w:t>We will need to monitor our assets to ensure that we continue to satisfy the percentage tests. Maintaining our exemption from regulation as an investment company under the Investment Company Act limits our ability to invest in assets that otherwise would meet our investment strategies. If we fail to qualify for this exemption, we could not operate our business efficiently under the regulatory scheme imposed on investment companies under the Investment Company Act, and we could be required to restructure our activities. This would have a material adverse effect on our financial performance and the market price of our securities.</w:t>
      </w:r>
    </w:p>
    <w:p>
      <w:pPr>
        <w:spacing w:after="0" w:line="14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color w:val="auto"/>
        </w:rPr>
        <w:t xml:space="preserve">The Company's principal executive and administrative offices are located at 1114 Avenue of the Americas, New York, NY 10036. Its telephone number, general facsimile number and web address are (212) 930-9400, (212) 930-9494 and </w:t>
      </w:r>
      <w:r>
        <w:rPr>
          <w:rFonts w:ascii="Arial" w:cs="Arial" w:eastAsia="Arial" w:hAnsi="Arial"/>
          <w:sz w:val="18"/>
          <w:szCs w:val="18"/>
          <w:i w:val="1"/>
          <w:iCs w:val="1"/>
          <w:color w:val="auto"/>
        </w:rPr>
        <w:t>www.istarfinancial.com</w:t>
      </w:r>
      <w:r>
        <w:rPr>
          <w:rFonts w:ascii="Arial" w:cs="Arial" w:eastAsia="Arial" w:hAnsi="Arial"/>
          <w:sz w:val="18"/>
          <w:szCs w:val="18"/>
          <w:color w:val="auto"/>
        </w:rPr>
        <w:t>, respectively. The lease for the Company's primary corporate office space expires in February 2021. The Company's primary regional offices are located in Atlanta, Georgia; Boston, Massachusetts; Chicago, Illinois; Dallas, Texas; Hartford, Connecticut; San Francisco, California and three offices in the Los Angeles, California metropolitan area (Brea, Irvine and Santa Monica).</w:t>
      </w:r>
    </w:p>
    <w:p>
      <w:pPr>
        <w:spacing w:after="0" w:line="197" w:lineRule="exact"/>
        <w:rPr>
          <w:sz w:val="20"/>
          <w:szCs w:val="20"/>
          <w:color w:val="auto"/>
        </w:rPr>
      </w:pPr>
    </w:p>
    <w:p>
      <w:pPr>
        <w:jc w:val="both"/>
        <w:ind w:firstLine="575"/>
        <w:spacing w:after="0" w:line="268" w:lineRule="auto"/>
        <w:rPr>
          <w:sz w:val="20"/>
          <w:szCs w:val="20"/>
          <w:color w:val="auto"/>
        </w:rPr>
      </w:pPr>
      <w:r>
        <w:rPr>
          <w:rFonts w:ascii="Arial" w:cs="Arial" w:eastAsia="Arial" w:hAnsi="Arial"/>
          <w:sz w:val="18"/>
          <w:szCs w:val="18"/>
          <w:color w:val="auto"/>
        </w:rPr>
        <w:t>See Item 1—"Corporate Tenant Leasing," for a discussion of CTL facilities held by the Company for investment purposes and Item 8—"Financial Statements and Supplemental Data Schedule III," for a detailed listing of such facilities.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Citiline Holdings, Inc., et al. v. iStar Financial, Inc., et al.</w:t>
      </w:r>
    </w:p>
    <w:p>
      <w:pPr>
        <w:spacing w:after="0" w:line="231" w:lineRule="exact"/>
        <w:rPr>
          <w:sz w:val="20"/>
          <w:szCs w:val="20"/>
          <w:color w:val="auto"/>
        </w:rPr>
      </w:pPr>
    </w:p>
    <w:p>
      <w:pPr>
        <w:jc w:val="both"/>
        <w:ind w:firstLine="354"/>
        <w:spacing w:after="0" w:line="298" w:lineRule="auto"/>
        <w:rPr>
          <w:sz w:val="20"/>
          <w:szCs w:val="20"/>
          <w:color w:val="auto"/>
        </w:rPr>
      </w:pPr>
      <w:r>
        <w:rPr>
          <w:rFonts w:ascii="Arial" w:cs="Arial" w:eastAsia="Arial" w:hAnsi="Arial"/>
          <w:sz w:val="16"/>
          <w:szCs w:val="16"/>
          <w:color w:val="auto"/>
        </w:rPr>
        <w:t>In April 2008, two putative class action complaints were filed in the United States District Court for the Southern District of New York naming the Company and certain of its current and former executive officers as defendants and alleging violations of the Securities Act of 1933, as amended. Both suits were purportedly filed on behalf of the same putative class of investors who purchased common stock in the Company's December 13, 2007 public offering (the "Company's Offering"). The two complaints were consolidated in a single proceeding (the "Citiline Action") on April 30, 2008.</w:t>
      </w:r>
    </w:p>
    <w:p>
      <w:pPr>
        <w:spacing w:after="0" w:line="167"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On November 17, 2008, Plumbers Union Local No. 12 Pension Fund and Citiline Holdings, Inc. were appointed Lead Plaintiffs to pursue the Citiline Action. Plaintiffs filed a Consolidated Amended Complaint on February 2, 2009, purportedly on behalf of a putative class of investors who purchased iStar common stock between December 6, 2007 and March 6, 2008 (the "Complaint"). The Complaint named as defendants the Company, certain of its current and former executive officers, and certain investment banks who served as underwriters in the Company's Offering. The Complaint reasserted claims for alleged violations of Sections 11, 12(a)(2) and 15 of the Securities Act of 1933, as amended, and added claims for alleged violations of Sections 10(b) and 20(a) of the Securities Exchange Act of 1934, as amended. Plaintiffs allege the defendants made certain material misstatements and omissions relating to the Company's continuing operations, including the value of the Company's loan portfolio and certain debt securities held by the Company. The Complaint seeks certification as a class action, unspecified compensatory damages plus interest and attorneys fees, and rescission of the public offering. No class has been certified and discovery has not begun. The Company and its current and former officers filed a motion to dismiss the Complaint on April 27, 2009, which was fully briefed as of August 20, 2009 and is pending before the Court.</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believes the Citiline Action has no merit and intends to defend itself vigorously against 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Letters</w:t>
      </w:r>
    </w:p>
    <w:p>
      <w:pPr>
        <w:spacing w:after="0" w:line="231" w:lineRule="exact"/>
        <w:rPr>
          <w:sz w:val="20"/>
          <w:szCs w:val="20"/>
          <w:color w:val="auto"/>
        </w:rPr>
      </w:pPr>
    </w:p>
    <w:p>
      <w:pPr>
        <w:jc w:val="both"/>
        <w:ind w:firstLine="377"/>
        <w:spacing w:after="0" w:line="291" w:lineRule="auto"/>
        <w:rPr>
          <w:sz w:val="20"/>
          <w:szCs w:val="20"/>
          <w:color w:val="auto"/>
        </w:rPr>
      </w:pPr>
      <w:r>
        <w:rPr>
          <w:rFonts w:ascii="Arial" w:cs="Arial" w:eastAsia="Arial" w:hAnsi="Arial"/>
          <w:sz w:val="16"/>
          <w:szCs w:val="16"/>
          <w:color w:val="auto"/>
        </w:rPr>
        <w:t>In June 2009, the Company received a letter from a law firm stating that the firm represented a shareholder of the Company holding an unidentified number of shares. The letter states that the shareholder is concerned that certain officers and directors of the Company published misleading statements and made material omissions between July 2007 and March 2008 and defrauded the Company and wasted its assets by repurchasing $10 million of common stock of the Company during that period. The letter demands that the board of directors of the Company commence an independent investigation of these matters, take action to recover damages caused by the alleged misconduct and implement corporate governance reforms to prevent the recurrence of the alleged misconduct. As of the date of this report, no lawsuit has been filed by this shareholder.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6"/>
          <w:szCs w:val="16"/>
          <w:color w:val="auto"/>
        </w:rPr>
        <w:t>In June 2009, the Company received a letter from a law firm stating that the firm represented shareholders of the Company holding more than 329,000 shares of common and preferred stock of the Company. The letter asserts that these shareholders have suffered monetary harm arising from alleged material misrepresentations in and omissions from the Company's proxy statement relating to its 2009 annual meeting and that the officers and directors of the Company have committed breaches of fiduciary duties that have proximately caused damage to all Company shareholders. The letter purports to serve as a demand required by any and all applicable statutes should litigation commence in the future. As of the date of this report, no lawsuit has been filed by these shareholders.</w:t>
      </w:r>
    </w:p>
    <w:p>
      <w:pPr>
        <w:spacing w:after="0" w:line="170" w:lineRule="exact"/>
        <w:rPr>
          <w:sz w:val="20"/>
          <w:szCs w:val="20"/>
          <w:color w:val="auto"/>
        </w:rPr>
      </w:pPr>
    </w:p>
    <w:p>
      <w:pPr>
        <w:jc w:val="both"/>
        <w:ind w:right="20" w:firstLine="442"/>
        <w:spacing w:after="0" w:line="268" w:lineRule="auto"/>
        <w:rPr>
          <w:sz w:val="20"/>
          <w:szCs w:val="20"/>
          <w:color w:val="auto"/>
        </w:rPr>
      </w:pPr>
      <w:r>
        <w:rPr>
          <w:rFonts w:ascii="Arial" w:cs="Arial" w:eastAsia="Arial" w:hAnsi="Arial"/>
          <w:sz w:val="18"/>
          <w:szCs w:val="18"/>
          <w:color w:val="auto"/>
        </w:rPr>
        <w:t>A special committee of the Company's independent directors has been established. The special committee has retained independent counsel and, with its counsel's assistance, is reviewing the matters described in the letters.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matters submitted to a vote of security holders during the fourth quarter of 2009.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Equity and Related Share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Common Stock trades on the New York Stock Exchange ("NYSE") under the symbol "SFI."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high and low closing prices per share of Common Stock are set forth below for the periods indicated.</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March 31, 2008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27.66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w:t>
            </w: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September 30, 2008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13.67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0.97</w:t>
            </w:r>
          </w:p>
        </w:tc>
      </w:tr>
      <w:tr>
        <w:trPr>
          <w:trHeight w:val="430"/>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0.76</w:t>
            </w: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r>
      <w:tr>
        <w:trPr>
          <w:trHeight w:val="222"/>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r>
    </w:tbl>
    <w:p>
      <w:pPr>
        <w:spacing w:after="0" w:line="201" w:lineRule="exact"/>
        <w:rPr>
          <w:sz w:val="20"/>
          <w:szCs w:val="20"/>
          <w:color w:val="auto"/>
        </w:rPr>
      </w:pPr>
    </w:p>
    <w:p>
      <w:pPr>
        <w:jc w:val="both"/>
        <w:ind w:firstLine="478"/>
        <w:spacing w:after="0" w:line="268" w:lineRule="auto"/>
        <w:rPr>
          <w:sz w:val="20"/>
          <w:szCs w:val="20"/>
          <w:color w:val="auto"/>
        </w:rPr>
      </w:pPr>
      <w:r>
        <w:rPr>
          <w:rFonts w:ascii="Arial" w:cs="Arial" w:eastAsia="Arial" w:hAnsi="Arial"/>
          <w:sz w:val="18"/>
          <w:szCs w:val="18"/>
          <w:color w:val="auto"/>
        </w:rPr>
        <w:t>On February 16, 2010, the closing sale price of the Common Stock as reported by the NYSE was $2.94. The Company had 3,078 holders of record of Common Stock as of February 16, 2010.</w:t>
      </w:r>
    </w:p>
    <w:p>
      <w:pPr>
        <w:spacing w:after="0" w:line="186"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At December 31, 2009, the Company had five series of preferred stock outstanding: 8.000% Series D Preferred Stock, 7.875% Series E Preferred Stock, 7.8% Series F Preferred Stock, 7.65% Series G Preferred Stock and 7.50% Series I Preferred Stock. Each of the Series D, E, F, G and I preferred stock is publicly traded.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jc w:val="both"/>
        <w:ind w:firstLine="443"/>
        <w:spacing w:after="0" w:line="294" w:lineRule="auto"/>
        <w:rPr>
          <w:sz w:val="20"/>
          <w:szCs w:val="20"/>
          <w:color w:val="auto"/>
        </w:rPr>
      </w:pPr>
      <w:r>
        <w:rPr>
          <w:rFonts w:ascii="Arial" w:cs="Arial" w:eastAsia="Arial" w:hAnsi="Arial"/>
          <w:sz w:val="16"/>
          <w:szCs w:val="16"/>
          <w:color w:val="auto"/>
        </w:rPr>
        <w:t>The Board of Directors has not established any minimum distribution level. In order to maintain its qualification as a REIT, the Company intends to pay dividends to its shareholders that, on an annual basis, will represent at least 90% of its taxable income (which may not necessarily equal net income as calculated in accordance with GAAP), determined without regard to the deduction for dividends paid and excluding any net capital gains. The Company has recorded net operating losses and may record significant net operating losses in the future, which may reduce its taxable income in future periods and lower or eliminate entirely the Company's obligation to pay dividends for such periods in order to maintain its REIT qualification.</w:t>
      </w:r>
    </w:p>
    <w:p>
      <w:pPr>
        <w:spacing w:after="0" w:line="170" w:lineRule="exact"/>
        <w:rPr>
          <w:sz w:val="20"/>
          <w:szCs w:val="20"/>
          <w:color w:val="auto"/>
        </w:rPr>
      </w:pPr>
    </w:p>
    <w:p>
      <w:pPr>
        <w:jc w:val="both"/>
        <w:ind w:firstLine="478"/>
        <w:spacing w:after="0" w:line="290" w:lineRule="auto"/>
        <w:rPr>
          <w:sz w:val="20"/>
          <w:szCs w:val="20"/>
          <w:color w:val="auto"/>
        </w:rPr>
      </w:pPr>
      <w:r>
        <w:rPr>
          <w:rFonts w:ascii="Arial" w:cs="Arial" w:eastAsia="Arial" w:hAnsi="Arial"/>
          <w:sz w:val="16"/>
          <w:szCs w:val="16"/>
          <w:color w:val="auto"/>
        </w:rPr>
        <w:t>Holders of Common Stock, vested High Performance Units and certain unvested restricted stock units and common share equivalent will be entitled to receive distributions if, as and when the Board of Directors authorizes and declares distributions. However, rights to distributions may be subordinated to the rights of holders of preferred stock, when preferred stock is issued and outstanding. In addition, the Company's secured credit facilities permit the Company to distribute 100% of its REIT taxable income on an annual basis, for so long as the Company maintains its qualifications as a REIT. The secured credit facilities restrict the Company from paying any common dividends if it ceases to qualify as a REIT. In any liquidation, dissolution or winding up of the Company, each outstanding share of Common Stock and HPU share equivalents will entitle its holder to a proportionate share of the assets that remain after the Company pays its liabilities and any preferential distributions owed to preferred shareholders.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dividends paid or declared by the Company on its Common Stock:</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Shareholder</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Dividend/</w:t>
            </w: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Record Date</w:t>
            </w: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Share</w:t>
            </w: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2008(1)</w:t>
            </w:r>
          </w:p>
        </w:tc>
        <w:tc>
          <w:tcPr>
            <w:tcW w:w="36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March 31, 2008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March 17, 2008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0.8700</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 15, 2008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0.8700</w:t>
            </w: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September 30, 2008(2)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2008(2)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430"/>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3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June 30, 2009(2)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December 31, 2009(2)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15265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2840" w:hanging="550"/>
        <w:spacing w:after="0" w:line="233" w:lineRule="auto"/>
        <w:tabs>
          <w:tab w:leader="none" w:pos="28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tax reporting purposes, the 2008 dividends were classified as 10.8% ($0.1886) ordinary dividend, 76.1% ($1.3244) 15% capital gain and 13.1% ($0.2270) 25% Section 1250 capital gain. Of the ordinary dividend, 25.6% ($0.0483) qualifies as a qualifying dividend for those shareholders who held shares of the Company for the entire year.</w:t>
      </w:r>
    </w:p>
    <w:p>
      <w:pPr>
        <w:spacing w:after="0" w:line="111" w:lineRule="exact"/>
        <w:rPr>
          <w:rFonts w:ascii="Arial" w:cs="Arial" w:eastAsia="Arial" w:hAnsi="Arial"/>
          <w:sz w:val="14"/>
          <w:szCs w:val="14"/>
          <w:color w:val="auto"/>
        </w:rPr>
      </w:pPr>
    </w:p>
    <w:p>
      <w:pPr>
        <w:ind w:left="2840" w:hanging="550"/>
        <w:spacing w:after="0"/>
        <w:tabs>
          <w:tab w:leader="none" w:pos="28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 dividends were declared or paid.</w:t>
      </w:r>
    </w:p>
    <w:p>
      <w:pPr>
        <w:spacing w:after="0" w:line="206" w:lineRule="exact"/>
        <w:rPr>
          <w:sz w:val="20"/>
          <w:szCs w:val="20"/>
          <w:color w:val="auto"/>
        </w:rPr>
      </w:pPr>
    </w:p>
    <w:p>
      <w:pPr>
        <w:jc w:val="both"/>
        <w:ind w:firstLine="361"/>
        <w:spacing w:after="0" w:line="332" w:lineRule="auto"/>
        <w:rPr>
          <w:sz w:val="20"/>
          <w:szCs w:val="20"/>
          <w:color w:val="auto"/>
        </w:rPr>
      </w:pPr>
      <w:r>
        <w:rPr>
          <w:rFonts w:ascii="Arial" w:cs="Arial" w:eastAsia="Arial" w:hAnsi="Arial"/>
          <w:sz w:val="16"/>
          <w:szCs w:val="16"/>
          <w:color w:val="auto"/>
        </w:rPr>
        <w:t>The Company declared and paid dividends aggregating $8.0 million, $11.0 million, $7.8 million, $6.1 million and $9.4 million on its Series D, E, F, G, and I preferred stock, respectively, for the year ended December 31, 2009. There are no dividend arrearages on any of the preferred shares currently outstanding.</w:t>
      </w:r>
    </w:p>
    <w:p>
      <w:pPr>
        <w:spacing w:after="0" w:line="139"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8"/>
          <w:szCs w:val="18"/>
          <w:color w:val="auto"/>
        </w:rPr>
        <w:t>Distributions to shareholders will generally be taxable as ordinary income, although a portion of such dividends may be designated by the Company as capital gain or may constitute a tax-free return of capital. The Company annually furnishes to each of its shareholders a statement setting forth the distributions paid during the preceding year and their characterization as ordinary income, capital gain or return of capital.</w:t>
      </w:r>
    </w:p>
    <w:p>
      <w:pPr>
        <w:spacing w:after="0" w:line="194" w:lineRule="exact"/>
        <w:rPr>
          <w:sz w:val="20"/>
          <w:szCs w:val="20"/>
          <w:color w:val="auto"/>
        </w:rPr>
      </w:pPr>
    </w:p>
    <w:p>
      <w:pPr>
        <w:jc w:val="both"/>
        <w:ind w:firstLine="374"/>
        <w:spacing w:after="0" w:line="298" w:lineRule="auto"/>
        <w:rPr>
          <w:sz w:val="20"/>
          <w:szCs w:val="20"/>
          <w:color w:val="auto"/>
        </w:rPr>
      </w:pPr>
      <w:r>
        <w:rPr>
          <w:rFonts w:ascii="Arial" w:cs="Arial" w:eastAsia="Arial" w:hAnsi="Arial"/>
          <w:sz w:val="16"/>
          <w:szCs w:val="16"/>
          <w:color w:val="auto"/>
        </w:rPr>
        <w:t>No assurance can be given as to the amounts or timing of future distributions, as such distributions are subject to the Company's taxable income after giving effect to its net operating loss carryforwards, financial condition, capital requirements, debt covenants, any change in the Company's intention to maintain its REIT qualification and such other factors as the Company's Board of Directors deems relevant. In addition, based upon recent guidance announced by the Internal Revenue Service, the Company may elect to satisfy some of its 2010 REIT distribution requirements, if any, through stock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Dollar Value of</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that May Yet be</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32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auto"/>
                <w:w w:val="92"/>
              </w:rPr>
              <w:t>Average Price Paid</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85"/>
              </w:rPr>
              <w:t>the Plans(1)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November 1—November 30, 2009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2,253,600</w:t>
            </w:r>
          </w:p>
        </w:tc>
        <w:tc>
          <w:tcPr>
            <w:tcW w:w="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2,253,600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24,005,405</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December 1—December 31, 2009</w:t>
            </w:r>
          </w:p>
        </w:tc>
        <w:tc>
          <w:tcPr>
            <w:tcW w:w="1120" w:type="dxa"/>
            <w:vAlign w:val="bottom"/>
          </w:tcPr>
          <w:p>
            <w:pPr>
              <w:jc w:val="right"/>
              <w:spacing w:after="0"/>
              <w:rPr>
                <w:sz w:val="20"/>
                <w:szCs w:val="20"/>
                <w:color w:val="auto"/>
              </w:rPr>
            </w:pPr>
            <w:r>
              <w:rPr>
                <w:rFonts w:ascii="Arial" w:cs="Arial" w:eastAsia="Arial" w:hAnsi="Arial"/>
                <w:sz w:val="18"/>
                <w:szCs w:val="18"/>
                <w:color w:val="auto"/>
              </w:rPr>
              <w:t>983,250</w:t>
            </w: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983,250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21,533,813</w:t>
            </w:r>
          </w:p>
        </w:tc>
        <w:tc>
          <w:tcPr>
            <w:tcW w:w="160" w:type="dxa"/>
            <w:vAlign w:val="bottom"/>
          </w:tcPr>
          <w:p>
            <w:pPr>
              <w:spacing w:after="0"/>
              <w:rPr>
                <w:sz w:val="19"/>
                <w:szCs w:val="19"/>
                <w:color w:val="auto"/>
              </w:rPr>
            </w:pPr>
          </w:p>
        </w:tc>
      </w:tr>
    </w:tbl>
    <w:p>
      <w:pPr>
        <w:spacing w:after="0" w:line="197"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line="318" w:lineRule="auto"/>
        <w:tabs>
          <w:tab w:leader="none" w:pos="16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On March 13, 2009, the Company authorized the repurchase, from time to time, on the open market or otherwise, of up to $50 million of its Common Stock at prevailing market prices or at negotiated prices, including pursuant to one or more trading plans. There is no fixed expiration date to this stock repurchase program.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Equity Compensation Plan Information</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1"/>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47"/>
              <w:spacing w:after="0"/>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2"/>
                <w:szCs w:val="12"/>
                <w:color w:val="auto"/>
              </w:rPr>
            </w:pPr>
          </w:p>
        </w:tc>
        <w:tc>
          <w:tcPr>
            <w:tcW w:w="1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60" w:type="dxa"/>
            <w:vAlign w:val="bottom"/>
          </w:tcPr>
          <w:p>
            <w:pPr>
              <w:spacing w:after="0"/>
              <w:rPr>
                <w:sz w:val="12"/>
                <w:szCs w:val="12"/>
                <w:color w:val="auto"/>
              </w:rPr>
            </w:pPr>
          </w:p>
        </w:tc>
        <w:tc>
          <w:tcPr>
            <w:tcW w:w="1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outstanding 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60" w:type="dxa"/>
            <w:vAlign w:val="bottom"/>
          </w:tcPr>
          <w:p>
            <w:pPr>
              <w:spacing w:after="0"/>
              <w:rPr>
                <w:sz w:val="12"/>
                <w:szCs w:val="12"/>
                <w:color w:val="auto"/>
              </w:rPr>
            </w:pPr>
          </w:p>
        </w:tc>
        <w:tc>
          <w:tcPr>
            <w:tcW w:w="1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61"/>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Plans Category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7"/>
              <w:spacing w:after="0"/>
              <w:rPr>
                <w:sz w:val="20"/>
                <w:szCs w:val="20"/>
                <w:color w:val="auto"/>
              </w:rPr>
            </w:pPr>
            <w:r>
              <w:rPr>
                <w:rFonts w:ascii="Arial" w:cs="Arial" w:eastAsia="Arial" w:hAnsi="Arial"/>
                <w:sz w:val="14"/>
                <w:szCs w:val="14"/>
                <w:b w:val="1"/>
                <w:bCs w:val="1"/>
                <w:color w:val="auto"/>
                <w:w w:val="87"/>
              </w:rPr>
              <w:t>warrants and rights</w:t>
            </w:r>
          </w:p>
        </w:tc>
        <w:tc>
          <w:tcPr>
            <w:tcW w:w="16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holders-stock options(1)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Equity compensation plans approved by security</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holders-restricted stock awards(2)</w:t>
            </w:r>
          </w:p>
        </w:tc>
        <w:tc>
          <w:tcPr>
            <w:tcW w:w="1540" w:type="dxa"/>
            <w:vAlign w:val="bottom"/>
          </w:tcPr>
          <w:p>
            <w:pPr>
              <w:jc w:val="right"/>
              <w:spacing w:after="0"/>
              <w:rPr>
                <w:sz w:val="20"/>
                <w:szCs w:val="20"/>
                <w:color w:val="auto"/>
              </w:rPr>
            </w:pPr>
            <w:r>
              <w:rPr>
                <w:rFonts w:ascii="Arial" w:cs="Arial" w:eastAsia="Arial" w:hAnsi="Arial"/>
                <w:sz w:val="18"/>
                <w:szCs w:val="18"/>
                <w:color w:val="auto"/>
              </w:rPr>
              <w:t>14,268,646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3,489,034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14,788,784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3,489,034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Explanatory Notes:</w:t>
            </w: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continue"/>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60" w:type="dxa"/>
            <w:vAlign w:val="bottom"/>
            <w:gridSpan w:val="3"/>
            <w:vMerge w:val="continue"/>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128905</wp:posOffset>
            </wp:positionV>
            <wp:extent cx="17068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388" w:lineRule="exact"/>
        <w:rPr>
          <w:sz w:val="20"/>
          <w:szCs w:val="20"/>
          <w:color w:val="auto"/>
        </w:rPr>
      </w:pPr>
    </w:p>
    <w:p>
      <w:pPr>
        <w:ind w:left="1680" w:hanging="531"/>
        <w:spacing w:after="0" w:line="239" w:lineRule="auto"/>
        <w:tabs>
          <w:tab w:leader="none" w:pos="1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Stock Options—As more fully discussed in Note 13 to the Company's Consolidated Financial Statements, there were 520,138 stock options outstanding as of December 31, 2009. These options, together with their weighted-average exercise price, have been included in columns (a) and (b), above.</w:t>
      </w:r>
    </w:p>
    <w:p>
      <w:pPr>
        <w:spacing w:after="0" w:line="111" w:lineRule="exact"/>
        <w:rPr>
          <w:rFonts w:ascii="Arial" w:cs="Arial" w:eastAsia="Arial" w:hAnsi="Arial"/>
          <w:sz w:val="14"/>
          <w:szCs w:val="14"/>
          <w:color w:val="auto"/>
        </w:rPr>
      </w:pPr>
    </w:p>
    <w:p>
      <w:pPr>
        <w:jc w:val="both"/>
        <w:ind w:left="1680" w:hanging="531"/>
        <w:spacing w:after="0" w:line="260" w:lineRule="auto"/>
        <w:tabs>
          <w:tab w:leader="none" w:pos="16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Restricted Stock—The amount shown in column (a) includes 2.5 million unvested restricted stock units which may vest in the future based on the passage of time and 11.5 million unvested restricted stock units which may vest in the future if vesting conditions based on both the passage of time and the achievement of specified targets for shareholder return are met. None of these unvested units are included in the Company's outstanding share balance (see Note 13 to the Company's Notes to Consolidated Financial Statements for a more detailed description of the Company's restricted stock grants). Of the 14.8 million securities included in column (a) 10.9 million restricted stock units are required to be settled on a net, after-tax basis (after deducting shares for minimum required statutory withholdings); therefore, the actual number of shares issued will be less than the gross amount of the awards. The amounts shown in column (a) also include 197,385 common stock equivalents awarded to our non-employee directors in consideration of their service to us as directors. The Company awards common stock equivalents to each non-employee director on the date of each annual meeting of shareholders or upon hiring a new board member, pursuant to the Company's Non-Employee Directors' Deferral Plan, which was approved by the Company's shareholders in May 2008. Common stock equivalents represent rights to receive shares of Common Stock, or cash in amount equal to the fair market value of the Common Stock, at the date the Common Stock Equivalents are settled based upon individual elections made by each director. Common stock equivalents have dividend equivalent rights beginning on the date of grant. The 3.5 million in column</w:t>
      </w:r>
    </w:p>
    <w:p>
      <w:pPr>
        <w:spacing w:after="0" w:line="2" w:lineRule="exact"/>
        <w:rPr>
          <w:rFonts w:ascii="Arial" w:cs="Arial" w:eastAsia="Arial" w:hAnsi="Arial"/>
          <w:sz w:val="12"/>
          <w:szCs w:val="12"/>
          <w:color w:val="auto"/>
        </w:rPr>
      </w:pPr>
    </w:p>
    <w:p>
      <w:pPr>
        <w:jc w:val="both"/>
        <w:ind w:left="1680"/>
        <w:spacing w:after="0" w:line="277" w:lineRule="auto"/>
        <w:rPr>
          <w:rFonts w:ascii="Arial" w:cs="Arial" w:eastAsia="Arial" w:hAnsi="Arial"/>
          <w:sz w:val="12"/>
          <w:szCs w:val="12"/>
          <w:color w:val="auto"/>
        </w:rPr>
      </w:pPr>
      <w:r>
        <w:rPr>
          <w:rFonts w:ascii="Arial" w:cs="Arial" w:eastAsia="Arial" w:hAnsi="Arial"/>
          <w:sz w:val="12"/>
          <w:szCs w:val="12"/>
          <w:color w:val="auto"/>
        </w:rPr>
        <w:t>(c) represents the aggregate amount of stock options, shares of restricted stock awards or other performance awards that could be granted under compensation plans approved by the Company's security holders after giving effect to previously issued awards of stock options, shares of restricted stock and other performance awards (see Note 13 to the Company's Consolidated Financial Statements for a more detailed description of the Company's Long-Term Incentive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The following table sets forth selected financial data on a consolidated historical basis for the Company. This information should be read in conjunction with the discussions set forth in Item 7—"Management's Discussion and Analysis of Financial Condition and Results of Operations." Certain prior year amounts have been reclassified to conform to the 2009 presentation.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jc w:val="right"/>
              <w:ind w:right="560"/>
              <w:spacing w:after="0"/>
              <w:rPr>
                <w:sz w:val="20"/>
                <w:szCs w:val="20"/>
                <w:color w:val="auto"/>
              </w:rPr>
            </w:pPr>
            <w:r>
              <w:rPr>
                <w:rFonts w:ascii="Arial" w:cs="Arial" w:eastAsia="Arial" w:hAnsi="Arial"/>
                <w:sz w:val="14"/>
                <w:szCs w:val="14"/>
                <w:b w:val="1"/>
                <w:bCs w:val="1"/>
                <w:color w:val="auto"/>
                <w:w w:val="98"/>
              </w:rPr>
              <w:t>For the Years Ended December 31,</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8"/>
              </w:rPr>
              <w:t>except per share</w:t>
            </w: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8"/>
              </w:rPr>
              <w:t>data and ratios)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557,809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947,661</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998,008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575,598</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406,668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262,625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97,851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99,938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70,824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80,133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1,354,254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1,404,459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749,426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140"/>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481,116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666,706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629,260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429,613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312,806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costs-corporate tenant lease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97,869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83,690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61,609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1,255,357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1,029,322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other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80" w:type="dxa"/>
            <w:vAlign w:val="bottom"/>
            <w:vMerge w:val="restart"/>
          </w:tcPr>
          <w:p>
            <w:pPr>
              <w:ind w:left="120"/>
              <w:spacing w:after="0"/>
              <w:rPr>
                <w:sz w:val="20"/>
                <w:szCs w:val="20"/>
                <w:color w:val="auto"/>
              </w:rPr>
            </w:pPr>
            <w:r>
              <w:rPr>
                <w:rFonts w:ascii="Arial" w:cs="Arial" w:eastAsia="Arial" w:hAnsi="Arial"/>
                <w:sz w:val="18"/>
                <w:szCs w:val="18"/>
                <w:color w:val="auto"/>
              </w:rPr>
              <w:t>Total costs and expenses</w:t>
            </w: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2,216,533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2,329,779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1,235,510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633,945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461,272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before earnings from equity method</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minority interest and other items</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(1,323,249)</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(975,525)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168,949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298,032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288,154</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Gain (loss) on early extinguishment of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547,349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393,131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(46,004)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 of joint venture interest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Earnings from equity method investments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29,626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3,016</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(770,602)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(295,640)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245,166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(11,671)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37,373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from discontinued operations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(769,847)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(181,767)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236,602</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376,034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288,893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 attributable to noncontrolling</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Gains attributable to noncontrolling interests</w:t>
            </w:r>
          </w:p>
        </w:tc>
        <w:tc>
          <w:tcPr>
            <w:tcW w:w="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(22,249)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attributable to iStar Financial Inc.</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(768,776)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(203,025)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287,913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Preferred dividend requirements</w:t>
            </w: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(42,320)</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(42,320)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(42,320)</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(42,320)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(42,320)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income (loss) attributable to iStar Financial Inc.</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and allocable to common shareholders, HPU holders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Participating Security holders(1)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(811,096)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(245,345)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195,098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332,507</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245,593</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140"/>
              <w:spacing w:after="0"/>
              <w:rPr>
                <w:sz w:val="20"/>
                <w:szCs w:val="20"/>
                <w:color w:val="auto"/>
              </w:rPr>
            </w:pPr>
            <w:r>
              <w:rPr>
                <w:rFonts w:ascii="Arial" w:cs="Arial" w:eastAsia="Arial" w:hAnsi="Arial"/>
                <w:sz w:val="18"/>
                <w:szCs w:val="18"/>
                <w:color w:val="auto"/>
              </w:rPr>
              <w:t>Per common share data(2):</w:t>
            </w: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Income (loss) attributable to iStar Financial Inc. from</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w w:val="95"/>
              </w:rPr>
              <w:t>Net income (loss) attributable to iStar Financial Inc.:</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Diluted(3)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15"/>
          </w:tcPr>
          <w:p>
            <w:pPr>
              <w:ind w:left="3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gridSpan w:val="2"/>
          </w:tcPr>
          <w:p>
            <w:pPr>
              <w:spacing w:after="0"/>
              <w:rPr>
                <w:sz w:val="12"/>
                <w:szCs w:val="12"/>
                <w:color w:val="auto"/>
              </w:rPr>
            </w:pPr>
          </w:p>
        </w:tc>
        <w:tc>
          <w:tcPr>
            <w:tcW w:w="8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75"/>
              </w:rPr>
              <w:t>except per share</w:t>
            </w:r>
          </w:p>
        </w:tc>
        <w:tc>
          <w:tcPr>
            <w:tcW w:w="104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w w:val="95"/>
              </w:rPr>
              <w:t>data and ratios)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Per HPU share data(2):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120" w:type="dxa"/>
            <w:vAlign w:val="bottom"/>
            <w:gridSpan w:val="4"/>
          </w:tcPr>
          <w:p>
            <w:pPr>
              <w:ind w:left="120"/>
              <w:spacing w:after="0"/>
              <w:rPr>
                <w:sz w:val="20"/>
                <w:szCs w:val="20"/>
                <w:color w:val="auto"/>
              </w:rPr>
            </w:pPr>
            <w:r>
              <w:rPr>
                <w:rFonts w:ascii="Arial" w:cs="Arial" w:eastAsia="Arial" w:hAnsi="Arial"/>
                <w:sz w:val="18"/>
                <w:szCs w:val="18"/>
                <w:color w:val="auto"/>
                <w:w w:val="95"/>
              </w:rPr>
              <w:t>Income (loss) attributable to iStar Financial Inc. from</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9"/>
              </w:rPr>
              <w:t>(1,503.13)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(505.47)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Diluted(3)</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(1,503.13)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(505.47)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223.27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422.07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327.73</w:t>
            </w:r>
          </w:p>
        </w:tc>
        <w:tc>
          <w:tcPr>
            <w:tcW w:w="160" w:type="dxa"/>
            <w:vAlign w:val="bottom"/>
          </w:tcPr>
          <w:p>
            <w:pPr>
              <w:spacing w:after="0"/>
              <w:rPr>
                <w:sz w:val="18"/>
                <w:szCs w:val="18"/>
                <w:color w:val="auto"/>
              </w:rPr>
            </w:pPr>
          </w:p>
        </w:tc>
      </w:tr>
      <w:tr>
        <w:trPr>
          <w:trHeight w:val="419"/>
        </w:trPr>
        <w:tc>
          <w:tcPr>
            <w:tcW w:w="20" w:type="dxa"/>
            <w:vAlign w:val="bottom"/>
          </w:tcPr>
          <w:p>
            <w:pPr>
              <w:spacing w:after="0"/>
              <w:rPr>
                <w:sz w:val="24"/>
                <w:szCs w:val="24"/>
                <w:color w:val="auto"/>
              </w:rPr>
            </w:pPr>
          </w:p>
        </w:tc>
        <w:tc>
          <w:tcPr>
            <w:tcW w:w="41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96"/>
              </w:rPr>
              <w:t>Net income (loss) attributable to iStar Financial Inc.:</w:t>
            </w: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(1,501.73)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(349.87)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279.53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530.94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402.73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Diluted(3)</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9"/>
              </w:rPr>
              <w:t>(1,501.73)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(349.87)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160" w:type="dxa"/>
            <w:vAlign w:val="bottom"/>
            <w:shd w:val="clear" w:color="auto" w:fill="CCEEFF"/>
          </w:tcPr>
          <w:p>
            <w:pPr>
              <w:spacing w:after="0"/>
              <w:rPr>
                <w:sz w:val="18"/>
                <w:szCs w:val="18"/>
                <w:color w:val="auto"/>
              </w:rPr>
            </w:pPr>
          </w:p>
        </w:tc>
      </w:tr>
      <w:tr>
        <w:trPr>
          <w:trHeight w:val="431"/>
        </w:trPr>
        <w:tc>
          <w:tcPr>
            <w:tcW w:w="3440" w:type="dxa"/>
            <w:vAlign w:val="bottom"/>
            <w:gridSpan w:val="2"/>
          </w:tcPr>
          <w:p>
            <w:pPr>
              <w:spacing w:after="0"/>
              <w:rPr>
                <w:sz w:val="20"/>
                <w:szCs w:val="20"/>
                <w:color w:val="auto"/>
              </w:rPr>
            </w:pPr>
            <w:r>
              <w:rPr>
                <w:rFonts w:ascii="Arial" w:cs="Arial" w:eastAsia="Arial" w:hAnsi="Arial"/>
                <w:sz w:val="18"/>
                <w:szCs w:val="18"/>
                <w:color w:val="auto"/>
              </w:rPr>
              <w:t>Dividends declared per common share(4)</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1.74</w:t>
            </w:r>
          </w:p>
        </w:tc>
        <w:tc>
          <w:tcPr>
            <w:tcW w:w="40" w:type="dxa"/>
            <w:vAlign w:val="bottom"/>
          </w:tcPr>
          <w:p>
            <w:pPr>
              <w:spacing w:after="0"/>
              <w:rPr>
                <w:sz w:val="24"/>
                <w:szCs w:val="24"/>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w w:val="88"/>
              </w:rPr>
              <w:t>Adjusted diluted earnings (loss) attributable to iStar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Financial, Inc. and allocable to common</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shareholders and HPU holders(5)(6)</w:t>
            </w: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(708,595)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(359,295)</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355,707</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429,922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391,884</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EBITDA(6)(7)</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(168,362)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612,325</w:t>
            </w:r>
          </w:p>
        </w:tc>
        <w:tc>
          <w:tcPr>
            <w:tcW w:w="4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$ 1,013,087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904,537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687,571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Ratio of earnings to fixed charges(8)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(0.5)x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5"/>
          </w:tcPr>
          <w:p>
            <w:pPr>
              <w:ind w:left="100"/>
              <w:spacing w:after="0"/>
              <w:rPr>
                <w:sz w:val="20"/>
                <w:szCs w:val="20"/>
                <w:color w:val="auto"/>
              </w:rPr>
            </w:pPr>
            <w:r>
              <w:rPr>
                <w:rFonts w:ascii="Arial" w:cs="Arial" w:eastAsia="Arial" w:hAnsi="Arial"/>
                <w:sz w:val="18"/>
                <w:szCs w:val="18"/>
                <w:color w:val="auto"/>
              </w:rPr>
              <w:t>0.6x</w:t>
            </w:r>
          </w:p>
        </w:tc>
        <w:tc>
          <w:tcPr>
            <w:tcW w:w="940" w:type="dxa"/>
            <w:vAlign w:val="bottom"/>
            <w:gridSpan w:val="4"/>
          </w:tcPr>
          <w:p>
            <w:pPr>
              <w:jc w:val="right"/>
              <w:ind w:right="8"/>
              <w:spacing w:after="0"/>
              <w:rPr>
                <w:sz w:val="20"/>
                <w:szCs w:val="20"/>
                <w:color w:val="auto"/>
              </w:rPr>
            </w:pPr>
            <w:r>
              <w:rPr>
                <w:rFonts w:ascii="Arial" w:cs="Arial" w:eastAsia="Arial" w:hAnsi="Arial"/>
                <w:sz w:val="18"/>
                <w:szCs w:val="18"/>
                <w:color w:val="auto"/>
              </w:rPr>
              <w:t>1.3x</w:t>
            </w:r>
          </w:p>
        </w:tc>
        <w:tc>
          <w:tcPr>
            <w:tcW w:w="100" w:type="dxa"/>
            <w:vAlign w:val="bottom"/>
          </w:tcPr>
          <w:p>
            <w:pPr>
              <w:spacing w:after="0"/>
              <w:rPr>
                <w:sz w:val="18"/>
                <w:szCs w:val="18"/>
                <w:color w:val="auto"/>
              </w:rPr>
            </w:pPr>
          </w:p>
        </w:tc>
        <w:tc>
          <w:tcPr>
            <w:tcW w:w="940" w:type="dxa"/>
            <w:vAlign w:val="bottom"/>
            <w:gridSpan w:val="4"/>
          </w:tcPr>
          <w:p>
            <w:pPr>
              <w:ind w:left="540"/>
              <w:spacing w:after="0"/>
              <w:rPr>
                <w:sz w:val="20"/>
                <w:szCs w:val="20"/>
                <w:color w:val="auto"/>
              </w:rPr>
            </w:pPr>
            <w:r>
              <w:rPr>
                <w:rFonts w:ascii="Arial" w:cs="Arial" w:eastAsia="Arial" w:hAnsi="Arial"/>
                <w:sz w:val="18"/>
                <w:szCs w:val="18"/>
                <w:color w:val="auto"/>
              </w:rPr>
              <w:t>1.7x</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1.8x</w:t>
            </w:r>
          </w:p>
        </w:tc>
      </w:tr>
      <w:tr>
        <w:trPr>
          <w:trHeight w:val="208"/>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Ratio of earnings to fixed charges and preferred stock</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(0.5)x</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0.6x</w:t>
            </w:r>
          </w:p>
        </w:tc>
        <w:tc>
          <w:tcPr>
            <w:tcW w:w="94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1.3x</w:t>
            </w:r>
          </w:p>
        </w:tc>
        <w:tc>
          <w:tcPr>
            <w:tcW w:w="100" w:type="dxa"/>
            <w:vAlign w:val="bottom"/>
            <w:shd w:val="clear" w:color="auto" w:fill="CCEEFF"/>
          </w:tcPr>
          <w:p>
            <w:pPr>
              <w:spacing w:after="0"/>
              <w:rPr>
                <w:sz w:val="19"/>
                <w:szCs w:val="19"/>
                <w:color w:val="auto"/>
              </w:rPr>
            </w:pPr>
          </w:p>
        </w:tc>
        <w:tc>
          <w:tcPr>
            <w:tcW w:w="9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1.6x</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1.6x</w:t>
            </w:r>
          </w:p>
        </w:tc>
      </w:tr>
      <w:tr>
        <w:trPr>
          <w:trHeight w:val="216"/>
        </w:trPr>
        <w:tc>
          <w:tcPr>
            <w:tcW w:w="2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w w:val="93"/>
              </w:rPr>
              <w:t>Weighted average common shares outstanding—basic</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100,071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131,153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126,801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115,023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112,513</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86"/>
              </w:rPr>
              <w:t>Weighted average common shares outstanding—</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100,071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131,153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127,542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116,057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113,668</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w w:val="92"/>
              </w:rPr>
              <w:t>Weighted average HPU shares outstanding—basic and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r>
      <w:tr>
        <w:trPr>
          <w:trHeight w:val="420"/>
        </w:trPr>
        <w:tc>
          <w:tcPr>
            <w:tcW w:w="20" w:type="dxa"/>
            <w:vAlign w:val="bottom"/>
          </w:tcPr>
          <w:p>
            <w:pPr>
              <w:spacing w:after="0"/>
              <w:rPr>
                <w:sz w:val="24"/>
                <w:szCs w:val="2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76,276</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418,529</w:t>
            </w:r>
          </w:p>
        </w:tc>
        <w:tc>
          <w:tcPr>
            <w:tcW w:w="4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561,337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431,224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515,919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726,221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(27,943)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w w:val="86"/>
              </w:rPr>
              <w:t>(4,745,080)</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(2,529,260)</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(1,406,121)</w:t>
            </w:r>
          </w:p>
        </w:tc>
      </w:tr>
      <w:tr>
        <w:trPr>
          <w:trHeight w:val="222"/>
        </w:trPr>
        <w:tc>
          <w:tcPr>
            <w:tcW w:w="2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w w:val="89"/>
              </w:rPr>
              <w:t>(1,074,402)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1,444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4,182,299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2,088,617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917,150</w:t>
            </w:r>
          </w:p>
        </w:tc>
        <w:tc>
          <w:tcPr>
            <w:tcW w:w="160" w:type="dxa"/>
            <w:vAlign w:val="bottom"/>
          </w:tcPr>
          <w:p>
            <w:pPr>
              <w:spacing w:after="0"/>
              <w:rPr>
                <w:sz w:val="19"/>
                <w:szCs w:val="19"/>
                <w:color w:val="auto"/>
              </w:rPr>
            </w:pPr>
          </w:p>
        </w:tc>
      </w:tr>
      <w:tr>
        <w:trPr>
          <w:trHeight w:val="41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w w:val="89"/>
              </w:rPr>
              <w:t>As of December 31,</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bottom w:val="single" w:sz="8" w:color="auto"/>
            </w:tcBorders>
            <w:gridSpan w:val="5"/>
          </w:tcPr>
          <w:p>
            <w:pPr>
              <w:jc w:val="right"/>
              <w:ind w:right="27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2400" w:type="dxa"/>
            <w:vAlign w:val="bottom"/>
            <w:gridSpan w:val="13"/>
          </w:tcPr>
          <w:p>
            <w:pPr>
              <w:spacing w:after="0" w:line="142" w:lineRule="exact"/>
              <w:rPr>
                <w:sz w:val="20"/>
                <w:szCs w:val="20"/>
                <w:color w:val="auto"/>
              </w:rPr>
            </w:pPr>
            <w:r>
              <w:rPr>
                <w:rFonts w:ascii="Arial" w:cs="Arial" w:eastAsia="Arial" w:hAnsi="Arial"/>
                <w:sz w:val="14"/>
                <w:szCs w:val="14"/>
                <w:b w:val="1"/>
                <w:bCs w:val="1"/>
                <w:color w:val="auto"/>
              </w:rPr>
              <w:t>except per share data and ratios)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419"/>
        </w:trPr>
        <w:tc>
          <w:tcPr>
            <w:tcW w:w="20" w:type="dxa"/>
            <w:vAlign w:val="bottom"/>
          </w:tcPr>
          <w:p>
            <w:pPr>
              <w:spacing w:after="0"/>
              <w:rPr>
                <w:sz w:val="24"/>
                <w:szCs w:val="2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Loans and other lending investments, 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7,661,562</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$ 10,586,644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10,949,354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6,799,850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4,661,915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Corporate tenant lease assets, net</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2,885,896</w:t>
            </w: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3,044,811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3,309,866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3,084,794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3,115,361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12,810,575</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15,296,748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15,848,298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0"/>
              </w:rPr>
              <w:t>11,059,995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8,532,296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net</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10,894,903</w:t>
            </w: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12,486,404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12,363,044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7,833,437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5,859,592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7,444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9,190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9,228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1,656,118</w:t>
            </w: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2,446,662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2,972,170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3,016,372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2,470,954</w:t>
            </w:r>
          </w:p>
        </w:tc>
        <w:tc>
          <w:tcPr>
            <w:tcW w:w="160" w:type="dxa"/>
            <w:vAlign w:val="bottom"/>
            <w:shd w:val="clear" w:color="auto" w:fill="CCEEFF"/>
          </w:tcPr>
          <w:p>
            <w:pPr>
              <w:spacing w:after="0"/>
              <w:rPr>
                <w:sz w:val="18"/>
                <w:szCs w:val="18"/>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1680" w:hanging="531"/>
        <w:spacing w:after="0" w:line="233" w:lineRule="auto"/>
        <w:tabs>
          <w:tab w:leader="none" w:pos="1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HPU holders are current and former Company employees who purchased high performance common stock units under the Company's High Performance Unit Program. Participating Security holders are Company employees and directors who hold unvested restricted stock units and common stock equivalents granted under the Company's Long Term Incentive Plan.</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Note 14 of the Company's Notes to the Consolidated Financial Statements.</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the years ended December 31, 2007, 2006 and 2005, net income used to calculate earnings per diluted common share and HPU share includes joint venture income of $85, $115, and $28, respectively.</w:t>
      </w:r>
    </w:p>
    <w:p>
      <w:pPr>
        <w:spacing w:after="0" w:line="111"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generally declares common dividends in the month subsequent to the end of the quarter. During 2009, no common dividends were declared. During 2008, no common dividends were declared for the three month periods ended September 30, 2008 and December 31, 2008. In December of 2007, the Company declared a special $0.25 dividend due to higher taxable income generated as a result of the Company's acquisition of Fremont CRE.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both"/>
        <w:ind w:left="1680" w:hanging="531"/>
        <w:spacing w:after="0" w:line="230" w:lineRule="auto"/>
        <w:tabs>
          <w:tab w:leader="none" w:pos="1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earnings represents net income allocable to common shareholders and HPU holders computed in accordance with GAAP, before depreciation, depletion, amortization, gain from discontinued operations, ineffectiveness on interest rate hedges, impairment of goodwill and intangible assets, extraordinary items and cumulative effect of change in accounting principle. (See Item 7—"Management's Discussion and Analysis of Financial Condition and Results of Operations," for a reconciliation of adjusted earnings to net income).</w:t>
      </w:r>
    </w:p>
    <w:p>
      <w:pPr>
        <w:spacing w:after="0" w:line="112" w:lineRule="exact"/>
        <w:rPr>
          <w:rFonts w:ascii="Arial" w:cs="Arial" w:eastAsia="Arial" w:hAnsi="Arial"/>
          <w:sz w:val="14"/>
          <w:szCs w:val="14"/>
          <w:color w:val="auto"/>
        </w:rPr>
      </w:pPr>
    </w:p>
    <w:p>
      <w:pPr>
        <w:jc w:val="both"/>
        <w:ind w:left="1680" w:hanging="531"/>
        <w:spacing w:after="0" w:line="268" w:lineRule="auto"/>
        <w:tabs>
          <w:tab w:leader="none" w:pos="16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Both adjusted earnings and EBITDA should be examined in conjunction with net income (loss) as shown in the Company's Consolidated Statements of Operations. Neither adjusted earnings nor EBITDA should be considered as an alternative to net income (loss) (determined in accordance with GAAP) as an indicator of the Company's performance, or to cash flows from operating activities (determined in accordance with GAAP) as a measure of the Company's liquidity, nor is either measure indicative of funds available to fund the Company's cash needs or available for distribution to shareholders. Rather, adjusted earnings and EBITDA are additional measures the Company uses to analyze how its business is performing. As a commercial finance company that focuses on real estate lending and corporate tenant leasing, the Company records significant depreciation on its real estate assets and amortization of deferred financing costs associated with its borrowings. It should be noted that the Company's manner of calculating adjusted earnings and EBITDA may differ from the calculations of similarly-titled measures by other companies.</w:t>
      </w:r>
    </w:p>
    <w:p>
      <w:pPr>
        <w:spacing w:after="0" w:line="96" w:lineRule="exact"/>
        <w:rPr>
          <w:rFonts w:ascii="Arial" w:cs="Arial" w:eastAsia="Arial" w:hAnsi="Arial"/>
          <w:sz w:val="12"/>
          <w:szCs w:val="12"/>
          <w:color w:val="auto"/>
        </w:rPr>
      </w:pPr>
    </w:p>
    <w:p>
      <w:pPr>
        <w:ind w:left="1680" w:hanging="531"/>
        <w:spacing w:after="0"/>
        <w:tabs>
          <w:tab w:leader="none" w:pos="16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EBITDA is calculated as net income (loss) attributable to iStar Financial Inc. plus the sum of interest expense, income taxes, depreciation, depletion and amortization.</w:t>
      </w:r>
    </w:p>
    <w:p>
      <w:pPr>
        <w:spacing w:after="0" w:line="27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302"/>
              <w:spacing w:after="0"/>
              <w:rPr>
                <w:sz w:val="20"/>
                <w:szCs w:val="20"/>
                <w:color w:val="auto"/>
              </w:rPr>
            </w:pPr>
            <w:r>
              <w:rPr>
                <w:rFonts w:ascii="Arial" w:cs="Arial" w:eastAsia="Arial" w:hAnsi="Arial"/>
                <w:sz w:val="14"/>
                <w:szCs w:val="14"/>
                <w:b w:val="1"/>
                <w:bCs w:val="1"/>
                <w:color w:val="auto"/>
                <w:w w:val="93"/>
              </w:rPr>
              <w:t>For the Years Ended December 31,</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8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iStar Financial Inc</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(769,847)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(181,767)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$ 376,034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$ 288,893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40"/>
              <w:spacing w:after="0"/>
              <w:rPr>
                <w:sz w:val="20"/>
                <w:szCs w:val="20"/>
                <w:color w:val="auto"/>
              </w:rPr>
            </w:pPr>
            <w:r>
              <w:rPr>
                <w:rFonts w:ascii="Arial" w:cs="Arial" w:eastAsia="Arial" w:hAnsi="Arial"/>
                <w:sz w:val="18"/>
                <w:szCs w:val="18"/>
                <w:color w:val="auto"/>
              </w:rPr>
              <w:t>Add: Interest expense(1)</w:t>
            </w:r>
          </w:p>
        </w:tc>
        <w:tc>
          <w:tcPr>
            <w:tcW w:w="800" w:type="dxa"/>
            <w:vAlign w:val="bottom"/>
          </w:tcPr>
          <w:p>
            <w:pPr>
              <w:jc w:val="right"/>
              <w:spacing w:after="0"/>
              <w:rPr>
                <w:sz w:val="20"/>
                <w:szCs w:val="20"/>
                <w:color w:val="auto"/>
              </w:rPr>
            </w:pPr>
            <w:r>
              <w:rPr>
                <w:rFonts w:ascii="Arial" w:cs="Arial" w:eastAsia="Arial" w:hAnsi="Arial"/>
                <w:sz w:val="18"/>
                <w:szCs w:val="18"/>
                <w:color w:val="auto"/>
              </w:rPr>
              <w:t>481,116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666,706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629,260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429,613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312,806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 Income taxes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40"/>
              <w:spacing w:after="0"/>
              <w:rPr>
                <w:sz w:val="20"/>
                <w:szCs w:val="20"/>
                <w:color w:val="auto"/>
              </w:rPr>
            </w:pPr>
            <w:r>
              <w:rPr>
                <w:rFonts w:ascii="Arial" w:cs="Arial" w:eastAsia="Arial" w:hAnsi="Arial"/>
                <w:sz w:val="18"/>
                <w:szCs w:val="18"/>
                <w:color w:val="auto"/>
              </w:rPr>
              <w:t>Add: Depreciation, depletion and amortization(2)</w:t>
            </w:r>
          </w:p>
        </w:tc>
        <w:tc>
          <w:tcPr>
            <w:tcW w:w="800" w:type="dxa"/>
            <w:vAlign w:val="bottom"/>
          </w:tcPr>
          <w:p>
            <w:pPr>
              <w:jc w:val="right"/>
              <w:spacing w:after="0"/>
              <w:rPr>
                <w:sz w:val="20"/>
                <w:szCs w:val="20"/>
                <w:color w:val="auto"/>
              </w:rPr>
            </w:pPr>
            <w:r>
              <w:rPr>
                <w:rFonts w:ascii="Arial" w:cs="Arial" w:eastAsia="Arial" w:hAnsi="Arial"/>
                <w:sz w:val="18"/>
                <w:szCs w:val="18"/>
                <w:color w:val="auto"/>
              </w:rPr>
              <w:t>98,238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102,745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99,427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83,058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75,574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 Joint venture depreciation, depletion and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00" w:type="dxa"/>
            <w:vAlign w:val="bottom"/>
            <w:vMerge w:val="restart"/>
          </w:tcPr>
          <w:p>
            <w:pPr>
              <w:ind w:left="240"/>
              <w:spacing w:after="0"/>
              <w:rPr>
                <w:sz w:val="20"/>
                <w:szCs w:val="20"/>
                <w:color w:val="auto"/>
              </w:rPr>
            </w:pPr>
            <w:r>
              <w:rPr>
                <w:rFonts w:ascii="Arial" w:cs="Arial" w:eastAsia="Arial" w:hAnsi="Arial"/>
                <w:sz w:val="18"/>
                <w:szCs w:val="18"/>
                <w:color w:val="auto"/>
              </w:rPr>
              <w:t>EBITDA</w:t>
            </w:r>
          </w:p>
        </w:tc>
        <w:tc>
          <w:tcPr>
            <w:tcW w:w="9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00" w:type="dxa"/>
            <w:vAlign w:val="bottom"/>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(168,362)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612,325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1,013,087</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$ 904,537</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$ 687,571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137160</wp:posOffset>
            </wp:positionV>
            <wp:extent cx="16205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220" w:hanging="531"/>
        <w:spacing w:after="0" w:line="239" w:lineRule="auto"/>
        <w:tabs>
          <w:tab w:leader="none" w:pos="22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For the years ended December 31, 2007, 2006 and 2005, interest expense includes $12, $194, and $247, respectively, of interest expense reclassified to discontinued operations.</w:t>
      </w:r>
    </w:p>
    <w:p>
      <w:pPr>
        <w:spacing w:after="0" w:line="111" w:lineRule="exact"/>
        <w:rPr>
          <w:rFonts w:ascii="Arial" w:cs="Arial" w:eastAsia="Arial" w:hAnsi="Arial"/>
          <w:sz w:val="14"/>
          <w:szCs w:val="14"/>
          <w:color w:val="auto"/>
        </w:rPr>
      </w:pPr>
    </w:p>
    <w:p>
      <w:pPr>
        <w:ind w:left="2220" w:hanging="531"/>
        <w:spacing w:after="0" w:line="239" w:lineRule="auto"/>
        <w:tabs>
          <w:tab w:leader="none" w:pos="22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For the years ended December 31, 2009, 2008, 2007, 2006, and 2005, depreciation, depletion and amortization includes $1,419, $6,717, $10,677, $12,567, and $11,461, respectively, of depreciation, depletion and amortization reclassified to discontinued operations.</w:t>
      </w:r>
    </w:p>
    <w:p>
      <w:pPr>
        <w:spacing w:after="0" w:line="179" w:lineRule="exact"/>
        <w:rPr>
          <w:rFonts w:ascii="Arial" w:cs="Arial" w:eastAsia="Arial" w:hAnsi="Arial"/>
          <w:sz w:val="14"/>
          <w:szCs w:val="14"/>
          <w:color w:val="auto"/>
        </w:rPr>
      </w:pPr>
    </w:p>
    <w:p>
      <w:pPr>
        <w:jc w:val="both"/>
        <w:ind w:left="1680" w:hanging="531"/>
        <w:spacing w:after="0" w:line="230" w:lineRule="auto"/>
        <w:tabs>
          <w:tab w:leader="none" w:pos="1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ratio of earnings to fixed charges is calculated in accordance with GAAP. The Company's bank credit facilities and senior notes both have fixed charge coverage covenants, however, each is calculated differently in accordance with the terms of the respective agreements. In addition, the fixed charge covenant in the bank credit facilities is a maintenance covenant while the covenant in the senior notes is an incurrence covenant. The fixed charge coverage ratios for the bank credit facilities and senior notes were 3.0x and 2.4x, respectively as of December 31, 2009.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559"/>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Forward-looking statements are included with respect to, among other things, iStar Financial Inc.'s (the "Company's") current business plan, business strategy, portfolio management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the Company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 For purposes of Management's Discussion and Analysis of Financial Condition and Results of Operations, the terms "we," "our" and "us" refer to iStar Financial Inc. and its consolidated subsidiaries, unless the context indicates otherwise.</w:t>
      </w:r>
    </w:p>
    <w:p>
      <w:pPr>
        <w:spacing w:after="0" w:line="175"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This discussion summarizes the significant factors affecting our consolidated operating results, financial condition and liquidity during the three-year period ended December 31, 2009. This discussion should be read in conjunction with our consolidated financial statements and related notes for the three-year period ended December 31, 2009 included elsewhere in this annual report on Form 10-K. These historical financial statements may not be indicative of our future performance. We reclassified certain items in our consolidated financial statements of prior years to conform to our current year's presentation.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firstLine="398"/>
        <w:spacing w:after="0" w:line="294" w:lineRule="auto"/>
        <w:rPr>
          <w:sz w:val="20"/>
          <w:szCs w:val="20"/>
          <w:color w:val="auto"/>
        </w:rPr>
      </w:pPr>
      <w:r>
        <w:rPr>
          <w:rFonts w:ascii="Arial" w:cs="Arial" w:eastAsia="Arial" w:hAnsi="Arial"/>
          <w:sz w:val="16"/>
          <w:szCs w:val="16"/>
          <w:color w:val="auto"/>
        </w:rPr>
        <w:t>iStar Financial Inc. is a publicly traded finance company focused on the commercial real estate industry. We primarily provide custom tailored financing to high-end private and corporate owners of real estate, including senior and mezzanine real estate debt, senior and mezzanine corporate capital, as well as corporate net lease financing and equity. We are taxed as a real estate investment trust, or "REIT" and provide innovative and value added financing solutions to our customers. We deliver customized financial products to sophisticated real estate borrowers and corporate customers who require a high level of flexibility and service. Our two primary lines of business are lending and corporate tenant leasing.</w:t>
      </w:r>
    </w:p>
    <w:p>
      <w:pPr>
        <w:spacing w:after="0" w:line="170"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original terms generally ranging from three to ten years. These loans may be either fixed-rate (based on the U.S. Treasury rate plus a spread) or variable-rate (based on LIBOR plus a spread) and are structured to meet the specific financing needs of the borrowers. We also provide senior and subordinated capital to corporations, particularly those engaged in real estate or real estate related businesses. These financings may be either secured or unsecured, typically range in size from $20 million to $150 million and have initial maturities generally ranging from three to ten years. As part of the lending business, we also acquire whole loans, loan participations and debt securities which present attractive risk-reward opportunities.</w:t>
      </w:r>
    </w:p>
    <w:p>
      <w:pPr>
        <w:spacing w:after="0" w:line="17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corporate tenant leasing business provides capital to corporations and other owners who control facilities leased to single creditworthy customers. Our net leased assets are generally mission critical headquarters or distribution facilities that are subject to long-term leases with public companies, many of which are rated corporate credits. Most of the leases provide for expenses at the facility to be paid by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customer on a triple net lease basis. Corporate tenant lease, or "CTL," transactions have initial terms generally ranging from 15 to 20 years and typically range in size from $20 million to $150 million.</w:t>
      </w:r>
    </w:p>
    <w:p>
      <w:pPr>
        <w:spacing w:after="0" w:line="186" w:lineRule="exact"/>
        <w:rPr>
          <w:sz w:val="20"/>
          <w:szCs w:val="20"/>
          <w:color w:val="auto"/>
        </w:rPr>
      </w:pPr>
    </w:p>
    <w:p>
      <w:pPr>
        <w:jc w:val="both"/>
        <w:ind w:firstLine="430"/>
        <w:spacing w:after="0" w:line="259" w:lineRule="auto"/>
        <w:rPr>
          <w:sz w:val="20"/>
          <w:szCs w:val="20"/>
          <w:color w:val="auto"/>
        </w:rPr>
      </w:pPr>
      <w:r>
        <w:rPr>
          <w:rFonts w:ascii="Arial" w:cs="Arial" w:eastAsia="Arial" w:hAnsi="Arial"/>
          <w:sz w:val="18"/>
          <w:szCs w:val="18"/>
          <w:color w:val="auto"/>
        </w:rPr>
        <w:t>Our primary sources of revenues are interest income, which is the interest that borrowers pay on loans, and operating lease income, which is the rent that corporate customers pay to lease our CTL properties. We primarily generate income through the "spread" or "margin," which is the difference between the revenues generated from loans and leases and interest expense and the cost of CTL operations.</w:t>
      </w:r>
    </w:p>
    <w:p>
      <w:pPr>
        <w:spacing w:after="0" w:line="194" w:lineRule="exact"/>
        <w:rPr>
          <w:sz w:val="20"/>
          <w:szCs w:val="20"/>
          <w:color w:val="auto"/>
        </w:rPr>
      </w:pPr>
    </w:p>
    <w:p>
      <w:pPr>
        <w:jc w:val="both"/>
        <w:ind w:firstLine="554"/>
        <w:spacing w:after="0" w:line="255" w:lineRule="auto"/>
        <w:rPr>
          <w:sz w:val="20"/>
          <w:szCs w:val="20"/>
          <w:color w:val="auto"/>
        </w:rPr>
      </w:pPr>
      <w:r>
        <w:rPr>
          <w:rFonts w:ascii="Arial" w:cs="Arial" w:eastAsia="Arial" w:hAnsi="Arial"/>
          <w:sz w:val="18"/>
          <w:szCs w:val="18"/>
          <w:color w:val="auto"/>
        </w:rPr>
        <w:t>We began our business in 1993 through private investment funds and became publicly traded in 1998. Since that time, we have grown through the origination of new lending and leasing transactions, as well as through corporate acquisitions, including the acquisition of TriNet Corporate Realty Trust, Inc. in 1999, the acquisitions of Falcon Financial Investment Trust and of a significant non-controlling interest in Oak Hill Advisors, L.P. and affiliates in 2005, and the acquisition of the commercial real estate lending business and loan portfolio which we refer to as the "Fremont CRE," of Fremont Investment and Loan, or "Fremont," a division of Fremont General Corporation, in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363"/>
        <w:spacing w:after="0" w:line="288" w:lineRule="auto"/>
        <w:rPr>
          <w:sz w:val="20"/>
          <w:szCs w:val="20"/>
          <w:color w:val="auto"/>
        </w:rPr>
      </w:pPr>
      <w:r>
        <w:rPr>
          <w:rFonts w:ascii="Arial" w:cs="Arial" w:eastAsia="Arial" w:hAnsi="Arial"/>
          <w:sz w:val="16"/>
          <w:szCs w:val="16"/>
          <w:color w:val="auto"/>
        </w:rPr>
        <w:t>The financial market conditions that began in late 2007, including the economic recession and tightening of credit markets, continued to significantly impact the commercial real estate market and financial services industry in 2009. The severe economic downturn led to a decline in commercial real estate values, which, combined with a lack of available debt financing for commercial and residential real estate assets, limited borrowers' ability to repay or refinance their loans. Further, the ability of many of our borrowers to sell units in residential projects has been adversely impacted by current economic conditions and the lack of end loan financing available to residential unit purchasers. The combination of these factors adversely affected our business, financial condition and operating performance in 2009, resulting in significant additions to non-performing assets, increases in the related provision for loan losses and a reduction in the level of liquidity available to finance our operations. These economic factors and their effect on our operations have resulted in increases in our financing costs, a continuing inability to access the unsecured debt markets, depressed prices for our Common Stock, the continued suspension of quarterly Common Stock dividends and has narrowed our margin of compliance with debt covenants.</w:t>
      </w:r>
    </w:p>
    <w:p>
      <w:pPr>
        <w:spacing w:after="0" w:line="174" w:lineRule="exact"/>
        <w:rPr>
          <w:sz w:val="20"/>
          <w:szCs w:val="20"/>
          <w:color w:val="auto"/>
        </w:rPr>
      </w:pPr>
    </w:p>
    <w:p>
      <w:pPr>
        <w:jc w:val="both"/>
        <w:ind w:firstLine="483"/>
        <w:spacing w:after="0" w:line="287" w:lineRule="auto"/>
        <w:rPr>
          <w:sz w:val="20"/>
          <w:szCs w:val="20"/>
          <w:color w:val="auto"/>
        </w:rPr>
      </w:pPr>
      <w:r>
        <w:rPr>
          <w:rFonts w:ascii="Arial" w:cs="Arial" w:eastAsia="Arial" w:hAnsi="Arial"/>
          <w:sz w:val="16"/>
          <w:szCs w:val="16"/>
          <w:color w:val="auto"/>
        </w:rPr>
        <w:t>During the year ended 2009, we incurred a net loss of $(768.8) million on $893.3 million of revenue. These financial results primarily resulted from a provision for loan losses of $1.26 billion and impairments of other assets of $141.0 million, which were recognized during the year. The provision for loan losses was driven by an increase in non-performing loans to $4.21 billion, or 45.3% of Managed Loan Value (as defined below in "Risk Management") as of December 31, 2009, compared to $3.46 billion, or 27.5% of Managed Loan Value at December 31, 2008. The increase in non-performing loans resulted from the continued deterioration in the commercial and residential real estate markets and weakened economic conditions impacting our borrowers, who continue to have difficulty servicing their debt and refinancing or selling their projects in order to repay their loans in a timely manner. In addition, the balance of our real estate held for investment ("REHI") and other real estate owned ("OREO") assets have increased from $242.5 million as of December 31, 2008 to $1.26 billion as of December 31, 2009, as we have obtained title to properties through foreclosure or through deed-in-lieu of foreclosure as part of our effort to resolve non-performing loans. The losses were partially offset by the repurchase of $1.31 billion par value of senior unsecured notes resulting in the recognition of $439.4 million in net gains on the early extinguishment of debt.</w:t>
      </w:r>
    </w:p>
    <w:p>
      <w:pPr>
        <w:spacing w:after="0" w:line="177"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Our primary recourse debt instruments include our secured and unsecured bank credit facilities and our secured and unsecured public debt securities. We believe we are in full compliance with all the covenants in those debt instruments as of December 31, 2009; however, our recent financial results have put pressure on our ability to maintain compliance with certain of the debt covenants in our secured bank credit facilities. In particular, our tangible net worth at December 31, 2009 is not significantly above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financial covenant minimum requirement. We intend to operate our business in order to remain in compliance with the covenants in our debt instruments; however, there can be no assurance that we will be able to do so. A failure by us to satisfy a financial covenant in a debt instrument could trigger a default under that debt instrument and could give the lenders the ability to accelerate the debt if the default is not waived or cured. Most of our recourse debt instruments contain cross default and/or cross-acceleration provisions that may be triggered by defaults or accelerations of our recourse debt above specified thresholds.</w:t>
      </w:r>
    </w:p>
    <w:p>
      <w:pPr>
        <w:spacing w:after="0" w:line="167" w:lineRule="exact"/>
        <w:rPr>
          <w:sz w:val="20"/>
          <w:szCs w:val="20"/>
          <w:color w:val="auto"/>
        </w:rPr>
      </w:pPr>
    </w:p>
    <w:p>
      <w:pPr>
        <w:jc w:val="both"/>
        <w:ind w:firstLine="365"/>
        <w:spacing w:after="0" w:line="253" w:lineRule="auto"/>
        <w:rPr>
          <w:sz w:val="20"/>
          <w:szCs w:val="20"/>
          <w:color w:val="auto"/>
        </w:rPr>
      </w:pPr>
      <w:r>
        <w:rPr>
          <w:rFonts w:ascii="Arial" w:cs="Arial" w:eastAsia="Arial" w:hAnsi="Arial"/>
          <w:sz w:val="18"/>
          <w:szCs w:val="18"/>
          <w:color w:val="auto"/>
        </w:rPr>
        <w:t>From a liquidity perspective, we expect to continue to experience significant uncertainty with respect to our sources of funds. Our cash flow may be affected by a variety of factors, many of which are outside our control, including volatility in the financial markets, our borrowers' ability to repay their obligations and other general business conditions. As of December 31, 2009, we had $224.6 million of unrestricted cash. For the upcoming year, we will require significant capital to repay $586.8 million of our 2010 debt maturities and to fund our investment activities and operating expenses, including approximately $430.0 million of unfunded commitments primarily associated with our construction loan portfolio. In addition, under the terms of our First Priority Credit Agreement, if we do not pay down the outstanding balance of that loan by $500 million by September 30, 2010, payments of principal and net sale proceeds received by us in respect of assets constituting collateral for our obligations under this agreement must be applied toward the mandatory prepayment of the loan and commitment reductions under the agreement.</w:t>
      </w:r>
    </w:p>
    <w:p>
      <w:pPr>
        <w:spacing w:after="0" w:line="199" w:lineRule="exact"/>
        <w:rPr>
          <w:sz w:val="20"/>
          <w:szCs w:val="20"/>
          <w:color w:val="auto"/>
        </w:rPr>
      </w:pPr>
    </w:p>
    <w:p>
      <w:pPr>
        <w:jc w:val="both"/>
        <w:ind w:firstLine="414"/>
        <w:spacing w:after="0" w:line="289" w:lineRule="auto"/>
        <w:rPr>
          <w:sz w:val="20"/>
          <w:szCs w:val="20"/>
          <w:color w:val="auto"/>
        </w:rPr>
      </w:pPr>
      <w:r>
        <w:rPr>
          <w:rFonts w:ascii="Arial" w:cs="Arial" w:eastAsia="Arial" w:hAnsi="Arial"/>
          <w:sz w:val="16"/>
          <w:szCs w:val="16"/>
          <w:color w:val="auto"/>
        </w:rPr>
        <w:t>We expect to need additional liquidity over the coming year to supplement expected loan repayments and cash generated from operations in order to meet our debt maturities and funding obligations. During 2009, we utilized our unencumbered assets to generate additional liquidity through secured financing transactions and a secured note exchange transaction, and also sold various assets. In addition, we have significantly curtailed our asset origination activities, reduced operating expenses and focused on asset management in order to maximize recoveries from existing asset resolutions. We intend to utilize all available sources of funds in today's financing environment, which could include additional financings secured by our assets, increased levels of asset sales, joint ventures and other third party capital to meet our liquidity requirements. There can be no assurance that we will possess sufficient liquidity to meet all of our debt service requirements in 2010. In addition we are exploring various alternatives to enable us to meet our significant 2011 debt maturities. The failure to execute such alternatives successfully prior to debt maturities would have material adverse consequences on us.</w:t>
      </w:r>
    </w:p>
    <w:p>
      <w:pPr>
        <w:spacing w:after="0" w:line="172"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We have reacted to market conditions and liquidity and debt covenant pressures by implementing various initiatives that we believe will guide us through the difficult business conditions which we expect to persist through 2010. Our public debt securities continue to trade at significant discounts to par. We have been able to partially mitigate the impact of the decline in operating results through the recognition of gains associated with the repurchase and retirement of debt at a discount, which has contributed to our ability to maintain compliance with our debt covenants and has enabled us to reduce outstanding indebtedness at discounts to par. We expect to continue to use available funds and other strategies to seek to retire our debt at a discount; however, there can be no assurance that our efforts in this regard will be successful.</w:t>
      </w:r>
    </w:p>
    <w:p>
      <w:pPr>
        <w:spacing w:after="0" w:line="198" w:lineRule="exact"/>
        <w:rPr>
          <w:sz w:val="20"/>
          <w:szCs w:val="20"/>
          <w:color w:val="auto"/>
        </w:rPr>
      </w:pPr>
    </w:p>
    <w:p>
      <w:pPr>
        <w:jc w:val="both"/>
        <w:ind w:right="20" w:firstLine="360"/>
        <w:spacing w:after="0" w:line="268" w:lineRule="auto"/>
        <w:rPr>
          <w:sz w:val="20"/>
          <w:szCs w:val="20"/>
          <w:color w:val="auto"/>
        </w:rPr>
      </w:pPr>
      <w:r>
        <w:rPr>
          <w:rFonts w:ascii="Arial" w:cs="Arial" w:eastAsia="Arial" w:hAnsi="Arial"/>
          <w:sz w:val="18"/>
          <w:szCs w:val="18"/>
          <w:color w:val="auto"/>
        </w:rPr>
        <w:t>Our plan is dynamic and we expect to adjust our plan as market conditions change. If we are unable to successfully implement our plan, our cash flows, debt covenant compliance, financial position and results of operations would be materially adversely affected.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2009 compared to the Year Ended December 31, 2008</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4"/>
          </w:tcPr>
          <w:p>
            <w:pPr>
              <w:jc w:val="right"/>
              <w:ind w:right="513"/>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557,809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(389,852)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lease income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305,007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308,742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(3,735)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(67,383)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vMerge w:val="restart"/>
          </w:tcPr>
          <w:p>
            <w:pPr>
              <w:ind w:left="120"/>
              <w:spacing w:after="0"/>
              <w:rPr>
                <w:sz w:val="20"/>
                <w:szCs w:val="20"/>
                <w:color w:val="auto"/>
              </w:rPr>
            </w:pPr>
            <w:r>
              <w:rPr>
                <w:rFonts w:ascii="Arial" w:cs="Arial" w:eastAsia="Arial" w:hAnsi="Arial"/>
                <w:sz w:val="18"/>
                <w:szCs w:val="18"/>
                <w:color w:val="auto"/>
              </w:rPr>
              <w:t>Total revenue</w:t>
            </w: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893,284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1,354,254</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(460,970)</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(185,590)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costs—corporate tenant lease assets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143,902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(16,858)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1,255,357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1,029,322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226,035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Impairment of other assets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122,699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295,738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(173,039)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(34,906)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expense</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104,795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37,234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67,561</w:t>
            </w: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costs and expenses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2,216,533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2,329,779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(113,246)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Gain on early extinguishment of debt</w:t>
            </w:r>
          </w:p>
        </w:tc>
        <w:tc>
          <w:tcPr>
            <w:tcW w:w="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547,349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393,131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154,218</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joint venture interest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(280,219)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Earnings from equity method investments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(1,237)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(34,086)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Gain from discontinued operations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91,458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(79,032)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(769,847)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(181,767)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(588,080)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—The significant decline in interest income year over year is primarily a result of a 40.0% decrease in the carrying value of performing loans to</w:t>
      </w:r>
      <w:r>
        <w:rPr>
          <w:rFonts w:ascii="Arial" w:cs="Arial" w:eastAsia="Arial" w:hAnsi="Arial"/>
          <w:sz w:val="18"/>
          <w:szCs w:val="18"/>
          <w:i w:val="1"/>
          <w:iCs w:val="1"/>
          <w:color w:val="auto"/>
        </w:rPr>
        <w:t xml:space="preserve"> </w:t>
      </w:r>
      <w:r>
        <w:rPr>
          <w:rFonts w:ascii="Arial" w:cs="Arial" w:eastAsia="Arial" w:hAnsi="Arial"/>
          <w:sz w:val="18"/>
          <w:szCs w:val="18"/>
          <w:color w:val="auto"/>
        </w:rPr>
        <w:t>$4.91 billion at the end of 2009 from $8.18 billion at the end of 2008. In addition to having assets move from performing to non-performing status (see "Risk Management" for additional discussion of non-performing loans), we also had loan repayments and sales that contributed to the decline in income generating loans. Lower interest rates also contributed to the decline in interest income with one-month LIBOR averaging 0.33% in 2009 versus 2.68% in 2008. The impact of declining rates on loans has been tempered by interest rate floors, resulting in a weighted average interest rate of 3.86% in effect on approximately $1.87 billion of loans at December 31, 2009.</w:t>
      </w:r>
    </w:p>
    <w:p>
      <w:pPr>
        <w:spacing w:after="0" w:line="198" w:lineRule="exact"/>
        <w:rPr>
          <w:sz w:val="20"/>
          <w:szCs w:val="20"/>
          <w:color w:val="auto"/>
        </w:rPr>
      </w:pPr>
    </w:p>
    <w:p>
      <w:pPr>
        <w:jc w:val="both"/>
        <w:ind w:firstLine="355"/>
        <w:spacing w:after="0" w:line="298" w:lineRule="auto"/>
        <w:rPr>
          <w:sz w:val="20"/>
          <w:szCs w:val="20"/>
          <w:color w:val="auto"/>
        </w:rPr>
      </w:pPr>
      <w:r>
        <w:rPr>
          <w:rFonts w:ascii="Arial" w:cs="Arial" w:eastAsia="Arial" w:hAnsi="Arial"/>
          <w:sz w:val="16"/>
          <w:szCs w:val="16"/>
          <w:color w:val="auto"/>
        </w:rPr>
        <w:t>The year over year change in other income was primarily driven by certain one-time transactions in 2008 including $44.2 million of income recognized from the redemption of a participation interest in a lending investment and $12.0 million of income recognized when we exchanged a cost method equity investment for a loan receivable. Additionally, other loan related income, such as prepayment penalties, declined by $27.5 million from 2009 to 2008. Slightly offsetting this increase were $15.0 million of realized and unrealized gains on trading securities held in our other investment portfolio.</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lease income from our CTL assets has remained relatively consistent year over year.</w:t>
      </w:r>
    </w:p>
    <w:p>
      <w:pPr>
        <w:spacing w:after="0" w:line="225"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i w:val="1"/>
          <w:iCs w:val="1"/>
          <w:color w:val="auto"/>
        </w:rPr>
        <w:t>Costs and expenses</w:t>
      </w:r>
      <w:r>
        <w:rPr>
          <w:rFonts w:ascii="Arial" w:cs="Arial" w:eastAsia="Arial" w:hAnsi="Arial"/>
          <w:sz w:val="18"/>
          <w:szCs w:val="18"/>
          <w:color w:val="auto"/>
        </w:rPr>
        <w:t>—Increases in provisions for loan losses and other expenses were more than offset by fewer asset impairments and lower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general and administrative expenses to result in an overall decrease in costs and expenses.</w:t>
      </w:r>
    </w:p>
    <w:p>
      <w:pPr>
        <w:spacing w:after="0" w:line="186"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As noted above and discussed further in "Risk Management" and "Executive Overview", increases in our provisions for loan losses were caused by the continued deterioration in the commercial real estate market and weakened economic conditions that have negatively impacted our borrowers' ability to service their debt and refinance their loans at maturity. This has resulted in additional asset-specific reserves due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to the increasing level of non-performing loans within the portfolio along with declining values of real estate collateral that secure such loans.</w:t>
      </w:r>
    </w:p>
    <w:p>
      <w:pPr>
        <w:spacing w:after="0" w:line="225" w:lineRule="exact"/>
        <w:rPr>
          <w:sz w:val="20"/>
          <w:szCs w:val="20"/>
          <w:color w:val="auto"/>
        </w:rPr>
      </w:pPr>
    </w:p>
    <w:p>
      <w:pPr>
        <w:jc w:val="both"/>
        <w:ind w:firstLine="362"/>
        <w:spacing w:after="0" w:line="291" w:lineRule="auto"/>
        <w:rPr>
          <w:sz w:val="20"/>
          <w:szCs w:val="20"/>
          <w:color w:val="auto"/>
        </w:rPr>
      </w:pPr>
      <w:r>
        <w:rPr>
          <w:rFonts w:ascii="Arial" w:cs="Arial" w:eastAsia="Arial" w:hAnsi="Arial"/>
          <w:sz w:val="16"/>
          <w:szCs w:val="16"/>
          <w:color w:val="auto"/>
        </w:rPr>
        <w:t>Impairment charges relating to certain of our securities and equity investments were $182.3 million lower in 2009 as compared to 2008. These assets include available-for-sale and held-to-maturity investments that were determined to be other-than-temporarily impaired based on having trading prices below our carrying values. Also included in 2008 were $21.5 million of impairments of finite lived intangible assets, to reduce their carrying values to their revised estimated fair values. These decreases were offset by $21.9 million of higher CTL impairments (of which $14.1 million was reclassified to income from discontinued operations) caused by deteriorating sub-market conditions and lower than expected rents in certain areas. Impairments of OREO assets also increased by $22.9 million to reduce certain assets to their revised estimated fair values less costs to sell.</w:t>
      </w:r>
    </w:p>
    <w:p>
      <w:pPr>
        <w:spacing w:after="0" w:line="174" w:lineRule="exact"/>
        <w:rPr>
          <w:sz w:val="20"/>
          <w:szCs w:val="20"/>
          <w:color w:val="auto"/>
        </w:rPr>
      </w:pPr>
    </w:p>
    <w:p>
      <w:pPr>
        <w:jc w:val="both"/>
        <w:ind w:firstLine="366"/>
        <w:spacing w:after="0" w:line="259" w:lineRule="auto"/>
        <w:rPr>
          <w:sz w:val="20"/>
          <w:szCs w:val="20"/>
          <w:color w:val="auto"/>
        </w:rPr>
      </w:pPr>
      <w:r>
        <w:rPr>
          <w:rFonts w:ascii="Arial" w:cs="Arial" w:eastAsia="Arial" w:hAnsi="Arial"/>
          <w:sz w:val="18"/>
          <w:szCs w:val="18"/>
          <w:color w:val="auto"/>
        </w:rPr>
        <w:t>Deteriorating market conditions also led to impairment charges related to goodwill. In 2008, we recorded a $39.1 million impairment charge to eliminate the goodwill in our real estate lending reporting unit. In 2009, we recorded $4.2 million further impairments to reduce the goodwill related to our corporate tenant leasing reporting unit to zero.</w:t>
      </w:r>
    </w:p>
    <w:p>
      <w:pPr>
        <w:spacing w:after="0" w:line="194"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The significant decline in interest expense year over year is primarily a result of reducing our outstanding debt balances from repurchases and repayments. In an effort to generate gains on certain of our debt securities which have traded at discounts to par, as discussed further below, we repurchased $1.31 billion par value of our senior unsecured notes during 2009 and we also repaid an additional $628.3 million at maturity. In addition, we completed an exchange of senior unsecured notes for new second-lien senior secured notes in May 2009, further described in "Liquidity and Capital Resources". This exchange resulted in a $262.7 million deferred gain reflected as a premium to the new notes which is being amortized as a reduction to interest expense over the terms of the new notes. In 2009, we recognized $35.1 million in amortization of this premium as a reduction to interest expense. Lower LIBOR rates also contributed to our decrease in interest expense, with our average borrowing rates decreasing to 4.15% in 2009 from 5.02% in 2008.</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and administrative expenses decreased primarily due to lower payroll and employee related costs from reductions in headcount.</w:t>
      </w:r>
    </w:p>
    <w:p>
      <w:pPr>
        <w:spacing w:after="0" w:line="225" w:lineRule="exact"/>
        <w:rPr>
          <w:sz w:val="20"/>
          <w:szCs w:val="20"/>
          <w:color w:val="auto"/>
        </w:rPr>
      </w:pPr>
    </w:p>
    <w:p>
      <w:pPr>
        <w:jc w:val="both"/>
        <w:ind w:right="20" w:firstLine="438"/>
        <w:spacing w:after="0" w:line="259" w:lineRule="auto"/>
        <w:rPr>
          <w:sz w:val="20"/>
          <w:szCs w:val="20"/>
          <w:color w:val="auto"/>
        </w:rPr>
      </w:pPr>
      <w:r>
        <w:rPr>
          <w:rFonts w:ascii="Arial" w:cs="Arial" w:eastAsia="Arial" w:hAnsi="Arial"/>
          <w:sz w:val="18"/>
          <w:szCs w:val="18"/>
          <w:color w:val="auto"/>
        </w:rPr>
        <w:t>Other expense was higher primarily due to a $42.4 million charge incurred during 2009 pursuant to a settlement agreement under which we terminated a long-term lease for new headquarters space and settled all disputes with a landlord. The remaining increase in other expense primarily relates to additional holding costs associated with the increasing number of OREO and REHI properties during the year.</w:t>
      </w:r>
    </w:p>
    <w:p>
      <w:pPr>
        <w:spacing w:after="0" w:line="194"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i w:val="1"/>
          <w:iCs w:val="1"/>
          <w:color w:val="auto"/>
        </w:rPr>
        <w:t>Gain on early extinguishment of debt</w:t>
      </w:r>
      <w:r>
        <w:rPr>
          <w:rFonts w:ascii="Arial" w:cs="Arial" w:eastAsia="Arial" w:hAnsi="Arial"/>
          <w:sz w:val="16"/>
          <w:szCs w:val="16"/>
          <w:color w:val="auto"/>
        </w:rPr>
        <w:t>—In 2009, we retired $1.31 billion par value of our senior unsecured notes though open market repurchases at</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to par and recognized $439.4 million in gain on early extinguishment of debt. Additionally we completed our secured note exchange transactions and purchased $12.5 million of our outstanding senior floating rates notes in a cash tender offer, which resulted in an aggregate net gain on early extinguishment of debt of $107.9 million. During 2008, we retired $900.7 million par value of our senior unsecured notes through open market repurchases at discounts to par which resulted in an aggregate net gain on early extinguishment of debt of $393.1 million.</w:t>
      </w:r>
    </w:p>
    <w:p>
      <w:pPr>
        <w:spacing w:after="0" w:line="170"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i w:val="1"/>
          <w:iCs w:val="1"/>
          <w:color w:val="auto"/>
        </w:rPr>
        <w:t>Gain on sale of joint venture interest</w:t>
      </w:r>
      <w:r>
        <w:rPr>
          <w:rFonts w:ascii="Arial" w:cs="Arial" w:eastAsia="Arial" w:hAnsi="Arial"/>
          <w:sz w:val="16"/>
          <w:szCs w:val="16"/>
          <w:color w:val="auto"/>
        </w:rPr>
        <w:t>—In April 2008, we closed on the sale of our TimberStar Southwest joint venture for a gross sales price of $1.71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assumption of debt. We received net proceeds of $417.0 million for our interest in the venture and recorded a gain of $280.2 million.</w:t>
      </w:r>
    </w:p>
    <w:p>
      <w:pPr>
        <w:spacing w:after="0" w:line="139"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i w:val="1"/>
          <w:iCs w:val="1"/>
          <w:color w:val="auto"/>
        </w:rPr>
        <w:t>Income (loss) from discontinued operations</w:t>
      </w:r>
      <w:r>
        <w:rPr>
          <w:rFonts w:ascii="Arial" w:cs="Arial" w:eastAsia="Arial" w:hAnsi="Arial"/>
          <w:sz w:val="18"/>
          <w:szCs w:val="18"/>
          <w:color w:val="auto"/>
        </w:rPr>
        <w:t>—Income (loss) from discontinued operations in 2009 included impairment charges of $14.1 million on CTL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sold during the year or held for sale at the end of the year. In 2008, income (loss) from discontinued operations included higher operating results for CTL and TimberStar assets sold or classified as held for sale in 2008 and 2009.</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8"/>
          <w:szCs w:val="18"/>
          <w:i w:val="1"/>
          <w:iCs w:val="1"/>
          <w:color w:val="auto"/>
        </w:rPr>
        <w:t>Gain from discontinued operations</w:t>
      </w:r>
      <w:r>
        <w:rPr>
          <w:rFonts w:ascii="Arial" w:cs="Arial" w:eastAsia="Arial" w:hAnsi="Arial"/>
          <w:sz w:val="18"/>
          <w:szCs w:val="18"/>
          <w:color w:val="auto"/>
        </w:rPr>
        <w:t>—During 2009, we sold four CTL assets and recognized gains of $12.4 million. During 2008, we sold several CTL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Maine timber property for gains of $91.5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2008 compared to the Year Ended December 31, 2007</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right"/>
              <w:ind w:right="313"/>
              <w:spacing w:after="0"/>
              <w:rPr>
                <w:sz w:val="20"/>
                <w:szCs w:val="20"/>
                <w:color w:val="auto"/>
              </w:rPr>
            </w:pPr>
            <w:r>
              <w:rPr>
                <w:rFonts w:ascii="Arial" w:cs="Arial" w:eastAsia="Arial" w:hAnsi="Arial"/>
                <w:sz w:val="14"/>
                <w:szCs w:val="14"/>
                <w:b w:val="1"/>
                <w:bCs w:val="1"/>
                <w:color w:val="auto"/>
              </w:rPr>
              <w:t>For the Years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vMerge w:val="restart"/>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7"/>
              </w:rPr>
              <w:t>% Change</w:t>
            </w:r>
          </w:p>
        </w:tc>
        <w:tc>
          <w:tcPr>
            <w:tcW w:w="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4"/>
          </w:tcPr>
          <w:p>
            <w:pPr>
              <w:jc w:val="right"/>
              <w:ind w:right="513"/>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947,661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(50,347)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lease income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308,742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306,513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2,229</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vMerge w:val="restart"/>
          </w:tcPr>
          <w:p>
            <w:pPr>
              <w:ind w:left="120"/>
              <w:spacing w:after="0"/>
              <w:rPr>
                <w:sz w:val="20"/>
                <w:szCs w:val="20"/>
                <w:color w:val="auto"/>
              </w:rPr>
            </w:pPr>
            <w:r>
              <w:rPr>
                <w:rFonts w:ascii="Arial" w:cs="Arial" w:eastAsia="Arial" w:hAnsi="Arial"/>
                <w:sz w:val="18"/>
                <w:szCs w:val="18"/>
                <w:color w:val="auto"/>
              </w:rPr>
              <w:t>Total revenue</w:t>
            </w: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1,354,254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1,404,459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(50,205)</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costs—corporate tenant lease assets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(4,856)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143,902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156,534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(12,632)</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1,029,322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844,322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Impairment of other assets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295,738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144,184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151,554</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expense</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37,234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28,307</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costs and expenses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2,329,779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1,235,510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1,094,269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Gain on early extinguishment of debt</w:t>
            </w:r>
          </w:p>
        </w:tc>
        <w:tc>
          <w:tcPr>
            <w:tcW w:w="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393,131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392,906</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joint venture interest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280,219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Earnings from equity method investments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(23,091)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Gain from discontinued operations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91,458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7,832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83,626</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(181,767)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236,602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(418,369)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—We experienced a decline in interest income in 2008 as compared to 2007 primarily relating to increased non-performing loans,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offset by the inclusion of a full year of interest income in 2008 from the loans acquired from Fremont, compared to only six months of income in 2007. At the end of 2008, the carrying value of performing loans declined 18% to $8.18 billion from $10.00 billion at the end of 2007, primarily as a result of assets moving to non-performing status. This was a result of the deterioration in the commercial real estate market and weakened economic conditions impacting our borrowers, who had difficulty servicing their debt and refinancing or selling their projects in order to repay their loans in a timely manner. Lower interest rates also contributed to the decline in interest income with an average one-month LIBOR of 2.68% in 2008 versus 5.25% in 2007.</w:t>
      </w:r>
    </w:p>
    <w:p>
      <w:pPr>
        <w:spacing w:after="0" w:line="17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While other income was relatively flat year over year, certain one-time transactions in 2008 resulted in higher income offset by a decrease in other loan related income, such as prepayment penalties. In 2008 we recognized $44.2 million of income from the redemption of a participation interest in a lending investment and $12.0 million when we exchanged a cost method equity investment for a loan receivable.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lease income from our CTL assets has remained relatively consistent year over year.</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6"/>
          <w:szCs w:val="16"/>
          <w:i w:val="1"/>
          <w:iCs w:val="1"/>
          <w:color w:val="auto"/>
        </w:rPr>
        <w:t>Costs and expenses</w:t>
      </w:r>
      <w:r>
        <w:rPr>
          <w:rFonts w:ascii="Arial" w:cs="Arial" w:eastAsia="Arial" w:hAnsi="Arial"/>
          <w:sz w:val="16"/>
          <w:szCs w:val="16"/>
          <w:color w:val="auto"/>
        </w:rPr>
        <w:t>—Total costs and expenses increased primarily due to significant provisions for loan losses and other asset impairment charges.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The increase in our provision for loan losses was primarily due to additional asset-specific reserves that were required as a result of the significant increase in non-performing loans during 2008. This significant increase, particularly in our residential land development and condominium construction portfolios, was driven by the weakening economy and the dislocation of the credit markets, which adversely impacted the ability of our borrowers to service their debt and refinance their loans at maturity.</w:t>
      </w:r>
    </w:p>
    <w:p>
      <w:pPr>
        <w:spacing w:after="0" w:line="197" w:lineRule="exact"/>
        <w:rPr>
          <w:sz w:val="20"/>
          <w:szCs w:val="20"/>
          <w:color w:val="auto"/>
        </w:rPr>
      </w:pPr>
    </w:p>
    <w:p>
      <w:pPr>
        <w:jc w:val="both"/>
        <w:ind w:firstLine="410"/>
        <w:spacing w:after="0" w:line="291" w:lineRule="auto"/>
        <w:rPr>
          <w:sz w:val="20"/>
          <w:szCs w:val="20"/>
          <w:color w:val="auto"/>
        </w:rPr>
      </w:pPr>
      <w:r>
        <w:rPr>
          <w:rFonts w:ascii="Arial" w:cs="Arial" w:eastAsia="Arial" w:hAnsi="Arial"/>
          <w:sz w:val="16"/>
          <w:szCs w:val="16"/>
          <w:color w:val="auto"/>
        </w:rPr>
        <w:t>Impairment charges relating to certain of our securities and equity investments were $207.0 million in 2008 as compared to $144.2 million in 2007. These assets include available-for-sale and held-to-maturity investments that were determined to be other-than-temporarily impaired based on having trading prices below our carrying values. Other asset impairments in 2008, which did not occur in the prior year, included $55.6 million on OREO assets, $21.5 million on finite lived intangible assets (including assets acquired in the Fremont acquisition), and $11.6 million on CTL assets. OREO and CTL asset impairments were also caused by deteriorating sub-market conditions and lower than expected rents in surrounding areas. Deteriorating market conditions also led to the $39.1 million impairment charge to eliminate goodwill in our real estate lending reporting unit in 2008.</w:t>
      </w:r>
    </w:p>
    <w:p>
      <w:pPr>
        <w:spacing w:after="0" w:line="174" w:lineRule="exact"/>
        <w:rPr>
          <w:sz w:val="20"/>
          <w:szCs w:val="20"/>
          <w:color w:val="auto"/>
        </w:rPr>
      </w:pPr>
    </w:p>
    <w:p>
      <w:pPr>
        <w:jc w:val="both"/>
        <w:ind w:firstLine="603"/>
        <w:spacing w:after="0" w:line="298" w:lineRule="auto"/>
        <w:rPr>
          <w:sz w:val="20"/>
          <w:szCs w:val="20"/>
          <w:color w:val="auto"/>
        </w:rPr>
      </w:pPr>
      <w:r>
        <w:rPr>
          <w:rFonts w:ascii="Arial" w:cs="Arial" w:eastAsia="Arial" w:hAnsi="Arial"/>
          <w:sz w:val="16"/>
          <w:szCs w:val="16"/>
          <w:color w:val="auto"/>
        </w:rPr>
        <w:t>Interest expense increased primarily due to higher average outstanding borrowings during 2008, partially offset by decreased interest rates on our borrowings. Our average outstanding debt balance increased to $12.83 billion in 2008 from $10.05 billion in 2007 through new bond issuances in 2007 and 2008, increased borrowings on our unsecured and secured revolving credit facilities as well as the new secured term loans. Higher borrowings were partially offset by lower average rates, which decreased to 5.02% in 2008 as compared to 5.85% in 2007, primarily as a result of lower LIBOR rates.</w:t>
      </w:r>
    </w:p>
    <w:p>
      <w:pPr>
        <w:spacing w:after="0" w:line="167" w:lineRule="exact"/>
        <w:rPr>
          <w:sz w:val="20"/>
          <w:szCs w:val="20"/>
          <w:color w:val="auto"/>
        </w:rPr>
      </w:pPr>
    </w:p>
    <w:p>
      <w:pPr>
        <w:jc w:val="both"/>
        <w:ind w:firstLine="442"/>
        <w:spacing w:after="0" w:line="332" w:lineRule="auto"/>
        <w:rPr>
          <w:sz w:val="20"/>
          <w:szCs w:val="20"/>
          <w:color w:val="auto"/>
        </w:rPr>
      </w:pPr>
      <w:r>
        <w:rPr>
          <w:rFonts w:ascii="Arial" w:cs="Arial" w:eastAsia="Arial" w:hAnsi="Arial"/>
          <w:sz w:val="16"/>
          <w:szCs w:val="16"/>
          <w:color w:val="auto"/>
        </w:rPr>
        <w:t>In relation to our CTL portfolio, depreciation and amortization increased as a result of the acquisition and construction of new CTL assets in 2007 while operating costs-corporate tenant lease assets decreased primarily due to increased property expense recoveries from tenants leasing our properties.</w:t>
      </w:r>
    </w:p>
    <w:p>
      <w:pPr>
        <w:spacing w:after="0" w:line="139" w:lineRule="exact"/>
        <w:rPr>
          <w:sz w:val="20"/>
          <w:szCs w:val="20"/>
          <w:color w:val="auto"/>
        </w:rPr>
      </w:pPr>
    </w:p>
    <w:p>
      <w:pPr>
        <w:jc w:val="both"/>
        <w:ind w:right="20" w:firstLine="551"/>
        <w:spacing w:after="0" w:line="332" w:lineRule="auto"/>
        <w:rPr>
          <w:sz w:val="20"/>
          <w:szCs w:val="20"/>
          <w:color w:val="auto"/>
        </w:rPr>
      </w:pPr>
      <w:r>
        <w:rPr>
          <w:rFonts w:ascii="Arial" w:cs="Arial" w:eastAsia="Arial" w:hAnsi="Arial"/>
          <w:sz w:val="16"/>
          <w:szCs w:val="16"/>
          <w:color w:val="auto"/>
        </w:rPr>
        <w:t>Other expense in 2008 included $12.8 million primarily related to ineffectiveness associated with our various derivative instruments. The remaining $9.3 million related to costs associated with OREO properties that we took title to through foreclosure or deed in lieu of foreclosure in 2008 and 2007.</w:t>
      </w:r>
    </w:p>
    <w:p>
      <w:pPr>
        <w:spacing w:after="0" w:line="139"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color w:val="auto"/>
        </w:rPr>
        <w:t>The decrease in General and administrative expenses is primarily due to lower payroll and employee related costs resulting from a reduction in headcount from 327 as of December 31, 2007 to 267 as of December 31, 2008.</w:t>
      </w:r>
    </w:p>
    <w:p>
      <w:pPr>
        <w:spacing w:after="0" w:line="186"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i w:val="1"/>
          <w:iCs w:val="1"/>
          <w:color w:val="auto"/>
        </w:rPr>
        <w:t>Gain on early extinguishment of debt</w:t>
      </w:r>
      <w:r>
        <w:rPr>
          <w:rFonts w:ascii="Arial" w:cs="Arial" w:eastAsia="Arial" w:hAnsi="Arial"/>
          <w:sz w:val="16"/>
          <w:szCs w:val="16"/>
          <w:color w:val="auto"/>
        </w:rPr>
        <w:t>—During the year ended December 31, 2008, we retired $900.7 million par value of our senior unsecured notes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open market repurchases at discounts to par, resulting in an aggregate net gain on early extinguishment of debt of approximately $393.1 million.</w:t>
      </w:r>
    </w:p>
    <w:p>
      <w:pPr>
        <w:spacing w:after="0" w:line="139" w:lineRule="exact"/>
        <w:rPr>
          <w:sz w:val="20"/>
          <w:szCs w:val="20"/>
          <w:color w:val="auto"/>
        </w:rPr>
      </w:pPr>
    </w:p>
    <w:p>
      <w:pPr>
        <w:jc w:val="both"/>
        <w:ind w:right="20" w:firstLine="351"/>
        <w:spacing w:after="0" w:line="332" w:lineRule="auto"/>
        <w:rPr>
          <w:sz w:val="20"/>
          <w:szCs w:val="20"/>
          <w:color w:val="auto"/>
        </w:rPr>
      </w:pPr>
      <w:r>
        <w:rPr>
          <w:rFonts w:ascii="Arial" w:cs="Arial" w:eastAsia="Arial" w:hAnsi="Arial"/>
          <w:sz w:val="16"/>
          <w:szCs w:val="16"/>
          <w:i w:val="1"/>
          <w:iCs w:val="1"/>
          <w:color w:val="auto"/>
        </w:rPr>
        <w:t>Gain on sale of joint venture interest</w:t>
      </w:r>
      <w:r>
        <w:rPr>
          <w:rFonts w:ascii="Arial" w:cs="Arial" w:eastAsia="Arial" w:hAnsi="Arial"/>
          <w:sz w:val="16"/>
          <w:szCs w:val="16"/>
          <w:color w:val="auto"/>
        </w:rPr>
        <w:t>—In April 2008, we closed on the sale of our TimberStar Southwest joint venture for a gross sales price of $1.71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assumption of debt. We received net proceeds of approximately $417.0 million for our interest in the venture and recorded a gain of $280.2 million.</w:t>
      </w:r>
    </w:p>
    <w:p>
      <w:pPr>
        <w:spacing w:after="0" w:line="139"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8"/>
          <w:szCs w:val="18"/>
          <w:i w:val="1"/>
          <w:iCs w:val="1"/>
          <w:color w:val="auto"/>
        </w:rPr>
        <w:t>Earnings from equity method investments</w:t>
      </w:r>
      <w:r>
        <w:rPr>
          <w:rFonts w:ascii="Arial" w:cs="Arial" w:eastAsia="Arial" w:hAnsi="Arial"/>
          <w:sz w:val="18"/>
          <w:szCs w:val="18"/>
          <w:color w:val="auto"/>
        </w:rPr>
        <w:t>—During 2008, losses were recorded on several of our equity method investments due to volatility in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deteriorating economic conditions. This was partially offset by the sale of our TimberStar Southwest joint venture, as described above. Our share of losses from this venture prior to the sale were $3.5 million for the year ended December 31, 2008 compared to losses of $14.5 million during the same period in 2007.</w:t>
      </w:r>
    </w:p>
    <w:p>
      <w:pPr>
        <w:spacing w:after="0" w:line="197"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i w:val="1"/>
          <w:iCs w:val="1"/>
          <w:color w:val="auto"/>
        </w:rPr>
        <w:t>Income from discontinued operations</w:t>
      </w:r>
      <w:r>
        <w:rPr>
          <w:rFonts w:ascii="Arial" w:cs="Arial" w:eastAsia="Arial" w:hAnsi="Arial"/>
          <w:sz w:val="16"/>
          <w:szCs w:val="16"/>
          <w:color w:val="auto"/>
        </w:rPr>
        <w:t>—For the years ended December 31, 2008 and 2007, operating results for CTL and TimberStar assets sold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through December 31, 2009 or assets held for sale at the end of 2009 are classified as discontinued operations. The decrease in income from discontinued operations is primarily due to the inclusion of more income in 2007 for CTL and TimberStar assets sold in 2007, 2008 and 2009.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1"/>
        <w:spacing w:after="0" w:line="306" w:lineRule="auto"/>
        <w:rPr>
          <w:sz w:val="20"/>
          <w:szCs w:val="20"/>
          <w:color w:val="auto"/>
        </w:rPr>
      </w:pPr>
      <w:r>
        <w:rPr>
          <w:rFonts w:ascii="Arial" w:cs="Arial" w:eastAsia="Arial" w:hAnsi="Arial"/>
          <w:sz w:val="16"/>
          <w:szCs w:val="16"/>
          <w:i w:val="1"/>
          <w:iCs w:val="1"/>
          <w:color w:val="auto"/>
        </w:rPr>
        <w:t>Gain from discontinued operations</w:t>
      </w:r>
      <w:r>
        <w:rPr>
          <w:rFonts w:ascii="Arial" w:cs="Arial" w:eastAsia="Arial" w:hAnsi="Arial"/>
          <w:sz w:val="16"/>
          <w:szCs w:val="16"/>
          <w:color w:val="auto"/>
        </w:rPr>
        <w:t>—During the year ended December 31, 2008, we sold a portfolio of 32 CTL assets to one buyer and also seventeen CTL</w:t>
      </w:r>
      <w:r>
        <w:rPr>
          <w:rFonts w:ascii="Arial" w:cs="Arial" w:eastAsia="Arial" w:hAnsi="Arial"/>
          <w:sz w:val="16"/>
          <w:szCs w:val="16"/>
          <w:i w:val="1"/>
          <w:iCs w:val="1"/>
          <w:color w:val="auto"/>
        </w:rPr>
        <w:t xml:space="preserve"> </w:t>
      </w:r>
      <w:r>
        <w:rPr>
          <w:rFonts w:ascii="Arial" w:cs="Arial" w:eastAsia="Arial" w:hAnsi="Arial"/>
          <w:sz w:val="16"/>
          <w:szCs w:val="16"/>
          <w:color w:val="auto"/>
        </w:rPr>
        <w:t>assets to different buyers for net aggregate proceeds of $424.1 million, and recognized gains of approximately $64.6 million. In addition, we also closed on the sale of our Maine Timber property for net proceeds of $152.7 million resulting in a gain of $27.0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231"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6"/>
          <w:szCs w:val="16"/>
          <w:color w:val="auto"/>
        </w:rPr>
        <w:t>We measure our performance using adjusted earnings in addition to net income. Adjusted earnings represent net income attributable to iStar Financial Inc. and allocable to common shareholders, HPU holders and Participating Security holders computed in accordance with GAAP, before depreciation, depletion, amortization, gain from discontinued operations, ineffectiveness on interest rate hedges, impairments of goodwill and intangible assets and extraordinary items. Adjustments for joint ventures reflect our share of adjusted earnings calculated on the same basis.</w:t>
      </w:r>
    </w:p>
    <w:p>
      <w:pPr>
        <w:spacing w:after="0" w:line="167"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We believe that adjusted earnings is a helpful measure to consider, in addition to net income, because this measure helps us to evaluate how our commercial real estate finance business is performing compared to other commercial finance companies, without the effects of certain GAAP adjustments that are not necessarily indicative of current operating performance.</w:t>
      </w:r>
    </w:p>
    <w:p>
      <w:pPr>
        <w:spacing w:after="0" w:line="194" w:lineRule="exact"/>
        <w:rPr>
          <w:sz w:val="20"/>
          <w:szCs w:val="20"/>
          <w:color w:val="auto"/>
        </w:rPr>
      </w:pPr>
    </w:p>
    <w:p>
      <w:pPr>
        <w:jc w:val="both"/>
        <w:ind w:firstLine="481"/>
        <w:spacing w:after="0" w:line="289" w:lineRule="auto"/>
        <w:rPr>
          <w:sz w:val="20"/>
          <w:szCs w:val="20"/>
          <w:color w:val="auto"/>
        </w:rPr>
      </w:pPr>
      <w:r>
        <w:rPr>
          <w:rFonts w:ascii="Arial" w:cs="Arial" w:eastAsia="Arial" w:hAnsi="Arial"/>
          <w:sz w:val="16"/>
          <w:szCs w:val="16"/>
          <w:color w:val="auto"/>
        </w:rPr>
        <w:t>The most significant GAAP adjustments that we exclude in determining adjusted earnings are depreciation, depletion, amortization and impairments of goodwill and intangible assets, which are typically non-cash charges. We do not exclude non-cash impairment charges on tangible assets or provisions for loan loss reserves. As a commercial finance company that focuses on real estate lending and corporate tenant leasing, we record significant depreciation on our real estate assets, and amortization of deferred financing costs associated with our borrowings. Depreciation, depletion and amortization do not affect our daily operations, but they do impact financial results under GAAP. Adjusted earnings is not an alternative or substitute for net income in accordance with GAAP as a measure of our performance. Rather, we believe that adjusted earnings is an additional measure that helps us analyze how our business is performing. Adjusted earnings should not be viewed as an alternative measure of either our operating liquidity or funds available for our cash needs or for distribution to our shareholders. In addition, we may not calculate adjusted earnings in the same manner as other companies that use a similarly titled measure.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60" w:type="dxa"/>
            <w:vAlign w:val="bottom"/>
            <w:gridSpan w:val="10"/>
          </w:tcPr>
          <w:p>
            <w:pPr>
              <w:ind w:left="2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(769,847)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(181,767)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236,602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Depreciation, depletion and amortization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8"/>
                <w:szCs w:val="18"/>
                <w:color w:val="auto"/>
              </w:rPr>
              <w:t>Add: Joint venture income</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Joint venture depreciation, depletion and amortization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8"/>
                <w:szCs w:val="18"/>
                <w:color w:val="auto"/>
              </w:rPr>
              <w:t>Add: Amortization of deferred financing costs</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Impairment of goodwill and intangible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8"/>
                <w:szCs w:val="18"/>
                <w:color w:val="auto"/>
              </w:rPr>
              <w:t>Less: Hedge ineffectiveness, net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Gain from discontinued operations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(91,458)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8"/>
                <w:szCs w:val="18"/>
                <w:color w:val="auto"/>
              </w:rPr>
              <w:t>Less: Gain on sale of joint venture interest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(280,219)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(1,572)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loss attributable to noncontrolling interests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160" w:type="dxa"/>
            <w:vAlign w:val="bottom"/>
          </w:tcPr>
          <w:p>
            <w:pPr>
              <w:ind w:left="120"/>
              <w:spacing w:after="0"/>
              <w:rPr>
                <w:sz w:val="20"/>
                <w:szCs w:val="20"/>
                <w:color w:val="auto"/>
              </w:rPr>
            </w:pPr>
            <w:r>
              <w:rPr>
                <w:rFonts w:ascii="Arial" w:cs="Arial" w:eastAsia="Arial" w:hAnsi="Arial"/>
                <w:sz w:val="18"/>
                <w:szCs w:val="18"/>
                <w:color w:val="auto"/>
              </w:rPr>
              <w:t>Less: Preferred dividend requirement</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(42,320)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(42,320)</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(42,320)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Adjusted diluted earnings (loss) attributable to iStar Financial, Inc. and allocable to</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shareholders and HPU holders(1)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(708,595)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(359,295)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355,707</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gridSpan w:val="2"/>
            <w:vMerge w:val="restart"/>
          </w:tcPr>
          <w:p>
            <w:pPr>
              <w:ind w:left="1140"/>
              <w:spacing w:after="0"/>
              <w:rPr>
                <w:sz w:val="20"/>
                <w:szCs w:val="20"/>
                <w:color w:val="auto"/>
              </w:rPr>
            </w:pPr>
            <w:r>
              <w:rPr>
                <w:rFonts w:ascii="Arial" w:cs="Arial" w:eastAsia="Arial" w:hAnsi="Arial"/>
                <w:sz w:val="18"/>
                <w:szCs w:val="18"/>
                <w:color w:val="auto"/>
              </w:rPr>
              <w:t>Weighted average diluted common shares outstanding</w:t>
            </w: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100,071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131,153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w w:val="95"/>
              </w:rPr>
              <w:t>127,542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7320" w:type="dxa"/>
            <w:vAlign w:val="bottom"/>
            <w:gridSpan w:val="2"/>
          </w:tcPr>
          <w:p>
            <w:pPr>
              <w:jc w:val="right"/>
              <w:ind w:right="1432"/>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1680" w:hanging="531"/>
        <w:spacing w:after="0" w:line="278" w:lineRule="auto"/>
        <w:tabs>
          <w:tab w:leader="none" w:pos="16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HPU holders are current or former Company employees who purchased high performance common stock units under our High Performance Unit Program. Participating Security holders are Company employees and directors who hold unvested restricted stock units and common stock equivalents granted under our Long Term Incentive Plan. For the years ended December 31, 2009, 2008 and 2007, adjusted diluted earnings (loss) attributable to iStar Financial Inc. and allocable to common shareholders, HPU holders and Participating Security holders includes $(19,748), $(7,661) and $7,666, respectively, of adjusted earnings (loss) allocable to HPU holders.</w:t>
      </w:r>
    </w:p>
    <w:p>
      <w:pPr>
        <w:spacing w:after="0" w:line="89" w:lineRule="exact"/>
        <w:rPr>
          <w:rFonts w:ascii="Arial" w:cs="Arial" w:eastAsia="Arial" w:hAnsi="Arial"/>
          <w:sz w:val="12"/>
          <w:szCs w:val="12"/>
          <w:color w:val="auto"/>
        </w:rPr>
      </w:pPr>
    </w:p>
    <w:p>
      <w:pPr>
        <w:ind w:left="1680" w:hanging="531"/>
        <w:spacing w:after="0"/>
        <w:tabs>
          <w:tab w:leader="none" w:pos="16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the years ended December 31, 2008 and 2007, amounts exclude $2,393 and $3,545, respectively, of dividends paid to Participating Security holders.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Loan Credit Statistics</w:t>
      </w:r>
      <w:r>
        <w:rPr>
          <w:rFonts w:ascii="Arial" w:cs="Arial" w:eastAsia="Arial" w:hAnsi="Arial"/>
          <w:sz w:val="16"/>
          <w:szCs w:val="16"/>
          <w:color w:val="auto"/>
        </w:rPr>
        <w:t>—The table below summarizes our non-performing loans and details the reserve for loan losses associated with our loans: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Non-performing loans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Carrying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3,910,922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3,108,798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Participated portion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349,359</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color w:val="auto"/>
              </w:rPr>
              <w:t>Managed Loan Value(1)</w:t>
            </w: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4,209,255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3,458,157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Managed Loan Value of total loans(2)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30"/>
        </w:trPr>
        <w:tc>
          <w:tcPr>
            <w:tcW w:w="4680" w:type="dxa"/>
            <w:vAlign w:val="bottom"/>
          </w:tcPr>
          <w:p>
            <w:pPr>
              <w:spacing w:after="0"/>
              <w:rPr>
                <w:sz w:val="20"/>
                <w:szCs w:val="20"/>
                <w:color w:val="auto"/>
              </w:rPr>
            </w:pPr>
            <w:r>
              <w:rPr>
                <w:rFonts w:ascii="Arial" w:cs="Arial" w:eastAsia="Arial" w:hAnsi="Arial"/>
                <w:sz w:val="18"/>
                <w:szCs w:val="18"/>
                <w:b w:val="1"/>
                <w:bCs w:val="1"/>
                <w:color w:val="auto"/>
              </w:rPr>
              <w:t>Watch list loans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1,026,446</w:t>
            </w: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Participated portion</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238,450</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Managed Loan Value(1)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1,264,896</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As a percentage of Managed Loan Value of total loans(2)</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1,417,949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976,788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As a percentage of Managed Loan Value of total loans(2)</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8"/>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8"/>
              </w:rPr>
              <w:t>As a percentage of Managed Loan Value of non-performing</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430"/>
        </w:trPr>
        <w:tc>
          <w:tcPr>
            <w:tcW w:w="4680" w:type="dxa"/>
            <w:vAlign w:val="bottom"/>
          </w:tcPr>
          <w:p>
            <w:pPr>
              <w:spacing w:after="0"/>
              <w:rPr>
                <w:sz w:val="20"/>
                <w:szCs w:val="20"/>
                <w:color w:val="auto"/>
              </w:rPr>
            </w:pPr>
            <w:r>
              <w:rPr>
                <w:rFonts w:ascii="Arial" w:cs="Arial" w:eastAsia="Arial" w:hAnsi="Arial"/>
                <w:sz w:val="18"/>
                <w:szCs w:val="18"/>
                <w:b w:val="1"/>
                <w:bCs w:val="1"/>
                <w:color w:val="auto"/>
              </w:rPr>
              <w:t>Other real estate owned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242,505</w:t>
            </w:r>
          </w:p>
        </w:tc>
        <w:tc>
          <w:tcPr>
            <w:tcW w:w="0" w:type="dxa"/>
            <w:vAlign w:val="bottom"/>
          </w:tcPr>
          <w:p>
            <w:pPr>
              <w:spacing w:after="0"/>
              <w:rPr>
                <w:sz w:val="1"/>
                <w:szCs w:val="1"/>
                <w:color w:val="auto"/>
              </w:rPr>
            </w:pPr>
          </w:p>
        </w:tc>
      </w:tr>
      <w:tr>
        <w:trPr>
          <w:trHeight w:val="430"/>
        </w:trPr>
        <w:tc>
          <w:tcPr>
            <w:tcW w:w="4680" w:type="dxa"/>
            <w:vAlign w:val="bottom"/>
          </w:tcPr>
          <w:p>
            <w:pPr>
              <w:spacing w:after="0"/>
              <w:rPr>
                <w:sz w:val="20"/>
                <w:szCs w:val="20"/>
                <w:color w:val="auto"/>
              </w:rPr>
            </w:pPr>
            <w:r>
              <w:rPr>
                <w:rFonts w:ascii="Arial" w:cs="Arial" w:eastAsia="Arial" w:hAnsi="Arial"/>
                <w:sz w:val="18"/>
                <w:szCs w:val="18"/>
                <w:b w:val="1"/>
                <w:bCs w:val="1"/>
                <w:color w:val="auto"/>
              </w:rPr>
              <w:t>Real estate held for investment, net</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15265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2840" w:hanging="550"/>
        <w:spacing w:after="0" w:line="230" w:lineRule="auto"/>
        <w:tabs>
          <w:tab w:leader="none" w:pos="2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Managed Loan Value of a loan is computed by adding our carrying value of the loan and the participation interest sold on the Fremont CRE portfolio. The participation receives 70% of all loan principal payments including principal that we have funded. Therefore we are in the first loss position and we believe that presentation of the Managed Loan Value is more relevant than a presentation of our carrying value when discussing our risk of loss on the loans in the Fremont CRE Portfolio.</w:t>
      </w:r>
    </w:p>
    <w:p>
      <w:pPr>
        <w:spacing w:after="0" w:line="112" w:lineRule="exact"/>
        <w:rPr>
          <w:rFonts w:ascii="Arial" w:cs="Arial" w:eastAsia="Arial" w:hAnsi="Arial"/>
          <w:sz w:val="14"/>
          <w:szCs w:val="14"/>
          <w:color w:val="auto"/>
        </w:rPr>
      </w:pPr>
    </w:p>
    <w:p>
      <w:pPr>
        <w:ind w:left="2840" w:hanging="550"/>
        <w:spacing w:after="0"/>
        <w:tabs>
          <w:tab w:leader="none" w:pos="2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Managed Loan Value of total loans was $9,289,975 and $12,584,723 as of December 31, 2009 and 2008,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2009, non-performing loans and OREO and REHI assets had the following collateral and property types ($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performing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OREO &amp;</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Collateral/Property Type</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82"/>
              </w:rPr>
              <w:t>Loans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REHI</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1,218,108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402,252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1,620,360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Condo:</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Construction—Completed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1,336,157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120"/>
              <w:spacing w:after="0"/>
              <w:rPr>
                <w:sz w:val="20"/>
                <w:szCs w:val="20"/>
                <w:color w:val="auto"/>
              </w:rPr>
            </w:pPr>
            <w:r>
              <w:rPr>
                <w:rFonts w:ascii="Arial" w:cs="Arial" w:eastAsia="Arial" w:hAnsi="Arial"/>
                <w:sz w:val="18"/>
                <w:szCs w:val="18"/>
                <w:color w:val="auto"/>
              </w:rPr>
              <w:t>Construction—In Progress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210,165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210,165</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Conversion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189,064</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Mixed Use/Mixed Collateral</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348,491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368,252</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Entertainment/Leisure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267,399</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243,915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285,502</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Multifamily</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325,025</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Hotel</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234,005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317,305</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Corporate—Real Estate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61,754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61,754</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Industrial/R&amp;D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18,467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23,989</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carrying value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3,910,922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1,261,805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5,172,727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i w:val="1"/>
          <w:iCs w:val="1"/>
          <w:color w:val="auto"/>
        </w:rPr>
        <w:t>Non-Performing Loans</w:t>
      </w:r>
      <w:r>
        <w:rPr>
          <w:rFonts w:ascii="Arial" w:cs="Arial" w:eastAsia="Arial" w:hAnsi="Arial"/>
          <w:sz w:val="16"/>
          <w:szCs w:val="16"/>
          <w:color w:val="auto"/>
        </w:rPr>
        <w:t>—We designate loans as non-performing at such time as: (1) the loan becomes 90 days delinquent; (2) the loan has a maturity default;</w:t>
      </w:r>
      <w:r>
        <w:rPr>
          <w:rFonts w:ascii="Arial" w:cs="Arial" w:eastAsia="Arial" w:hAnsi="Arial"/>
          <w:sz w:val="16"/>
          <w:szCs w:val="16"/>
          <w:i w:val="1"/>
          <w:iCs w:val="1"/>
          <w:color w:val="auto"/>
        </w:rPr>
        <w:t xml:space="preserve"> </w:t>
      </w:r>
      <w:r>
        <w:rPr>
          <w:rFonts w:ascii="Arial" w:cs="Arial" w:eastAsia="Arial" w:hAnsi="Arial"/>
          <w:sz w:val="16"/>
          <w:szCs w:val="16"/>
          <w:color w:val="auto"/>
        </w:rPr>
        <w:t>or (3) management determines it is probable that it will be unable to collect all amounts due according to the contractual terms of the loan. All non-performing loans are placed on non-accrual status and income is only recognized in certain cases upon actual cash receipt. As of December 31, 2009, we had non-performing loans with an aggregate carrying value of $3.91 billion and an aggregate Managed Loan Value of $4.21 billion, or 45.3% of the Managed Loan Value of total loans. Our non-performing loans increased during 2009, particularly in our residential land development and condominium construction portfolios, due to the weakened economy and the continued disruption in the credit markets, which adversely impacted the ability of many of our borrowers to service their debt and refinance our loans at maturity. Due to the continued deterioration of the commercial real estate market, the process of estimating collateral values and reserves will continue to require significant judgment on the part of management, which is inherently uncertain and subject to change. Management currently believes there is adequate collateral and reserves to support the carrying values of the loans.</w:t>
      </w:r>
    </w:p>
    <w:p>
      <w:pPr>
        <w:spacing w:after="0" w:line="17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i w:val="1"/>
          <w:iCs w:val="1"/>
          <w:color w:val="auto"/>
        </w:rPr>
        <w:t>Watch List Assets</w:t>
      </w:r>
      <w:r>
        <w:rPr>
          <w:rFonts w:ascii="Arial" w:cs="Arial" w:eastAsia="Arial" w:hAnsi="Arial"/>
          <w:sz w:val="18"/>
          <w:szCs w:val="18"/>
          <w:color w:val="auto"/>
        </w:rPr>
        <w:t>—We conduct a quarterly credit review, resulting in an individual risk rating being assigned to each asset in our portfolio. This review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enable management to evaluate and manage asset-specific credit issues and identify credit trends on a portfolio-wide basis. As of December 31, 2009, we had assets on the watch list, (excluding non-performing loans), with an aggregate carrying value of $697.1 million and an aggregate Managed Loan Value of $717.7 million, or 7.7% of total Managed Loan Value.</w:t>
      </w:r>
    </w:p>
    <w:p>
      <w:pPr>
        <w:spacing w:after="0" w:line="197" w:lineRule="exact"/>
        <w:rPr>
          <w:sz w:val="20"/>
          <w:szCs w:val="20"/>
          <w:color w:val="auto"/>
        </w:rPr>
      </w:pPr>
    </w:p>
    <w:p>
      <w:pPr>
        <w:jc w:val="both"/>
        <w:ind w:firstLine="548"/>
        <w:spacing w:after="0" w:line="259" w:lineRule="auto"/>
        <w:rPr>
          <w:sz w:val="20"/>
          <w:szCs w:val="20"/>
          <w:color w:val="auto"/>
        </w:rPr>
      </w:pPr>
      <w:r>
        <w:rPr>
          <w:rFonts w:ascii="Arial" w:cs="Arial" w:eastAsia="Arial" w:hAnsi="Arial"/>
          <w:sz w:val="18"/>
          <w:szCs w:val="18"/>
          <w:i w:val="1"/>
          <w:iCs w:val="1"/>
          <w:color w:val="auto"/>
        </w:rPr>
        <w:t>Reserve for Loan Losses</w:t>
      </w:r>
      <w:r>
        <w:rPr>
          <w:rFonts w:ascii="Arial" w:cs="Arial" w:eastAsia="Arial" w:hAnsi="Arial"/>
          <w:sz w:val="18"/>
          <w:szCs w:val="18"/>
          <w:color w:val="auto"/>
        </w:rPr>
        <w:t>—During the year ended December 31, 2009, the reserve for loan losses increased $441.2 million, which was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$1.26 billion of provisioning for loan losses reduced by $814.2 million of charge-offs. The reserve is increased through the provision for loan losses, which reduces income in the period recorded and the reserve is reduced through charge-offs.</w:t>
      </w:r>
    </w:p>
    <w:p>
      <w:pPr>
        <w:spacing w:after="0" w:line="194" w:lineRule="exact"/>
        <w:rPr>
          <w:sz w:val="20"/>
          <w:szCs w:val="20"/>
          <w:color w:val="auto"/>
        </w:rPr>
      </w:pPr>
    </w:p>
    <w:p>
      <w:pPr>
        <w:jc w:val="both"/>
        <w:ind w:firstLine="425"/>
        <w:spacing w:after="0" w:line="332" w:lineRule="auto"/>
        <w:rPr>
          <w:sz w:val="20"/>
          <w:szCs w:val="20"/>
          <w:color w:val="auto"/>
        </w:rPr>
      </w:pPr>
      <w:r>
        <w:rPr>
          <w:rFonts w:ascii="Arial" w:cs="Arial" w:eastAsia="Arial" w:hAnsi="Arial"/>
          <w:sz w:val="16"/>
          <w:szCs w:val="16"/>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December 31, 2009, we had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asset-specific reserves of $1.24 billion or 29.5% of non-performing loans compared to asset-specific reserves of $799.6 million or 23.1% of non-performing loans at December 31, 2008. The increase in asset-specific reserves during the year ended December 31, 2009 was primarily due to the increase in non-performing loans as previously discussed. The increase was also due to additional reserves required for existing non-performing loans further impacted by the continued deterioration in the commercial real estate market.</w:t>
      </w:r>
    </w:p>
    <w:p>
      <w:pPr>
        <w:spacing w:after="0" w:line="197" w:lineRule="exact"/>
        <w:rPr>
          <w:sz w:val="20"/>
          <w:szCs w:val="20"/>
          <w:color w:val="auto"/>
        </w:rPr>
      </w:pPr>
    </w:p>
    <w:p>
      <w:pPr>
        <w:jc w:val="both"/>
        <w:ind w:firstLine="389"/>
        <w:spacing w:after="0" w:line="298" w:lineRule="auto"/>
        <w:rPr>
          <w:sz w:val="20"/>
          <w:szCs w:val="20"/>
          <w:color w:val="auto"/>
        </w:rPr>
      </w:pPr>
      <w:r>
        <w:rPr>
          <w:rFonts w:ascii="Arial" w:cs="Arial" w:eastAsia="Arial" w:hAnsi="Arial"/>
          <w:sz w:val="16"/>
          <w:szCs w:val="16"/>
          <w:color w:val="auto"/>
        </w:rPr>
        <w:t>The formula-based general reserve is derived from estimated probabilities of principal loss and loss given default severities assigned to the portfolio during our quarterly internal risk rating assessment. Probabilities of principal loss and severity factors are based on industry and/or internal experience and may be adjusted for significant factors that, based on our judgment, impact the collectability of the loans as of the balance sheet date. The general reserve was $174.9 million or 3.4% of performing loans as of December 31, 2009 compared to $177.2 million or 1.9% of performing loans at December 31, 2008.</w:t>
      </w:r>
    </w:p>
    <w:p>
      <w:pPr>
        <w:spacing w:after="0" w:line="167"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i w:val="1"/>
          <w:iCs w:val="1"/>
          <w:color w:val="auto"/>
        </w:rPr>
        <w:t>Real Estate Held for Investment, net and Other Real Estate Owned</w:t>
      </w:r>
      <w:r>
        <w:rPr>
          <w:rFonts w:ascii="Arial" w:cs="Arial" w:eastAsia="Arial" w:hAnsi="Arial"/>
          <w:sz w:val="16"/>
          <w:szCs w:val="16"/>
          <w:color w:val="auto"/>
        </w:rPr>
        <w:t>—During the year ended December 31, 2009, we received title to properties in full or</w:t>
      </w:r>
      <w:r>
        <w:rPr>
          <w:rFonts w:ascii="Arial" w:cs="Arial" w:eastAsia="Arial" w:hAnsi="Arial"/>
          <w:sz w:val="16"/>
          <w:szCs w:val="16"/>
          <w:i w:val="1"/>
          <w:iCs w:val="1"/>
          <w:color w:val="auto"/>
        </w:rPr>
        <w:t xml:space="preserve"> </w:t>
      </w:r>
      <w:r>
        <w:rPr>
          <w:rFonts w:ascii="Arial" w:cs="Arial" w:eastAsia="Arial" w:hAnsi="Arial"/>
          <w:sz w:val="16"/>
          <w:szCs w:val="16"/>
          <w:color w:val="auto"/>
        </w:rPr>
        <w:t>partial satisfaction of non-performing mortgage loans with a carrying value of $1.88 billion, for which the properties had served as collateral, and recorded charge-offs totaling $573.6 million related to these loans. Of this total, we recorded properties with a carrying value of $399.6 million to REHI and $904.2 million to OREO based on our strategy to either hold the properties over a longer period or to market them for sale. During the year ended December 31, 2009, we sold OREO assets for net proceeds of $270.6 million and recorded impairment charges totaling $78.6 million due to changing market conditions, which were included in "Impairment of other assets" on our Consolidated Statements of Operations.</w:t>
      </w:r>
    </w:p>
    <w:p>
      <w:pPr>
        <w:spacing w:after="0" w:line="174"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i w:val="1"/>
          <w:iCs w:val="1"/>
          <w:color w:val="auto"/>
        </w:rPr>
        <w:t>Tenant Credit Characteristics</w:t>
      </w:r>
      <w:r>
        <w:rPr>
          <w:rFonts w:ascii="Arial" w:cs="Arial" w:eastAsia="Arial" w:hAnsi="Arial"/>
          <w:sz w:val="18"/>
          <w:szCs w:val="18"/>
          <w:color w:val="auto"/>
        </w:rPr>
        <w:t>—As of December 31, 2009, our CTL assets had 95 different tenants, of which 66% were public companies and 34% were</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companies. In addition, 36% of the tenants were rated investment grade by one or more national rating agencies, 35% were rated non-investment grade and the remaining tenants were not rated.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466"/>
        <w:spacing w:after="0" w:line="253" w:lineRule="auto"/>
        <w:rPr>
          <w:sz w:val="20"/>
          <w:szCs w:val="20"/>
          <w:color w:val="auto"/>
        </w:rPr>
      </w:pPr>
      <w:r>
        <w:rPr>
          <w:rFonts w:ascii="Arial" w:cs="Arial" w:eastAsia="Arial" w:hAnsi="Arial"/>
          <w:sz w:val="18"/>
          <w:szCs w:val="18"/>
          <w:color w:val="auto"/>
        </w:rPr>
        <w:t>For the upcoming year, we will require significant capital to repay $586.8 million of our 2010 debt maturities and to fund our investment activities and operating expenses, including approximately $430.0 million of unfunded commitments primarily associated with our construction loan portfolio. However, the timing of funding these commitments and the amounts of the individual fundings are largely dependent on construction projects meeting certain milestones, and therefore they are difficult to predict with certainty. In addition, under the terms of our First Priority Credit Agreement, (as discussed below), if we do not pay down the outstanding balance of that loan by $500 million by September 30, 2010, payments of principal and net sale proceeds received by us in respect of assets constituting collateral for our obligations under this agreement must be applied toward the mandatory prepayment of the loan and commitment reductions under the agreement.</w:t>
      </w:r>
    </w:p>
    <w:p>
      <w:pPr>
        <w:spacing w:after="0" w:line="201" w:lineRule="exact"/>
        <w:rPr>
          <w:sz w:val="20"/>
          <w:szCs w:val="20"/>
          <w:color w:val="auto"/>
        </w:rPr>
      </w:pPr>
    </w:p>
    <w:p>
      <w:pPr>
        <w:jc w:val="both"/>
        <w:ind w:firstLine="391"/>
        <w:spacing w:after="0" w:line="256" w:lineRule="auto"/>
        <w:rPr>
          <w:sz w:val="20"/>
          <w:szCs w:val="20"/>
          <w:color w:val="auto"/>
        </w:rPr>
      </w:pPr>
      <w:r>
        <w:rPr>
          <w:rFonts w:ascii="Arial" w:cs="Arial" w:eastAsia="Arial" w:hAnsi="Arial"/>
          <w:sz w:val="18"/>
          <w:szCs w:val="18"/>
          <w:color w:val="auto"/>
        </w:rPr>
        <w:t>Our capital sources in today's financing environment include repayments from our loan assets, asset sales, financings secured by our assets, cash flow from operations and potential joint ventures. From a liquidity perspective, we expect to continue to experience significant uncertainty with respect to our sources of funds. Historically we have also issued unsecured corporate debt, convertible debt and preferred and common equity; however, current market conditions have effectively eliminated our access to these sources of capital in the near term.</w:t>
      </w:r>
    </w:p>
    <w:p>
      <w:pPr>
        <w:spacing w:after="0" w:line="197" w:lineRule="exact"/>
        <w:rPr>
          <w:sz w:val="20"/>
          <w:szCs w:val="20"/>
          <w:color w:val="auto"/>
        </w:rPr>
      </w:pPr>
    </w:p>
    <w:p>
      <w:pPr>
        <w:jc w:val="both"/>
        <w:ind w:firstLine="381"/>
        <w:spacing w:after="0" w:line="256" w:lineRule="auto"/>
        <w:rPr>
          <w:sz w:val="20"/>
          <w:szCs w:val="20"/>
          <w:color w:val="auto"/>
        </w:rPr>
      </w:pPr>
      <w:r>
        <w:rPr>
          <w:rFonts w:ascii="Arial" w:cs="Arial" w:eastAsia="Arial" w:hAnsi="Arial"/>
          <w:sz w:val="18"/>
          <w:szCs w:val="18"/>
          <w:color w:val="auto"/>
        </w:rPr>
        <w:t>In March 2009, we obtained additional financing and consummated a restructuring of our existing unsecured revolving credit facilities by entering into new secured credit facilities (the "Secured Credit Facilities Transaction"). In connection with this transaction, we entered into a $1.00 billion First Priority Credit Agreement maturing in June 2012 that is secured by a pool of collateral consisting of loan assets, corporate tenant lease assets, securities and other assets. We also entered into a $1.70 billion Second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Credit Agreement maturing in June 2011 and a $950.0 million Second Priority Credit Agreement maturing in June 2012 with the same lenders participating in the First Priority Credit Agreement, who have a second lien on the same collateral pool. Refer to the Credit Facilities Restructuring section below for further details on these transactions.</w:t>
      </w:r>
    </w:p>
    <w:p>
      <w:pPr>
        <w:spacing w:after="0" w:line="194"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In May 2009, we completed a series of private offers through which $1.01 billion aggregate principal amount of our senior unsecured notes of various series were exchanged for $634.8 million aggregate principal amount of new second-lien senior secured notes issued by us and guaranteed by certain of our subsidiaries. The new second lien notes have a second lien on the same collateral pool as the First and Second Priority Credit Agreements described above. Concurrent with the exchange offer, we repurchased for cash $12.5 million par value of our outstanding senior floating rate notes due September 2009 pursuant to a cash tender offer.</w:t>
      </w:r>
    </w:p>
    <w:p>
      <w:pPr>
        <w:spacing w:after="0" w:line="197" w:lineRule="exact"/>
        <w:rPr>
          <w:sz w:val="20"/>
          <w:szCs w:val="20"/>
          <w:color w:val="auto"/>
        </w:rPr>
      </w:pPr>
    </w:p>
    <w:p>
      <w:pPr>
        <w:jc w:val="both"/>
        <w:ind w:firstLine="430"/>
        <w:spacing w:after="0" w:line="290" w:lineRule="auto"/>
        <w:rPr>
          <w:sz w:val="20"/>
          <w:szCs w:val="20"/>
          <w:color w:val="auto"/>
        </w:rPr>
      </w:pPr>
      <w:r>
        <w:rPr>
          <w:rFonts w:ascii="Arial" w:cs="Arial" w:eastAsia="Arial" w:hAnsi="Arial"/>
          <w:sz w:val="16"/>
          <w:szCs w:val="16"/>
          <w:color w:val="auto"/>
        </w:rPr>
        <w:t>During 2009, we received gross principal repayments from borrowers of $1.85 billion and $1.06 billion in proceeds from strategic asset sales. We funded $1.22 billion of loan commitments during the year and repaid outstanding debt of $1.32 billion partially offset by new borrowings of $1.00 billion. We also repurchased $1.31 billion par value of senior unsecured notes resulting in the recognition of $439.4 million in net gains on the early extinguishment of debt during the year. To date, we have been able to partially mitigate the impact of increased expenses associated with our loan loss reserves on some of our financial covenants through the recognition of gains associated with the discounted extinguishment of debt. We may from time to time seek to retire or repurchase additional outstanding debt through cash purchases and/or exchanges, which may take the form of open market purchases, privately negotiated transactions or otherwise, however, there can be no assurance that the Company's efforts in this regard can be successful.</w:t>
      </w:r>
    </w:p>
    <w:p>
      <w:pPr>
        <w:spacing w:after="0" w:line="172" w:lineRule="exact"/>
        <w:rPr>
          <w:sz w:val="20"/>
          <w:szCs w:val="20"/>
          <w:color w:val="auto"/>
        </w:rPr>
      </w:pPr>
    </w:p>
    <w:p>
      <w:pPr>
        <w:jc w:val="both"/>
        <w:ind w:firstLine="345"/>
        <w:spacing w:after="0" w:line="286" w:lineRule="auto"/>
        <w:rPr>
          <w:sz w:val="20"/>
          <w:szCs w:val="20"/>
          <w:color w:val="auto"/>
        </w:rPr>
      </w:pPr>
      <w:r>
        <w:rPr>
          <w:rFonts w:ascii="Arial" w:cs="Arial" w:eastAsia="Arial" w:hAnsi="Arial"/>
          <w:sz w:val="16"/>
          <w:szCs w:val="16"/>
          <w:color w:val="auto"/>
        </w:rPr>
        <w:t>As of December 31, 2009, we had $224.6 million of unrestricted cash. We will need additional liquidity over the coming year to supplement loan repayments and cash generated from operations in order to meet our debt maturities and funding obligations. We actively manage our liquidity and continually work on initiatives to address both our debt covenants compliance and our liquidity needs. We expect proceeds from asset sales to supplement loan repayments and intend to continue to analyze additional asset sales, secured financing alternatives and other strategic transactions in order to maintain adequate liquidity. During the first quarter of 2010, we began exploring a sale or other transaction involving a portfolio of 34 corporate tenant leased assets totaling approximately 12 million square feet and representing approximately 40% of the Company's total corporate tenant leased net operating income. The portfolio is encumbered by secured, non-recourse term debt that matures in April 2011. Any decision by us to sell or otherwise dispose of some or all of the portfolio will be based primarily on the pricing terms offered by interested parties. There can be no assurance that any transaction involving all or part of the portfolio will be consummated. Under the terms of our credit agreements, we can issue a total of up to $1.00 billion of second priority secured notes in exchange or refinancing transactions involving our unsecured notes. After giving effect to the private exchange offers in May 2009, described above, we can issue up to $365.2 million of new notes in exchange or refinancing transactions. Our liquidity plan is dynamic and we expect to monitor the markets and adjust our plan as market conditions change. There is a risk that we will not be able to meet all of our funding and debt service obligations or maintain compliance with our debt covenants. Management's failure to successfully implement our liquidity plan could have a material adverse effect on our financial position and covenant compliance, results of operations and cash flows.</w:t>
      </w:r>
    </w:p>
    <w:p>
      <w:pPr>
        <w:spacing w:after="0" w:line="175" w:lineRule="exact"/>
        <w:rPr>
          <w:sz w:val="20"/>
          <w:szCs w:val="20"/>
          <w:color w:val="auto"/>
        </w:rPr>
      </w:pPr>
    </w:p>
    <w:p>
      <w:pPr>
        <w:jc w:val="both"/>
        <w:ind w:firstLine="385"/>
        <w:spacing w:after="0" w:line="255" w:lineRule="auto"/>
        <w:rPr>
          <w:sz w:val="20"/>
          <w:szCs w:val="20"/>
          <w:color w:val="auto"/>
        </w:rPr>
      </w:pPr>
      <w:r>
        <w:rPr>
          <w:rFonts w:ascii="Arial" w:cs="Arial" w:eastAsia="Arial" w:hAnsi="Arial"/>
          <w:sz w:val="18"/>
          <w:szCs w:val="18"/>
          <w:color w:val="auto"/>
        </w:rPr>
        <w:t>Compliance with our debt covenants will also impact our ability to obtain additional debt and equity financing. In addition, any decision by our lenders and investors to provide us with additional financing may depend upon a number of other factors, such as our compliance with the terms of existing credit arrangements, our financial performance, our credit ratings, industry or market trends, the general availability of and rates applicable to financing transactions, such lenders' and investors' resources and policies concerning the terms under which they make capital commitments and the relative attractiveness of alternative investment or lending opportunities.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outlines the contractual obligations related to our long-term debt agreements and operating lease obligations as of December 31,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long-term liabilities that would constitute a contractual obligation.</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9"/>
          </w:tcPr>
          <w:p>
            <w:pPr>
              <w:jc w:val="right"/>
              <w:ind w:right="12"/>
              <w:spacing w:after="0"/>
              <w:rPr>
                <w:sz w:val="20"/>
                <w:szCs w:val="20"/>
                <w:color w:val="auto"/>
              </w:rPr>
            </w:pPr>
            <w:r>
              <w:rPr>
                <w:rFonts w:ascii="Arial" w:cs="Arial" w:eastAsia="Arial" w:hAnsi="Arial"/>
                <w:sz w:val="14"/>
                <w:szCs w:val="14"/>
                <w:b w:val="1"/>
                <w:bCs w:val="1"/>
                <w:color w:val="auto"/>
                <w:w w:val="99"/>
              </w:rPr>
              <w:t>Principal And Interest Payments Due By Period</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89"/>
              </w:rPr>
              <w:t>Less Than</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297"/>
              <w:spacing w:after="0" w:line="129" w:lineRule="exact"/>
              <w:rPr>
                <w:sz w:val="20"/>
                <w:szCs w:val="20"/>
                <w:color w:val="auto"/>
              </w:rPr>
            </w:pPr>
            <w:r>
              <w:rPr>
                <w:rFonts w:ascii="Arial" w:cs="Arial" w:eastAsia="Arial" w:hAnsi="Arial"/>
                <w:sz w:val="14"/>
                <w:szCs w:val="14"/>
                <w:b w:val="1"/>
                <w:bCs w:val="1"/>
                <w:color w:val="auto"/>
              </w:rPr>
              <w:t>2-3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95"/>
              <w:spacing w:after="0" w:line="129" w:lineRule="exact"/>
              <w:rPr>
                <w:sz w:val="20"/>
                <w:szCs w:val="20"/>
                <w:color w:val="auto"/>
              </w:rPr>
            </w:pPr>
            <w:r>
              <w:rPr>
                <w:rFonts w:ascii="Arial" w:cs="Arial" w:eastAsia="Arial" w:hAnsi="Arial"/>
                <w:sz w:val="14"/>
                <w:szCs w:val="14"/>
                <w:b w:val="1"/>
                <w:bCs w:val="1"/>
                <w:color w:val="auto"/>
              </w:rPr>
              <w:t>4-5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6-10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w w:val="95"/>
              </w:rPr>
              <w:t>After 10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6"/>
              </w:rPr>
              <w:t>Years(1)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Unsecured notes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3,478,885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553,294</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1,208,311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1,250,390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466,890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Secured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Convertible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787,750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787,750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Unsecured revolving credit facilities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Secured term loans(2)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3,999,342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3,703,921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55,941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184,482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Secured revolving credit facility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Trust preferred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principal maturities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10,708,805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7,563,262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1,785,879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488,410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284,482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Interest Payable</w:t>
            </w: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1,414,140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442,681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567,621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237,571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Obligations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vMerge w:val="restart"/>
          </w:tcPr>
          <w:p>
            <w:pPr>
              <w:ind w:left="120"/>
              <w:spacing w:after="0"/>
              <w:rPr>
                <w:sz w:val="20"/>
                <w:szCs w:val="20"/>
                <w:color w:val="auto"/>
              </w:rPr>
            </w:pPr>
            <w:r>
              <w:rPr>
                <w:rFonts w:ascii="Arial" w:cs="Arial" w:eastAsia="Arial" w:hAnsi="Arial"/>
                <w:sz w:val="18"/>
                <w:szCs w:val="18"/>
                <w:color w:val="auto"/>
              </w:rPr>
              <w:t>Total(4)</w:t>
            </w:r>
          </w:p>
        </w:tc>
        <w:tc>
          <w:tcPr>
            <w:tcW w:w="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12,170,224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1,035,548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8,141,980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2,032,194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632,604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327,898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tabs>
          <w:tab w:leader="none" w:pos="1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Future long-term debt obligations due during the years ended December 31, 2011 and 2012 are $4.02 billion and $3.54 billion, respectively.</w:t>
      </w:r>
    </w:p>
    <w:p>
      <w:pPr>
        <w:spacing w:after="0" w:line="122" w:lineRule="exact"/>
        <w:rPr>
          <w:rFonts w:ascii="Arial" w:cs="Arial" w:eastAsia="Arial" w:hAnsi="Arial"/>
          <w:sz w:val="14"/>
          <w:szCs w:val="14"/>
          <w:color w:val="auto"/>
        </w:rPr>
      </w:pPr>
    </w:p>
    <w:p>
      <w:pPr>
        <w:jc w:val="both"/>
        <w:ind w:left="1680" w:hanging="531"/>
        <w:spacing w:after="0" w:line="288" w:lineRule="auto"/>
        <w:tabs>
          <w:tab w:leader="none" w:pos="16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As further discussed in Debt Covenants below, if we do not pay down the outstanding balance of our $1.00 billion First Priority Credit Agreement by $500 million by September 30, 2010, payments of principal and net sale proceeds received by us in respect of assets constituting collateral for our obligation under this agreement must be applied towards the mandatory prepayment of the loan and commitment reductions under the agreement. This amount has been included in years 2-3 based on its contractual maturity.</w:t>
      </w:r>
    </w:p>
    <w:p>
      <w:pPr>
        <w:spacing w:after="0" w:line="83" w:lineRule="exact"/>
        <w:rPr>
          <w:rFonts w:ascii="Arial" w:cs="Arial" w:eastAsia="Arial" w:hAnsi="Arial"/>
          <w:sz w:val="12"/>
          <w:szCs w:val="12"/>
          <w:color w:val="auto"/>
        </w:rPr>
      </w:pPr>
    </w:p>
    <w:p>
      <w:pPr>
        <w:ind w:left="1680" w:hanging="531"/>
        <w:spacing w:after="0"/>
        <w:tabs>
          <w:tab w:leader="none" w:pos="1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All variable-rate debt assumes a 30-day LIBOR rate of 0.23% (the 30-day LIBOR rate at December 31, 2009).</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See "Off-Balance Sheet Transactions" below, for a discussion of certain unfunded commitments related to our lending and CTL business.</w:t>
      </w:r>
    </w:p>
    <w:p>
      <w:pPr>
        <w:spacing w:after="0" w:line="200"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b w:val="1"/>
          <w:bCs w:val="1"/>
          <w:color w:val="auto"/>
        </w:rPr>
        <w:t>Credit Facilities Restructuring</w:t>
      </w:r>
      <w:r>
        <w:rPr>
          <w:rFonts w:ascii="Arial" w:cs="Arial" w:eastAsia="Arial" w:hAnsi="Arial"/>
          <w:sz w:val="18"/>
          <w:szCs w:val="18"/>
          <w:color w:val="auto"/>
        </w:rPr>
        <w:t>—In March 2009, we entered into a $1.00 billion First Priority Credit Agreement with participating members of our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bank lending group. The First Priority Credit Agreement will mature in June 2012. Borrowings bear interest at the rate of LIBOR + 2.50% per year, subject to adjustment based upon our corporate credit ratings (see Ratings Triggers below) and are collateralized by a first-priority lien on a pool of collateral consisting of loans, debt securities, corporate tenant lease assets and other assets pledged under the First and Second Priority Credit Agreements and the Second Priority Secured Exchange Notes (see below). As of December 31, 2009, the First Priority Credit Agreement was fully drawn with $1.00 billion of secured term loans outstanding.</w:t>
      </w:r>
    </w:p>
    <w:p>
      <w:pPr>
        <w:spacing w:after="0" w:line="199" w:lineRule="exact"/>
        <w:rPr>
          <w:sz w:val="20"/>
          <w:szCs w:val="20"/>
          <w:color w:val="auto"/>
        </w:rPr>
      </w:pPr>
    </w:p>
    <w:p>
      <w:pPr>
        <w:jc w:val="both"/>
        <w:ind w:firstLine="430"/>
        <w:spacing w:after="0" w:line="256" w:lineRule="auto"/>
        <w:rPr>
          <w:sz w:val="20"/>
          <w:szCs w:val="20"/>
          <w:color w:val="auto"/>
        </w:rPr>
      </w:pPr>
      <w:r>
        <w:rPr>
          <w:rFonts w:ascii="Arial" w:cs="Arial" w:eastAsia="Arial" w:hAnsi="Arial"/>
          <w:sz w:val="18"/>
          <w:szCs w:val="18"/>
          <w:color w:val="auto"/>
        </w:rPr>
        <w:t>We also restructured our two unsecured revolving credit facilities by entering into two Second Priority Credit Agreements, with $1.70 billion maturing in 2011 and $950.0 million maturing in 2012, with the same lenders participating in the First Priority Credit Agreement. Such lenders' commitments under the Company's unsecured facilities have been terminated and replaced by their commitments under the Second Priority Credit Agreements. Under these agreements, the participating lenders have a second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priority lien on the same collateral pool securing the First Priority Credit Agreement and the Second Priority Secured Exchange Notes (see Unsecured/Secured Notes Exchange below). As of December 31, 2009, outstanding borrowings under the Second Priority Credit Agreements include $625.2 million and $334.2 million of revolving loans due in June 2011 and June 2012, respectively, as well as $1.06 billion and $621.2 million of term loans due in June 2011 and June 2012, respectively. Borrowings bear interest at the rate of LIBOR + 1.50% per year, subject to adjustment based upon our corporate credit ratings (see Ratings Triggers below). As of December 31, 2009 there was approximately $2.1 million that was immediately available to draw under the Second Priority Credit Agreement.</w:t>
      </w:r>
    </w:p>
    <w:p>
      <w:pPr>
        <w:spacing w:after="0" w:line="198" w:lineRule="exact"/>
        <w:rPr>
          <w:sz w:val="20"/>
          <w:szCs w:val="20"/>
          <w:color w:val="auto"/>
        </w:rPr>
      </w:pPr>
    </w:p>
    <w:p>
      <w:pPr>
        <w:jc w:val="both"/>
        <w:ind w:right="20" w:firstLine="352"/>
        <w:spacing w:after="0" w:line="268" w:lineRule="auto"/>
        <w:rPr>
          <w:sz w:val="20"/>
          <w:szCs w:val="20"/>
          <w:color w:val="auto"/>
        </w:rPr>
      </w:pPr>
      <w:r>
        <w:rPr>
          <w:rFonts w:ascii="Arial" w:cs="Arial" w:eastAsia="Arial" w:hAnsi="Arial"/>
          <w:sz w:val="18"/>
          <w:szCs w:val="18"/>
          <w:color w:val="auto"/>
        </w:rPr>
        <w:t>At December 31, 2009, the total carrying value of assets pledged as collateral under the First and Second Priority Credit Agreements and the Second Priority Secured Exchange Notes was $5.73 billion.</w:t>
      </w:r>
    </w:p>
    <w:p>
      <w:pPr>
        <w:spacing w:after="0" w:line="186"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6"/>
          <w:szCs w:val="16"/>
          <w:color w:val="auto"/>
        </w:rPr>
        <w:t>Concurrently, we entered into amendments to our $2.22 billion and $1.20 billion unsecured revolving credit facilities. As of December 31, 2009, after giving effect to the amendments, outstanding balances on the unsecured credit facilities were $504.3 million, which will expire in June 2011, and $244.3 million, which will expire in June 2012. The amendments eliminated certain covenants and events of default. The unsecured revolving credit facilities may not be repaid prior to maturity while the First and Second Priority Credit Agreements remain outstanding. These facilities remain unsecured and no changes were made to the pricing terms of these facilities in connection with these amendments.</w:t>
      </w:r>
    </w:p>
    <w:p>
      <w:pPr>
        <w:spacing w:after="0" w:line="164" w:lineRule="exact"/>
        <w:rPr>
          <w:sz w:val="20"/>
          <w:szCs w:val="20"/>
          <w:color w:val="auto"/>
        </w:rPr>
      </w:pPr>
    </w:p>
    <w:p>
      <w:pPr>
        <w:jc w:val="both"/>
        <w:ind w:firstLine="362"/>
        <w:spacing w:after="0" w:line="290" w:lineRule="auto"/>
        <w:rPr>
          <w:sz w:val="20"/>
          <w:szCs w:val="20"/>
          <w:color w:val="auto"/>
        </w:rPr>
      </w:pPr>
      <w:r>
        <w:rPr>
          <w:rFonts w:ascii="Arial" w:cs="Arial" w:eastAsia="Arial" w:hAnsi="Arial"/>
          <w:sz w:val="16"/>
          <w:szCs w:val="16"/>
          <w:b w:val="1"/>
          <w:bCs w:val="1"/>
          <w:color w:val="auto"/>
        </w:rPr>
        <w:t>Unsecured/Secured Notes Exchange</w:t>
      </w:r>
      <w:r>
        <w:rPr>
          <w:rFonts w:ascii="Arial" w:cs="Arial" w:eastAsia="Arial" w:hAnsi="Arial"/>
          <w:sz w:val="16"/>
          <w:szCs w:val="16"/>
          <w:color w:val="auto"/>
        </w:rPr>
        <w:t>—In May 2009, we completed a series of private offers in which we issued $155.3 million aggregate principal amount</w:t>
      </w:r>
      <w:r>
        <w:rPr>
          <w:rFonts w:ascii="Arial" w:cs="Arial" w:eastAsia="Arial" w:hAnsi="Arial"/>
          <w:sz w:val="16"/>
          <w:szCs w:val="16"/>
          <w:b w:val="1"/>
          <w:bCs w:val="1"/>
          <w:color w:val="auto"/>
        </w:rPr>
        <w:t xml:space="preserve"> </w:t>
      </w:r>
      <w:r>
        <w:rPr>
          <w:rFonts w:ascii="Arial" w:cs="Arial" w:eastAsia="Arial" w:hAnsi="Arial"/>
          <w:sz w:val="16"/>
          <w:szCs w:val="16"/>
          <w:color w:val="auto"/>
        </w:rPr>
        <w:t>of our 8.0% second priority senior secured guaranteed notes due 2011 ("2011 Notes") and $479.5 million aggregate principal amounts of our 10.0% second priority senior secured guaranteed notes due 2014 ("2014 Notes" and together with the 2011 Notes, the "Second Priority Secured Exchange Notes") in exchange for $1.01 billion aggregate principal amount of our senior unsecured notes of various series. The Second Priority Secured Exchange Notes are collateralized by a second priority lien on the same pool of collateral pledged under the First and Second Priority Credit Agreements. In conjunction with the exchange, we also purchased $12.5 million par value of our outstanding senior floating rate notes due September 2009 in a cash tender offer. As a result of the secured note exchange, we recorded a gain on early extinguishment of debt of $107.9 million at the time of the transaction as well as a deferred gain of $262.7 million, reflected as a premium on the new secured notes which will be amortized to interest expense over the terms of the secured notes.</w:t>
      </w:r>
    </w:p>
    <w:p>
      <w:pPr>
        <w:spacing w:after="0" w:line="166" w:lineRule="exact"/>
        <w:rPr>
          <w:sz w:val="20"/>
          <w:szCs w:val="20"/>
          <w:color w:val="auto"/>
        </w:rPr>
      </w:pPr>
    </w:p>
    <w:p>
      <w:pPr>
        <w:jc w:val="both"/>
        <w:ind w:firstLine="411"/>
        <w:spacing w:after="0" w:line="262" w:lineRule="auto"/>
        <w:rPr>
          <w:sz w:val="20"/>
          <w:szCs w:val="20"/>
          <w:color w:val="auto"/>
        </w:rPr>
      </w:pPr>
      <w:r>
        <w:rPr>
          <w:rFonts w:ascii="Arial" w:cs="Arial" w:eastAsia="Arial" w:hAnsi="Arial"/>
          <w:sz w:val="18"/>
          <w:szCs w:val="18"/>
          <w:b w:val="1"/>
          <w:bCs w:val="1"/>
          <w:color w:val="auto"/>
        </w:rPr>
        <w:t>Note Repurchases</w:t>
      </w:r>
      <w:r>
        <w:rPr>
          <w:rFonts w:ascii="Arial" w:cs="Arial" w:eastAsia="Arial" w:hAnsi="Arial"/>
          <w:sz w:val="18"/>
          <w:szCs w:val="18"/>
          <w:color w:val="auto"/>
        </w:rPr>
        <w:t>—During the year ended December 31, 2009, we repurchased, through open market and private transactions, $1.31 billion par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our senior unsecured notes with various maturities ranging from January 2009 to March 2017. In connection with these repurchases, we recorded an aggregate net gain on early extinguishment of debt of $439.4 million for the year ended December 31, 2009.</w:t>
      </w:r>
    </w:p>
    <w:p>
      <w:pPr>
        <w:spacing w:after="0" w:line="186"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b w:val="1"/>
          <w:bCs w:val="1"/>
          <w:color w:val="auto"/>
        </w:rPr>
        <w:t>Debt Covenants</w:t>
      </w:r>
      <w:r>
        <w:rPr>
          <w:rFonts w:ascii="Arial" w:cs="Arial" w:eastAsia="Arial" w:hAnsi="Arial"/>
          <w:sz w:val="16"/>
          <w:szCs w:val="16"/>
          <w:color w:val="auto"/>
        </w:rPr>
        <w:t>—Our ability to borrow under our secured credit facilities depends on maintaining compliance with various covenants, including a</w:t>
      </w:r>
      <w:r>
        <w:rPr>
          <w:rFonts w:ascii="Arial" w:cs="Arial" w:eastAsia="Arial" w:hAnsi="Arial"/>
          <w:sz w:val="16"/>
          <w:szCs w:val="16"/>
          <w:b w:val="1"/>
          <w:bCs w:val="1"/>
          <w:color w:val="auto"/>
        </w:rPr>
        <w:t xml:space="preserve"> </w:t>
      </w:r>
      <w:r>
        <w:rPr>
          <w:rFonts w:ascii="Arial" w:cs="Arial" w:eastAsia="Arial" w:hAnsi="Arial"/>
          <w:sz w:val="16"/>
          <w:szCs w:val="16"/>
          <w:color w:val="auto"/>
        </w:rPr>
        <w:t>minimum tangible net worth covenant and specified financial ratios, such as fixed charge coverage, unencumbered assets to unsecured indebtedness, eligible collateral coverage and leverage. Our recent financial results have put pressure on our ability to maintain compliance with certain of the debt covenants in our secured bank credit facilities. In particular, our tangible net worth at December 31, 2009 was approximately $1.7 billion, which is not significantly above the financial covenant minimum requirement in our secured credit facilities of $1.5 billion. We intend to operate our business in order to remain in compliance with the covenants in our debt instruments; however, there can be no assurance that we will be able to do so. Further loan loss reserves and impairment charges will adversely impact our tangible net worth. All of these covenants on our facilities are maintenance covenants and, if breached could result in an acceleration of our facilities if a waiver or modification is not agreed upon with the requisite percentage of the unsecured lending group and lenders on our other facilities. Our secured credit facilities also impose limitations on repayments, repurchases, refinancings and optional redemptions of our existing unsecured notes or secured exchange notes issued pursuant to our exchange offer, as well as limitations on repurchases of our Common Stock. For so long as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maintain our qualification as a REIT, the secured credit facilities permit us to distribute 100% of our REIT taxable income on an annual basis. We may not pay common dividends if we cease to qualify as a REIT.</w:t>
      </w:r>
    </w:p>
    <w:p>
      <w:pPr>
        <w:spacing w:after="0" w:line="186" w:lineRule="exact"/>
        <w:rPr>
          <w:sz w:val="20"/>
          <w:szCs w:val="20"/>
          <w:color w:val="auto"/>
        </w:rPr>
      </w:pPr>
    </w:p>
    <w:p>
      <w:pPr>
        <w:jc w:val="both"/>
        <w:ind w:firstLine="417"/>
        <w:spacing w:after="0" w:line="290" w:lineRule="auto"/>
        <w:rPr>
          <w:sz w:val="20"/>
          <w:szCs w:val="20"/>
          <w:color w:val="auto"/>
        </w:rPr>
      </w:pPr>
      <w:r>
        <w:rPr>
          <w:rFonts w:ascii="Arial" w:cs="Arial" w:eastAsia="Arial" w:hAnsi="Arial"/>
          <w:sz w:val="16"/>
          <w:szCs w:val="16"/>
          <w:color w:val="auto"/>
        </w:rPr>
        <w:t>Our publicly held debt securities also contain covenants that include fixed charge coverage and unencumbered assets to unsecured indebtedness ratios and our secured debt securities have an eligible collateral coverage requirement. The fixed charge coverage ratio in our publicly held securities is an incurrence test. If we do not meet the fixed charge coverage ratio, our ability to incur additional indebtedness will be restricted. The unencumbered assets to unsecured indebtedness covenant and the eligible collateral coverage covenant are maintenance covenants and, if breached and not cured within applicable cure periods, could result in acceleration of our publicly held debt unless a waiver or modification is agreed upon with the requisite percentage of the bondholders. Based on our unsecured credit ratings at December 31, 2009, the financial covenants in our publicly held debt securities, including the fixed charge coverage ratio and maintenance of unencumbered assets to unsecured indebtedness ratio, are operative.</w:t>
      </w:r>
    </w:p>
    <w:p>
      <w:pPr>
        <w:spacing w:after="0" w:line="172" w:lineRule="exact"/>
        <w:rPr>
          <w:sz w:val="20"/>
          <w:szCs w:val="20"/>
          <w:color w:val="auto"/>
        </w:rPr>
      </w:pPr>
    </w:p>
    <w:p>
      <w:pPr>
        <w:jc w:val="both"/>
        <w:ind w:firstLine="424"/>
        <w:spacing w:after="0" w:line="291" w:lineRule="auto"/>
        <w:rPr>
          <w:sz w:val="20"/>
          <w:szCs w:val="20"/>
          <w:color w:val="auto"/>
        </w:rPr>
      </w:pPr>
      <w:r>
        <w:rPr>
          <w:rFonts w:ascii="Arial" w:cs="Arial" w:eastAsia="Arial" w:hAnsi="Arial"/>
          <w:sz w:val="16"/>
          <w:szCs w:val="16"/>
          <w:color w:val="auto"/>
        </w:rPr>
        <w:t>Our secured credit facilities and our public debt securities contain cross default provisions that would allow the lenders and the bondholders to declare an event of default and accelerate our indebtedness to them if we fail to pay amounts due in respect of our other recourse indebtedness in excess of specified thresholds. In addition, our secured credit facilities, unsecured credit facilities and the indentures governing our public debt securities provide that the lenders and bondholders may declare an event of default and accelerate our indebtedness to them if there is a non payment default under our other recourse indebtedness in excess of specified thresholds and, if the holders of the other indebtedness are permitted to accelerate, in the case of the secured credit facilities, or accelerate, in the case of our unsecured credit facilities and the bond indentures, the other recourse indebtedness.</w:t>
      </w:r>
    </w:p>
    <w:p>
      <w:pPr>
        <w:spacing w:after="0" w:line="174" w:lineRule="exact"/>
        <w:rPr>
          <w:sz w:val="20"/>
          <w:szCs w:val="20"/>
          <w:color w:val="auto"/>
        </w:rPr>
      </w:pPr>
    </w:p>
    <w:p>
      <w:pPr>
        <w:jc w:val="both"/>
        <w:ind w:firstLine="370"/>
        <w:spacing w:after="0" w:line="283" w:lineRule="auto"/>
        <w:rPr>
          <w:sz w:val="20"/>
          <w:szCs w:val="20"/>
          <w:color w:val="auto"/>
        </w:rPr>
      </w:pPr>
      <w:r>
        <w:rPr>
          <w:rFonts w:ascii="Arial" w:cs="Arial" w:eastAsia="Arial" w:hAnsi="Arial"/>
          <w:sz w:val="16"/>
          <w:szCs w:val="16"/>
          <w:color w:val="auto"/>
        </w:rPr>
        <w:t>The First and Second Priority Credit Agreements and the indentures governing the Second Priority Secured Exchange Notes contain a number of covenants, including that we maintain collateral coverage of at least 1.3x the aggregate borrowings and letters of credit outstanding under the First Priority Credit Agreement, the Second Priority Credit Agreements and the Second Priority Secured Exchange Notes. Under certain circumstances, the First and Second Priority Credit Agreements require that payments of principal and net sale proceeds received by us in respect of assets constituting collateral for our obligations under these agreements be applied toward the mandatory prepayment of loans and commitment reductions under them. We would be required to make such prepayments (i) during any time that the ratio of our EBITDA to fixed charges, as defined under the agreements, is less than 1.25 to 1.00, (ii) if, after receiving a payment of principal or net sale proceeds in respect of collateral, the Company has insufficient eligible assets available to pledge as replacement collateral or</w:t>
      </w:r>
    </w:p>
    <w:p>
      <w:pPr>
        <w:ind w:firstLine="8"/>
        <w:spacing w:after="0" w:line="261" w:lineRule="auto"/>
        <w:tabs>
          <w:tab w:leader="none" w:pos="3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and for so long as, the aggregate principal amount of loans outstanding under the First Priority Credit Agreement exceeds $500 million at any time on or after September 30, 2010, or zero at any time on or after March 31, 2011.</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we are in full compliance with all the covenants in our debt instruments as of December 31, 2009.</w:t>
      </w:r>
    </w:p>
    <w:p>
      <w:pPr>
        <w:spacing w:after="0" w:line="219" w:lineRule="exact"/>
        <w:rPr>
          <w:sz w:val="20"/>
          <w:szCs w:val="20"/>
          <w:color w:val="auto"/>
        </w:rPr>
      </w:pPr>
    </w:p>
    <w:p>
      <w:pPr>
        <w:jc w:val="both"/>
        <w:ind w:firstLine="411"/>
        <w:spacing w:after="0" w:line="258" w:lineRule="auto"/>
        <w:rPr>
          <w:sz w:val="20"/>
          <w:szCs w:val="20"/>
          <w:color w:val="auto"/>
        </w:rPr>
      </w:pPr>
      <w:r>
        <w:rPr>
          <w:rFonts w:ascii="Arial" w:cs="Arial" w:eastAsia="Arial" w:hAnsi="Arial"/>
          <w:sz w:val="18"/>
          <w:szCs w:val="18"/>
          <w:b w:val="1"/>
          <w:bCs w:val="1"/>
          <w:color w:val="auto"/>
        </w:rPr>
        <w:t>Ratings Triggers</w:t>
      </w:r>
      <w:r>
        <w:rPr>
          <w:rFonts w:ascii="Arial" w:cs="Arial" w:eastAsia="Arial" w:hAnsi="Arial"/>
          <w:sz w:val="18"/>
          <w:szCs w:val="18"/>
          <w:color w:val="auto"/>
        </w:rPr>
        <w:t>—Our First and Second Priority Secured Credit Agreements and unsecured credit agreements bear interest at LIBOR based rates plus an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margin which varies between the Credit Agreements and is determined based on our corporate credit ratings. Our ability to borrow under our credit facilities is not dependent on the level of our credit ratings. Based on our current credit ratings, further downgrades in our credit ratings will have no effect on our borrowing rates under these facilities.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Off-Balance Sheet Transactions</w:t>
      </w:r>
      <w:r>
        <w:rPr>
          <w:rFonts w:ascii="Arial" w:cs="Arial" w:eastAsia="Arial" w:hAnsi="Arial"/>
          <w:sz w:val="18"/>
          <w:szCs w:val="18"/>
          <w:color w:val="auto"/>
        </w:rPr>
        <w:t>—We are not dependent on the use of any off-balance sheet financing arrangements for liquidity.</w:t>
      </w:r>
    </w:p>
    <w:p>
      <w:pPr>
        <w:spacing w:after="0" w:line="231"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8"/>
          <w:szCs w:val="18"/>
          <w:i w:val="1"/>
          <w:iCs w:val="1"/>
          <w:color w:val="auto"/>
        </w:rPr>
        <w:t>Unfunded commitments</w:t>
      </w:r>
      <w:r>
        <w:rPr>
          <w:rFonts w:ascii="Arial" w:cs="Arial" w:eastAsia="Arial" w:hAnsi="Arial"/>
          <w:sz w:val="18"/>
          <w:szCs w:val="18"/>
          <w:color w:val="auto"/>
        </w:rPr>
        <w:t>—We generally fund construction and development loans and build outs of CTL space over a period of time if and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and tenants meet established milestones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December 31, 2009, the maximum amounts of the fundings we may make under each category, assuming all performance hurdles and milestones are met under Performance-Based Commitments, that we approve all Discretionary Fundings and that 100% of our capital committed to Strategic Investments is drawn down are as follows (in thousands):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Loans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CTL</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Commitments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616,400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629,474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Discretionary Fundings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137,685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137,685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Strategic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754,085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13,074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840,298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87"/>
        <w:spacing w:after="0" w:line="289" w:lineRule="auto"/>
        <w:rPr>
          <w:sz w:val="20"/>
          <w:szCs w:val="20"/>
          <w:color w:val="auto"/>
        </w:rPr>
      </w:pPr>
      <w:r>
        <w:rPr>
          <w:rFonts w:ascii="Arial" w:cs="Arial" w:eastAsia="Arial" w:hAnsi="Arial"/>
          <w:sz w:val="16"/>
          <w:szCs w:val="16"/>
          <w:b w:val="1"/>
          <w:bCs w:val="1"/>
          <w:color w:val="auto"/>
        </w:rPr>
        <w:t>Transactions with Related Parties</w:t>
      </w:r>
      <w:r>
        <w:rPr>
          <w:rFonts w:ascii="Arial" w:cs="Arial" w:eastAsia="Arial" w:hAnsi="Arial"/>
          <w:sz w:val="16"/>
          <w:szCs w:val="16"/>
          <w:color w:val="auto"/>
        </w:rPr>
        <w:t>—We have substantial investments in non-controlling interests of Oak Hill Advisors, L.P., Oak Hill Credit Alpha MGP,</w:t>
      </w:r>
      <w:r>
        <w:rPr>
          <w:rFonts w:ascii="Arial" w:cs="Arial" w:eastAsia="Arial" w:hAnsi="Arial"/>
          <w:sz w:val="16"/>
          <w:szCs w:val="16"/>
          <w:b w:val="1"/>
          <w:bCs w:val="1"/>
          <w:color w:val="auto"/>
        </w:rPr>
        <w:t xml:space="preserve"> </w:t>
      </w:r>
      <w:r>
        <w:rPr>
          <w:rFonts w:ascii="Arial" w:cs="Arial" w:eastAsia="Arial" w:hAnsi="Arial"/>
          <w:sz w:val="16"/>
          <w:szCs w:val="16"/>
          <w:color w:val="auto"/>
        </w:rPr>
        <w:t>OHSF GP Partners II, LLC, Oak Hill Credit Opportunities MGP, LLC, OHSF GP Partners (Investors), LLC, OHA Finance MGP, LLC, OHA Capital Solutions MGP, LLC, OHA Strategic Credit GenPar, LLC, OHA Leveraged Loan Portfolio GenPar, LLC, OHA Structured Products MGP, LLC, Oakhill Credit Opp Fund, LP and Oak Hill Credit Partners II, Limited (see Note 7 to the Company's Notes to Consolidated Financial Statements). In relation to our investment in these entities, we appointed to our Board of Directors a member that holds a substantial investment in these same nine entities. As of December 31, 2009, the carrying value in these ventures was $181.1 million. We recorded equity in earnings from these investments of $22.7 million for the year ended December 31, 2009. We have also invested directly in six funds managed by Oak Hill Advisors, L.P., which have a cumulative carrying value of $0.6 million as of December 31, 2009 and for which we recorded income of $0.2 million for the year ended December 31, 2009. In addition, we have paid $0.1 million to certain of these entities representing management fees as well as advisory service related fees in conjunction with our debt repurchase transactions.</w:t>
      </w:r>
    </w:p>
    <w:p>
      <w:pPr>
        <w:spacing w:after="0" w:line="16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—On March 13, 2009, our Board of Directors authorized the repurchase of up to $50 million of Common Stock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in open market and privately negotiated purchases, including pursuant to one or more trading plans. During the year ended December 31, 2009, we repurchased 11.8 million shares of our outstanding Common Stock for approximately $29.9 million, at an average cost of $2.54 per share, and the repurchases were recorded at cost. As of December 31, 2009, we had $21.5 million of Common Stock available to repurchase under the authorized stock repurchase programs.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1"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170" w:lineRule="exact"/>
        <w:rPr>
          <w:sz w:val="20"/>
          <w:szCs w:val="20"/>
          <w:color w:val="auto"/>
        </w:rPr>
      </w:pPr>
    </w:p>
    <w:p>
      <w:pPr>
        <w:jc w:val="both"/>
        <w:ind w:right="20" w:firstLine="384"/>
        <w:spacing w:after="0" w:line="268" w:lineRule="auto"/>
        <w:rPr>
          <w:sz w:val="20"/>
          <w:szCs w:val="20"/>
          <w:color w:val="auto"/>
        </w:rPr>
      </w:pPr>
      <w:r>
        <w:rPr>
          <w:rFonts w:ascii="Arial" w:cs="Arial" w:eastAsia="Arial" w:hAnsi="Arial"/>
          <w:sz w:val="18"/>
          <w:szCs w:val="18"/>
          <w:color w:val="auto"/>
        </w:rPr>
        <w:t>During 2009, management reviewed and evaluated these critical accounting estimates and believes they are appropriate. Our significant accounting policies are described in Note 3 to our Consolidated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The following is a summary of accounting policies that require more significant management estimates and judgments:</w:t>
      </w:r>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b w:val="1"/>
          <w:bCs w:val="1"/>
          <w:i w:val="1"/>
          <w:iCs w:val="1"/>
          <w:color w:val="auto"/>
        </w:rPr>
        <w:t>Reserve for loan losses</w:t>
      </w:r>
      <w:r>
        <w:rPr>
          <w:rFonts w:ascii="Arial" w:cs="Arial" w:eastAsia="Arial" w:hAnsi="Arial"/>
          <w:sz w:val="18"/>
          <w:szCs w:val="18"/>
          <w:color w:val="auto"/>
        </w:rPr>
        <w:t>—The reserve for loan losses is a valuation allowance that reflects management's estimate of loan losses inherent in the loan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the balance sheet date. The reserve is increased through the "Provision for loan losses" on our Consolidated Statements of Operations and is decreased by charge-offs when losses are confirmed through the receipt of assets such as cash in a pre-foreclosure sale or via ownership control of the underlying collateral in full satisfaction of the loan upon foreclosure or when significant collection efforts have ceased. The reserve for loan losses includes a general, formula-based component and an asset-specific component.</w:t>
      </w:r>
    </w:p>
    <w:p>
      <w:pPr>
        <w:spacing w:after="0" w:line="197"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The general, formula-based reserve component covers performing loans and provisions for loan losses are recorded when (i) available information as of each balance sheet date indicates that it is probable a loss has occurred in the portfolio and (ii) the amount of the loss can be reasonably estimated. Required reserve balances for the performing loan portfolio are derived from estimated probabilities of principal loss and loss given default severities. Estimated probabilities of principal loss and loss severities are assigned to each loan in the portfolio during our quarterly internal risk rating assessment. Probabilities of principal loss and severity factors are based on industry and/or internal experience and may be adjusted for significant factors that, based on our judgment, impact the collectability of the loans as of the balance sheet date.</w:t>
      </w:r>
    </w:p>
    <w:p>
      <w:pPr>
        <w:spacing w:after="0" w:line="198" w:lineRule="exact"/>
        <w:rPr>
          <w:sz w:val="20"/>
          <w:szCs w:val="20"/>
          <w:color w:val="auto"/>
        </w:rPr>
      </w:pPr>
    </w:p>
    <w:p>
      <w:pPr>
        <w:jc w:val="both"/>
        <w:ind w:firstLine="553"/>
        <w:spacing w:after="0" w:line="253" w:lineRule="auto"/>
        <w:rPr>
          <w:sz w:val="20"/>
          <w:szCs w:val="20"/>
          <w:color w:val="auto"/>
        </w:rPr>
      </w:pPr>
      <w:r>
        <w:rPr>
          <w:rFonts w:ascii="Arial" w:cs="Arial" w:eastAsia="Arial" w:hAnsi="Arial"/>
          <w:sz w:val="18"/>
          <w:szCs w:val="18"/>
          <w:color w:val="auto"/>
        </w:rPr>
        <w:t>The asset-specific reserve component relates to reserves for losses on impaired loans. We consider a loan to be impaired when, based upon current information and events, we believe that it is probable that we will be unable to collect all amounts due under the contractual terms of the loan agreement. A reserve is established when the present value of payments expected to be received, observable market prices, or the estimated fair value of the collateral (for loans that are dependent on the collateral for repayment) of an impaired loan is lower than the carrying value of that loan. A loan is also considered impaired if its terms are modified in a troubled debt restructuring ("TDR"). A TDR occurs when the Company grants a concession to a borrower in financial difficulty by modifying the original terms of the loan. Each of our non-performing loans ("NPL's") and TDR loans are considered impaired and are evaluated individually to determine required asset-specific reserves.</w:t>
      </w:r>
    </w:p>
    <w:p>
      <w:pPr>
        <w:spacing w:after="0" w:line="201"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8"/>
          <w:szCs w:val="18"/>
          <w:color w:val="auto"/>
        </w:rPr>
        <w:t>The provision for loan losses for the years ended December 31, 2009, 2008 and 2007 were $1.26 billion, $1.03 billion and $185.0 million, respectively. The increase in the provision for loan losses was primarily due to increased asset specific reserves required as a result of the increase in impaired loans. The total reserve for loan losses at December 31, 2009 and 2008, included asset specific reserves of $1.24 billion and $799.6 million, respectively, and general reserves of $174.9 million and $177.2 million, respectively.</w:t>
      </w:r>
    </w:p>
    <w:p>
      <w:pPr>
        <w:spacing w:after="0" w:line="197" w:lineRule="exact"/>
        <w:rPr>
          <w:sz w:val="20"/>
          <w:szCs w:val="20"/>
          <w:color w:val="auto"/>
        </w:rPr>
      </w:pPr>
    </w:p>
    <w:p>
      <w:pPr>
        <w:jc w:val="both"/>
        <w:ind w:firstLine="374"/>
        <w:spacing w:after="0" w:line="288" w:lineRule="auto"/>
        <w:rPr>
          <w:sz w:val="20"/>
          <w:szCs w:val="20"/>
          <w:color w:val="auto"/>
        </w:rPr>
      </w:pPr>
      <w:r>
        <w:rPr>
          <w:rFonts w:ascii="Arial" w:cs="Arial" w:eastAsia="Arial" w:hAnsi="Arial"/>
          <w:sz w:val="16"/>
          <w:szCs w:val="16"/>
          <w:b w:val="1"/>
          <w:bCs w:val="1"/>
          <w:i w:val="1"/>
          <w:iCs w:val="1"/>
          <w:color w:val="auto"/>
        </w:rPr>
        <w:t>Impairment of available-for-sale and held-to-maturity debt securities</w:t>
      </w:r>
      <w:r>
        <w:rPr>
          <w:rFonts w:ascii="Arial" w:cs="Arial" w:eastAsia="Arial" w:hAnsi="Arial"/>
          <w:sz w:val="16"/>
          <w:szCs w:val="16"/>
          <w:color w:val="auto"/>
        </w:rPr>
        <w:t>—For held-to-maturity and available-for-sale debt securities held in "Loans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lending investments," management evaluates whether the asset is other-than-temporarily impaired when the fair market value is below carrying value. We consider debt securities other-than-temporarily impaired if (1) we have the intent to sell the security, (2) it is more likely than not that we will be required to sell the security before recovery, or (3) we do not expect to recover the entire amortized cost basis of the security. If it is determined that an other-than-temporary impairment exists, the portion related to credit losses, where we do not expect to recover our entire amortized cost basis, will be recognized as an "Impairment of other assets" on the our Consolidated Statements of Operations. If we do not intend to sell the security and it is more likely than not that we will be required to sell the security, but the security has suffered a credit loss, the impairment charge will be separated. The credit loss component of the impairment will be recorded as an "Impairment of other assets" on our Consolidated Statements of Operations, and the remainder will be recorded in "Accumulated other comprehensive income" on our Consolidated Balance Sheets.</w:t>
      </w:r>
    </w:p>
    <w:p>
      <w:pPr>
        <w:spacing w:after="0" w:line="174"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During the years ended December 31, 2009, 2008 and 2007, we determined that unrealized credit related losses on certain held-to-maturity and available-for-sale debt securities were other-than-temporary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recorded impairment charges totaling $11.7 million, $120.0 million and $134.9 million, respectively, in "Impairment of other assets" on the Consolidated Statements of Operations. There are no other-than-temporary impairments recorded in "Accumulated other comprehensive income" on our Consolidated Balance Sheet as of December 31, 2009.</w:t>
      </w:r>
    </w:p>
    <w:p>
      <w:pPr>
        <w:spacing w:after="0" w:line="194"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b w:val="1"/>
          <w:bCs w:val="1"/>
          <w:i w:val="1"/>
          <w:iCs w:val="1"/>
          <w:color w:val="auto"/>
        </w:rPr>
        <w:t>Other real estate owned</w:t>
      </w:r>
      <w:r>
        <w:rPr>
          <w:rFonts w:ascii="Arial" w:cs="Arial" w:eastAsia="Arial" w:hAnsi="Arial"/>
          <w:sz w:val="16"/>
          <w:szCs w:val="16"/>
          <w:color w:val="auto"/>
        </w:rPr>
        <w:t>—OREO consists of properties acquired through foreclosure or by deed-in-lieu of foreclosure in full or partial satisfaction of non-performing loans that we intend to market for sale in the near term. OREO is recorded at the estimated fair value less costs to sell. The excess of the carrying value of the loan over the fair value of the property less estimated costs to sell is charged-off against the reserve for loan losses when title to the property is obtained. Significant property improvements may be capitalized to the extent that the carrying value of the property does not exceed the estimated fair value less costs to sell. The gain or loss on final disposition of an OREO is recorded in "Impairment of other assets" on our Consolidated Statements of Operations, and is considered income (loss) from continuing operations as it represents the final stage of our loan collection process.</w:t>
      </w:r>
    </w:p>
    <w:p>
      <w:pPr>
        <w:spacing w:after="0" w:line="174" w:lineRule="exact"/>
        <w:rPr>
          <w:sz w:val="20"/>
          <w:szCs w:val="20"/>
          <w:color w:val="auto"/>
        </w:rPr>
      </w:pPr>
    </w:p>
    <w:p>
      <w:pPr>
        <w:jc w:val="both"/>
        <w:ind w:firstLine="485"/>
        <w:spacing w:after="0" w:line="259" w:lineRule="auto"/>
        <w:rPr>
          <w:sz w:val="20"/>
          <w:szCs w:val="20"/>
          <w:color w:val="auto"/>
        </w:rPr>
      </w:pPr>
      <w:r>
        <w:rPr>
          <w:rFonts w:ascii="Arial" w:cs="Arial" w:eastAsia="Arial" w:hAnsi="Arial"/>
          <w:sz w:val="18"/>
          <w:szCs w:val="18"/>
          <w:color w:val="auto"/>
        </w:rPr>
        <w:t>We review the recoverability of an OREO asset's carrying value when events or circumstances indicate a potential impairment of a property's value. If impairment exists a loss is recorded to the extent that the carrying value exceeds the estimated fair value of the property less cost to sell. These impairments are recorded in "Impairment of other assets" on the Consolidated Statements of Operations.</w:t>
      </w:r>
    </w:p>
    <w:p>
      <w:pPr>
        <w:spacing w:after="0" w:line="194"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During the years ended December 31, 2009, 2008 and 2007, we received titles to properties in satisfaction of senior mortgage loans with cumulative carrying values of $1.88 billion, $419.1 million and $152.4 million, respectively, for which those properties had served as collateral, and recorded charge-offs totaling $573.6 million, $102.4 million and $23.2 million, respectively, related to these loans. Subsequent to taking title to the properties, we determined certain OREO assets were impaired due to changing market conditions, and recorded impairment charges of $78.6 million and $55.6 million during the year ended December 31, 2009 and 2008.</w:t>
      </w:r>
    </w:p>
    <w:p>
      <w:pPr>
        <w:spacing w:after="0" w:line="197" w:lineRule="exact"/>
        <w:rPr>
          <w:sz w:val="20"/>
          <w:szCs w:val="20"/>
          <w:color w:val="auto"/>
        </w:rPr>
      </w:pPr>
    </w:p>
    <w:p>
      <w:pPr>
        <w:jc w:val="both"/>
        <w:ind w:firstLine="484"/>
        <w:spacing w:after="0" w:line="291" w:lineRule="auto"/>
        <w:rPr>
          <w:sz w:val="20"/>
          <w:szCs w:val="20"/>
          <w:color w:val="auto"/>
        </w:rPr>
      </w:pPr>
      <w:r>
        <w:rPr>
          <w:rFonts w:ascii="Arial" w:cs="Arial" w:eastAsia="Arial" w:hAnsi="Arial"/>
          <w:sz w:val="16"/>
          <w:szCs w:val="16"/>
          <w:b w:val="1"/>
          <w:bCs w:val="1"/>
          <w:i w:val="1"/>
          <w:iCs w:val="1"/>
          <w:color w:val="auto"/>
        </w:rPr>
        <w:t>Real estate held for investment, net</w:t>
      </w:r>
      <w:r>
        <w:rPr>
          <w:rFonts w:ascii="Arial" w:cs="Arial" w:eastAsia="Arial" w:hAnsi="Arial"/>
          <w:sz w:val="16"/>
          <w:szCs w:val="16"/>
          <w:color w:val="auto"/>
        </w:rPr>
        <w:t>—REHI consists of properties acquired through foreclosure or through deed-in-lieu of foreclosure in full or partial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satisfaction of non-performing loans that management intends to hold, operate or develop for a period of at least twelve months. REHI assets are initially recorded at their estimated fair value. The excess of the carrying value of the loan over the fair value of the property is charged-off against the reserve for loan losses when title to the property is obtained. Upon acquisition, tangible and intangible assets and liabilities acquired are recorded at their estimated fair values. We consider REHI assets to be long-lived and periodically review them for impairment in value whenever events or changes in circumstances indicate that the carrying amount of such assets may not be recoverable. Impairment of REHI assets is measured in the same manner as long-lived assets as described below.</w:t>
      </w:r>
    </w:p>
    <w:p>
      <w:pPr>
        <w:spacing w:after="0" w:line="174" w:lineRule="exact"/>
        <w:rPr>
          <w:sz w:val="20"/>
          <w:szCs w:val="20"/>
          <w:color w:val="auto"/>
        </w:rPr>
      </w:pPr>
    </w:p>
    <w:p>
      <w:pPr>
        <w:jc w:val="both"/>
        <w:ind w:firstLine="381"/>
        <w:spacing w:after="0" w:line="294" w:lineRule="auto"/>
        <w:rPr>
          <w:sz w:val="20"/>
          <w:szCs w:val="20"/>
          <w:color w:val="auto"/>
        </w:rPr>
      </w:pPr>
      <w:r>
        <w:rPr>
          <w:rFonts w:ascii="Arial" w:cs="Arial" w:eastAsia="Arial" w:hAnsi="Arial"/>
          <w:sz w:val="16"/>
          <w:szCs w:val="16"/>
          <w:b w:val="1"/>
          <w:bCs w:val="1"/>
          <w:i w:val="1"/>
          <w:iCs w:val="1"/>
          <w:color w:val="auto"/>
        </w:rPr>
        <w:t>Long-lived assets impairment test</w:t>
      </w:r>
      <w:r>
        <w:rPr>
          <w:rFonts w:ascii="Arial" w:cs="Arial" w:eastAsia="Arial" w:hAnsi="Arial"/>
          <w:sz w:val="16"/>
          <w:szCs w:val="16"/>
          <w:color w:val="auto"/>
        </w:rPr>
        <w:t>—CTL assets to be disposed of are reported at the lower of their carrying amount or estimated fair value less costs to sell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are included in "Assets held for sale" on our Consolidated Balance Sheets. The difference between the estimated fair value less costs to sell and the carrying value will be recorded as an impairment charge and included in "Income from discontinued operations" on the Consolidated Statements of Operations. Once the asset is classified as held for sale, depreciation expense is no longer recorded and historical operating results are reclassified to "Income from discontinued operations" on the Consolidated Statements of Operations.</w:t>
      </w:r>
    </w:p>
    <w:p>
      <w:pPr>
        <w:spacing w:after="0" w:line="170"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We periodically review long-lived assets to be held and used for impairment in value whenever events or changes in circumstances indicate that the carrying amount of such assets may not be recoverable. A held for use long-lived asset's value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demand, competition and other economic factors. To the extent impairment has occurred, the loss will be measured as the excess of the carrying amount of the property over the fair value of the asset and reflected as an adjustment to the basis of the asset. Impairments of CTL and REHI assets are recorded in "Impairment of other assets," on our Consolidated Statements of Operations.</w:t>
      </w:r>
    </w:p>
    <w:p>
      <w:pPr>
        <w:spacing w:after="0" w:line="194"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8"/>
          <w:szCs w:val="18"/>
          <w:color w:val="auto"/>
        </w:rPr>
        <w:t>During the years ended December 31, 2009 and 2008, we recorded impairment charges of $19.4 million and $11.6 million, respectively, due to changes in market conditions.</w:t>
      </w:r>
    </w:p>
    <w:p>
      <w:pPr>
        <w:spacing w:after="0" w:line="186" w:lineRule="exact"/>
        <w:rPr>
          <w:sz w:val="20"/>
          <w:szCs w:val="20"/>
          <w:color w:val="auto"/>
        </w:rPr>
      </w:pPr>
    </w:p>
    <w:p>
      <w:pPr>
        <w:jc w:val="both"/>
        <w:ind w:firstLine="549"/>
        <w:spacing w:after="0" w:line="291" w:lineRule="auto"/>
        <w:rPr>
          <w:sz w:val="20"/>
          <w:szCs w:val="20"/>
          <w:color w:val="auto"/>
        </w:rPr>
      </w:pPr>
      <w:r>
        <w:rPr>
          <w:rFonts w:ascii="Arial" w:cs="Arial" w:eastAsia="Arial" w:hAnsi="Arial"/>
          <w:sz w:val="16"/>
          <w:szCs w:val="16"/>
          <w:b w:val="1"/>
          <w:bCs w:val="1"/>
          <w:i w:val="1"/>
          <w:iCs w:val="1"/>
          <w:color w:val="auto"/>
        </w:rPr>
        <w:t>Identified intangible assets and goodwill</w:t>
      </w:r>
      <w:r>
        <w:rPr>
          <w:rFonts w:ascii="Arial" w:cs="Arial" w:eastAsia="Arial" w:hAnsi="Arial"/>
          <w:sz w:val="16"/>
          <w:szCs w:val="16"/>
          <w:color w:val="auto"/>
        </w:rPr>
        <w:t>—We record intangible assets acquired at their estimated fair values separate and apart from goodwill.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whether such intangible assets have finite or indefinite lives. As of December 31, 2009, all such acquired intangible assets have finite lives. We amortize finite lived intangible assets based on the period over which the assets are expected to contribute directly or indirectly to the future cash flows of the business acquired. We review finite lived intangible assets for impairment whenever events or changes in circumstances indicate that their carrying amount may not be recoverable. If we determine the carrying value of an intangible asset is not recoverable we will record an impairment charge to the extent its carrying value exceeds its estimated fair value. Impairments of intangibles are recorded in "Impairment of other assets" on our Consolidated Statements of Operations.</w:t>
      </w:r>
    </w:p>
    <w:p>
      <w:pPr>
        <w:spacing w:after="0" w:line="174"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excess of the cost of an acquired entity over the net of the amounts assigned to assets acquired (including identified intangible assets) and liabilities assumed is recorded as goodwill. Goodwill is not amortized but is tested for impairment on an annual basis, or more frequently if events or changes in circumstances indicate that the asset might be impaired. The impairment test is done at a level of reporting referred to as a reporting unit. If the fair value of the reporting unit is less than its carrying value, an impairment loss is recorded to the extent that the fair value of the goodwill within the reporting unit is less than its carrying value.</w:t>
      </w:r>
    </w:p>
    <w:p>
      <w:pPr>
        <w:spacing w:after="0" w:line="197"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Due to an overall deterioration in conditions within the commercial real estate market, we recorded impairment charges of $4.2 million during 2009 and $39.1 million during 2008 to write-off the goodwill allocated to the CTL and Real Estate Lending reporting segments, respectively. These charges were recorded in "Impairment of goodwill" on our Consolidated Statements of Operations.</w:t>
      </w:r>
    </w:p>
    <w:p>
      <w:pPr>
        <w:spacing w:after="0" w:line="194"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During the year ended December 31, 2008, we also recorded non-cash charges of $21.5 million to reduce the carrying value of certain intangible assets related to the Fremont CRE acquisition and other acquisitions, based on their revised estimated fair values. These charges were recorded in "Impairment of other assets" on our Consolidated Statements of Operations.</w:t>
      </w:r>
    </w:p>
    <w:p>
      <w:pPr>
        <w:spacing w:after="0" w:line="194" w:lineRule="exact"/>
        <w:rPr>
          <w:sz w:val="20"/>
          <w:szCs w:val="20"/>
          <w:color w:val="auto"/>
        </w:rPr>
      </w:pPr>
    </w:p>
    <w:p>
      <w:pPr>
        <w:jc w:val="both"/>
        <w:ind w:firstLine="416"/>
        <w:spacing w:after="0" w:line="253" w:lineRule="auto"/>
        <w:rPr>
          <w:sz w:val="20"/>
          <w:szCs w:val="20"/>
          <w:color w:val="auto"/>
        </w:rPr>
      </w:pPr>
      <w:r>
        <w:rPr>
          <w:rFonts w:ascii="Arial" w:cs="Arial" w:eastAsia="Arial" w:hAnsi="Arial"/>
          <w:sz w:val="18"/>
          <w:szCs w:val="18"/>
          <w:b w:val="1"/>
          <w:bCs w:val="1"/>
          <w:i w:val="1"/>
          <w:iCs w:val="1"/>
          <w:color w:val="auto"/>
        </w:rPr>
        <w:t>Consolidation—Variable Interest Entities</w:t>
      </w:r>
      <w:r>
        <w:rPr>
          <w:rFonts w:ascii="Arial" w:cs="Arial" w:eastAsia="Arial" w:hAnsi="Arial"/>
          <w:sz w:val="18"/>
          <w:szCs w:val="18"/>
          <w:color w:val="auto"/>
        </w:rPr>
        <w:t>—We invest in many entities in which we either own a minority interest or may have a majority interest, but 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have voting control of the entity. We must evaluate these types of interests to determine if the entity is a variable interest entity ("VIE"), and if we are the primary beneficiary. There is a significant amount of judgment required to determine if an entity is considered a VIE and if we are the primary beneficiary, we first perform a qualitative analysis, which requires certain subjective decisions regarding our assessment, including, but not limited to, the nature and structure of the entity, the variability of the economic interests that the entity passes along to its interest holders, the rights of the parties and the purpose of the arrangement. An iterative quantitative analysis is required if our qualitative analysis proves inconclusive as to whether the entity is a VIE or we are the primary beneficiary and consolidation is required.</w:t>
      </w:r>
    </w:p>
    <w:p>
      <w:pPr>
        <w:spacing w:after="0" w:line="201" w:lineRule="exact"/>
        <w:rPr>
          <w:sz w:val="20"/>
          <w:szCs w:val="20"/>
          <w:color w:val="auto"/>
        </w:rPr>
      </w:pPr>
    </w:p>
    <w:p>
      <w:pPr>
        <w:jc w:val="both"/>
        <w:ind w:firstLine="393"/>
        <w:spacing w:after="0" w:line="294" w:lineRule="auto"/>
        <w:rPr>
          <w:sz w:val="20"/>
          <w:szCs w:val="20"/>
          <w:color w:val="auto"/>
        </w:rPr>
      </w:pPr>
      <w:r>
        <w:rPr>
          <w:rFonts w:ascii="Arial" w:cs="Arial" w:eastAsia="Arial" w:hAnsi="Arial"/>
          <w:sz w:val="16"/>
          <w:szCs w:val="16"/>
          <w:b w:val="1"/>
          <w:bCs w:val="1"/>
          <w:i w:val="1"/>
          <w:iCs w:val="1"/>
          <w:color w:val="auto"/>
        </w:rPr>
        <w:t>Fair value of assets and liabilities</w:t>
      </w:r>
      <w:r>
        <w:rPr>
          <w:rFonts w:ascii="Arial" w:cs="Arial" w:eastAsia="Arial" w:hAnsi="Arial"/>
          <w:sz w:val="16"/>
          <w:szCs w:val="16"/>
          <w:color w:val="auto"/>
        </w:rPr>
        <w:t>—The degree of management judgment involved in determining the fair value of assets and liabilities is dependent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availability of quoted market prices or observable market parameters. For financial and nonfinancial assets and liabilities that trade actively and have quoted market prices or observable market parameters, there is minimal subjectivity involved in measuring fair value. When observable market prices and parameters are not fully available, management judgment is necessary to estimate fair value. In addition, changes in market conditions may reduce the availability of quoted prices or observable data. For example, reduced liquidity in the capital markets or changes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secondary market activities could result in observable market inputs becoming unavailable. Therefore, when market data is not available, we would use valuation techniques requiring more management judgment to estimate the appropriate fair value measurement.</w:t>
      </w:r>
    </w:p>
    <w:p>
      <w:pPr>
        <w:spacing w:after="0" w:line="186" w:lineRule="exact"/>
        <w:rPr>
          <w:sz w:val="20"/>
          <w:szCs w:val="20"/>
          <w:color w:val="auto"/>
        </w:rPr>
      </w:pPr>
    </w:p>
    <w:p>
      <w:pPr>
        <w:ind w:firstLine="419"/>
        <w:spacing w:after="0" w:line="268" w:lineRule="auto"/>
        <w:rPr>
          <w:sz w:val="20"/>
          <w:szCs w:val="20"/>
          <w:color w:val="auto"/>
        </w:rPr>
      </w:pPr>
      <w:r>
        <w:rPr>
          <w:rFonts w:ascii="Arial" w:cs="Arial" w:eastAsia="Arial" w:hAnsi="Arial"/>
          <w:sz w:val="18"/>
          <w:szCs w:val="18"/>
          <w:color w:val="auto"/>
        </w:rPr>
        <w:t>See Note 16 of the Notes to Consolidated Financial Statements for a complete discussion on our use of fair valuation of financial and non-financial assets and financial liabilities and the related measurement techniques.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ind w:firstLine="525"/>
        <w:spacing w:after="0" w:line="268" w:lineRule="auto"/>
        <w:rPr>
          <w:sz w:val="20"/>
          <w:szCs w:val="20"/>
          <w:color w:val="auto"/>
        </w:rPr>
      </w:pPr>
      <w:r>
        <w:rPr>
          <w:rFonts w:ascii="Arial" w:cs="Arial" w:eastAsia="Arial" w:hAnsi="Arial"/>
          <w:sz w:val="18"/>
          <w:szCs w:val="18"/>
          <w:color w:val="auto"/>
        </w:rPr>
        <w:t>For a discussion of the impact of new accounting pronouncements on our financial condition or results of operations, see Note 3 to the Notes to the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31"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Market risk is the exposure to loss resulting from changes in interest rates, foreign currency exchange rates, commodity prices and equity prices. In pursuing our business plan, the primary market risk to which we are exposed is interest rate risk. Consistent with our liability management objectives, we have implemented an interest rate risk management policy based on match funding, with the objective that variable-rate assets be primarily financed by variable-rate liabilities and fixed-rate assets be primarily financed by fixed-rate liabilities. We also seek to match fund our foreign denominated assets with foreign denominated debt so that changes in foreign currency exchange rates will have a minimal impact on earnings.</w:t>
      </w:r>
    </w:p>
    <w:p>
      <w:pPr>
        <w:spacing w:after="0" w:line="17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6"/>
          <w:szCs w:val="16"/>
          <w:color w:val="auto"/>
        </w:rPr>
        <w:t>Our operating results will depend in part on the difference between the interest and related income earned on our assets and the interest expense incurred in connection with our interest-bearing liabilities. Competition from other providers of real estate financing may lead to a decrease in the interest rate earned on our interest-bearing assets, which we may not be able to offset by obtaining lower interest costs on our borrowings. Changes in the general level of interest rates prevailing in the financial markets may affect the spread between our interest-earning assets and interest-bearing liabilities. Any significant compression of the spreads between interest-earning assets and interest-bearing liabilities could have a material adverse effect on us. In addition, an increase in interest rates could, among other things, reduce the value of our interest-bearing assets and our ability to realize gains from the sale of such assets, and a decrease in interest rates could reduce the average life of our interest-earning assets if borrowers refinance our loans.</w:t>
      </w:r>
    </w:p>
    <w:p>
      <w:pPr>
        <w:spacing w:after="0" w:line="172" w:lineRule="exact"/>
        <w:rPr>
          <w:sz w:val="20"/>
          <w:szCs w:val="20"/>
          <w:color w:val="auto"/>
        </w:rPr>
      </w:pPr>
    </w:p>
    <w:p>
      <w:pPr>
        <w:jc w:val="both"/>
        <w:ind w:firstLine="554"/>
        <w:spacing w:after="0" w:line="291" w:lineRule="auto"/>
        <w:rPr>
          <w:sz w:val="20"/>
          <w:szCs w:val="20"/>
          <w:color w:val="auto"/>
        </w:rPr>
      </w:pPr>
      <w:r>
        <w:rPr>
          <w:rFonts w:ascii="Arial" w:cs="Arial" w:eastAsia="Arial" w:hAnsi="Arial"/>
          <w:sz w:val="16"/>
          <w:szCs w:val="16"/>
          <w:color w:val="auto"/>
        </w:rPr>
        <w:t>Approximately 10.3% of our loan investments are subject to prepayment protection in the form of lock-outs, yield maintenance provisions or other prepayment premiums which provide substantial yield protection to us. Those assets generally not subject to prepayment penalties include: (1) variable-rate loans based on LIBOR, originated or acquired at par, which would not result in any gain or loss upon repayment; and (2) discount loans and loan participations acquired at discounts to face values, which would result in gains upon repayment. Further, while we generally seek to enter into loan investments which provide for substantial prepayment protection, in the event of declining interest rates, we could receive such prepayments and may not be able to reinvest such proceeds at favorable returns. Such prepayments could have an adverse effect on the spreads between interest-earning assets and interest-bearing liabilities.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31"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In the event of a significant rising interest rate environment or further economic downturn, defaults could increase and cause additional credit losses to us which adversely affect our liquidity and operating results. Further, such delinquencies or defaults could have an adverse effect on the spreads between interest-earning assets and interest-bearing liabilities.</w:t>
      </w:r>
    </w:p>
    <w:p>
      <w:pPr>
        <w:spacing w:after="0" w:line="194" w:lineRule="exact"/>
        <w:rPr>
          <w:sz w:val="20"/>
          <w:szCs w:val="20"/>
          <w:color w:val="auto"/>
        </w:rPr>
      </w:pPr>
    </w:p>
    <w:p>
      <w:pPr>
        <w:jc w:val="both"/>
        <w:ind w:firstLine="471"/>
        <w:spacing w:after="0" w:line="291" w:lineRule="auto"/>
        <w:rPr>
          <w:sz w:val="20"/>
          <w:szCs w:val="20"/>
          <w:color w:val="auto"/>
        </w:rPr>
      </w:pPr>
      <w:r>
        <w:rPr>
          <w:rFonts w:ascii="Arial" w:cs="Arial" w:eastAsia="Arial" w:hAnsi="Arial"/>
          <w:sz w:val="16"/>
          <w:szCs w:val="16"/>
          <w:color w:val="auto"/>
        </w:rPr>
        <w:t>Interest rates are highly sensitive to many factors, including governmental monetary and tax policies, domestic and international economic and political conditions, and other factors beyond our control. As fully discussed in Note 12 of the Company's Notes to Consolidated Financial Statements, we seek to employ match funding-based financing and hedging strategies to limit the effects of changes in interest rates on our operations, including engaging in interest rate caps, swaps and other interest rate-related derivative contracts. These strategies are specifically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9"/>
        <w:spacing w:after="0" w:line="256" w:lineRule="auto"/>
        <w:rPr>
          <w:sz w:val="20"/>
          <w:szCs w:val="20"/>
          <w:color w:val="auto"/>
        </w:rPr>
      </w:pPr>
      <w:r>
        <w:rPr>
          <w:rFonts w:ascii="Arial" w:cs="Arial" w:eastAsia="Arial" w:hAnsi="Arial"/>
          <w:sz w:val="18"/>
          <w:szCs w:val="18"/>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asset-related risks such as credit, foreign exchange and prepayment or interest rate exposure on our loan assets. As a result our ability to hedge these types of risks is limited.</w:t>
      </w:r>
    </w:p>
    <w:p>
      <w:pPr>
        <w:spacing w:after="0" w:line="197" w:lineRule="exact"/>
        <w:rPr>
          <w:sz w:val="20"/>
          <w:szCs w:val="20"/>
          <w:color w:val="auto"/>
        </w:rPr>
      </w:pPr>
    </w:p>
    <w:p>
      <w:pPr>
        <w:jc w:val="both"/>
        <w:ind w:firstLine="410"/>
        <w:spacing w:after="0" w:line="288" w:lineRule="auto"/>
        <w:rPr>
          <w:sz w:val="20"/>
          <w:szCs w:val="20"/>
          <w:color w:val="auto"/>
        </w:rPr>
      </w:pPr>
      <w:r>
        <w:rPr>
          <w:rFonts w:ascii="Arial" w:cs="Arial" w:eastAsia="Arial" w:hAnsi="Arial"/>
          <w:sz w:val="16"/>
          <w:szCs w:val="16"/>
          <w:color w:val="auto"/>
        </w:rPr>
        <w:t>There can be no assurance that our profitability will not be adversely affected during any period as a result of changing interest rates. In addition, hedging transactions using derivative instruments involve certain additional risks such as counterparty credit risk, legal enforceability of hedging contracts and the risk that unanticipated and significant changes in interest rates will cause a significant loss of basis in the contract. With regard to loss of basis in a hedging contract, indices upon which contracts are based may be more or less variable than the indices upon which the hedged assets or liabilities are based, thereby making the hedge less effective. The counterparties to these contractual arrangements are major financial institutions with which we and our affiliates may also have other financial relationships. We are potentially exposed to credit loss in the event of non-performance by these counterparties. However, because of their high credit ratings, we do not anticipate that any of the counterparties will fail to meet their obligations. There can be no assurance that we will be able to adequately protect against the foregoing risks and that we will ultimately realize an economic benefit from any hedging contract we enter into which exceeds the related costs incurred in connection with engaging in such hedges.</w:t>
      </w:r>
    </w:p>
    <w:p>
      <w:pPr>
        <w:spacing w:after="0" w:line="174" w:lineRule="exact"/>
        <w:rPr>
          <w:sz w:val="20"/>
          <w:szCs w:val="20"/>
          <w:color w:val="auto"/>
        </w:rPr>
      </w:pPr>
    </w:p>
    <w:p>
      <w:pPr>
        <w:jc w:val="both"/>
        <w:ind w:firstLine="412"/>
        <w:spacing w:after="0" w:line="294" w:lineRule="auto"/>
        <w:rPr>
          <w:sz w:val="20"/>
          <w:szCs w:val="20"/>
          <w:color w:val="auto"/>
        </w:rPr>
      </w:pPr>
      <w:r>
        <w:rPr>
          <w:rFonts w:ascii="Arial" w:cs="Arial" w:eastAsia="Arial" w:hAnsi="Arial"/>
          <w:sz w:val="16"/>
          <w:szCs w:val="16"/>
          <w:color w:val="auto"/>
        </w:rPr>
        <w:t>The following table quantifies the potential changes in net investment income should interest rates increase by 100 or 200 basis points and decrease by 10 basis points, assuming no change in the shape of the yield curve (i.e., relative interest rates). Net investment income is calculated as revenue from loans and other lending investments and operating leases and earnings from equity method investments, less interest expense, operating costs on CTL assets and gain on early extinguishment of debt, for the year ended December 31, 2009. The base interest rate scenario assumes the one-month LIBOR rate of 0.23% as of December 31, 2009. Actual results could differ significantly from those estimated in the table.</w:t>
      </w:r>
    </w:p>
    <w:p>
      <w:pPr>
        <w:spacing w:after="0" w:line="380"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40" w:type="dxa"/>
            <w:vAlign w:val="bottom"/>
            <w:gridSpan w:val="3"/>
          </w:tcPr>
          <w:p>
            <w:pPr>
              <w:jc w:val="right"/>
              <w:ind w:right="2220"/>
              <w:spacing w:after="0"/>
              <w:rPr>
                <w:sz w:val="20"/>
                <w:szCs w:val="20"/>
                <w:color w:val="auto"/>
              </w:rPr>
            </w:pPr>
            <w:r>
              <w:rPr>
                <w:rFonts w:ascii="Arial" w:cs="Arial" w:eastAsia="Arial" w:hAnsi="Arial"/>
                <w:sz w:val="18"/>
                <w:szCs w:val="18"/>
                <w:b w:val="1"/>
                <w:bCs w:val="1"/>
                <w:color w:val="auto"/>
              </w:rPr>
              <w:t>Estimated Percentage Change In</w:t>
            </w:r>
          </w:p>
        </w:tc>
        <w:tc>
          <w:tcPr>
            <w:tcW w:w="0" w:type="dxa"/>
            <w:vAlign w:val="bottom"/>
          </w:tcPr>
          <w:p>
            <w:pPr>
              <w:spacing w:after="0"/>
              <w:rPr>
                <w:sz w:val="1"/>
                <w:szCs w:val="1"/>
                <w:color w:val="auto"/>
              </w:rPr>
            </w:pPr>
          </w:p>
        </w:tc>
      </w:tr>
      <w:tr>
        <w:trPr>
          <w:trHeight w:val="367"/>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6"/>
              </w:rPr>
              <w:t>Change in Interest Rates</w:t>
            </w:r>
          </w:p>
        </w:tc>
        <w:tc>
          <w:tcPr>
            <w:tcW w:w="2920" w:type="dxa"/>
            <w:vAlign w:val="bottom"/>
          </w:tcPr>
          <w:p>
            <w:pPr>
              <w:spacing w:after="0"/>
              <w:rPr>
                <w:sz w:val="24"/>
                <w:szCs w:val="24"/>
                <w:color w:val="auto"/>
              </w:rPr>
            </w:pPr>
          </w:p>
        </w:tc>
        <w:tc>
          <w:tcPr>
            <w:tcW w:w="23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3"/>
              </w:rPr>
              <w:t>Net Investment Income(1)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-10 Basis Points(1)</w:t>
            </w:r>
          </w:p>
        </w:tc>
        <w:tc>
          <w:tcPr>
            <w:tcW w:w="29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Base Interest Rate</w:t>
            </w:r>
          </w:p>
        </w:tc>
        <w:tc>
          <w:tcPr>
            <w:tcW w:w="2920" w:type="dxa"/>
            <w:vAlign w:val="bottom"/>
          </w:tcPr>
          <w:p>
            <w:pPr>
              <w:spacing w:after="0"/>
              <w:rPr>
                <w:sz w:val="18"/>
                <w:szCs w:val="18"/>
                <w:color w:val="auto"/>
              </w:rPr>
            </w:pPr>
          </w:p>
        </w:tc>
        <w:tc>
          <w:tcPr>
            <w:tcW w:w="2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5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+200 Basis Points</w:t>
            </w:r>
          </w:p>
        </w:tc>
        <w:tc>
          <w:tcPr>
            <w:tcW w:w="5240" w:type="dxa"/>
            <w:vAlign w:val="bottom"/>
            <w:gridSpan w:val="3"/>
          </w:tcPr>
          <w:p>
            <w:pPr>
              <w:jc w:val="right"/>
              <w:ind w:right="4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37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Explanatory Notes:</w:t>
            </w:r>
          </w:p>
        </w:tc>
        <w:tc>
          <w:tcPr>
            <w:tcW w:w="2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128905</wp:posOffset>
            </wp:positionV>
            <wp:extent cx="15265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88" w:lineRule="exact"/>
        <w:rPr>
          <w:sz w:val="20"/>
          <w:szCs w:val="20"/>
          <w:color w:val="auto"/>
        </w:rPr>
      </w:pPr>
    </w:p>
    <w:p>
      <w:pPr>
        <w:jc w:val="both"/>
        <w:ind w:left="2840" w:hanging="550"/>
        <w:spacing w:after="0" w:line="233" w:lineRule="auto"/>
        <w:tabs>
          <w:tab w:leader="none" w:pos="28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have a net floating rate debt exposure resulting in an increase in net investment income when rates decrease and vice versa. In addition, interest rate floors on certain of our loan assets further increase net investment income as rates decrease and vice versa. As of December 31, 2009, $1.87 billion of our floating rate loans have a weighted average interest rate floor of 3.86%.</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12"/>
            <w:vMerge w:val="restart"/>
          </w:tcPr>
          <w:p>
            <w:pPr>
              <w:spacing w:after="0"/>
              <w:rPr>
                <w:sz w:val="20"/>
                <w:szCs w:val="20"/>
                <w:color w:val="auto"/>
              </w:rPr>
            </w:pPr>
            <w:r>
              <w:rPr>
                <w:rFonts w:ascii="Arial" w:cs="Arial" w:eastAsia="Arial" w:hAnsi="Arial"/>
                <w:sz w:val="18"/>
                <w:szCs w:val="18"/>
                <w:color w:val="auto"/>
              </w:rPr>
              <w:t>Financial Statements: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8"/>
        </w:trPr>
        <w:tc>
          <w:tcPr>
            <w:tcW w:w="8800" w:type="dxa"/>
            <w:vAlign w:val="bottom"/>
            <w:gridSpan w:val="12"/>
            <w:vMerge w:val="continue"/>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140" w:type="dxa"/>
            <w:vAlign w:val="bottom"/>
          </w:tcPr>
          <w:p>
            <w:pPr>
              <w:spacing w:after="0"/>
              <w:rPr>
                <w:sz w:val="24"/>
                <w:szCs w:val="24"/>
                <w:color w:val="auto"/>
              </w:rPr>
            </w:pPr>
          </w:p>
        </w:tc>
        <w:tc>
          <w:tcPr>
            <w:tcW w:w="41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Report of Independent Registered Public Accounting Firm</w:t>
              </w:r>
            </w:hyperlink>
          </w:p>
        </w:tc>
        <w:tc>
          <w:tcPr>
            <w:tcW w:w="454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5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58">
              <w:r>
                <w:rPr>
                  <w:rFonts w:ascii="Arial" w:cs="Arial" w:eastAsia="Arial" w:hAnsi="Arial"/>
                  <w:sz w:val="18"/>
                  <w:szCs w:val="18"/>
                  <w:color w:val="0000EE"/>
                  <w:w w:val="86"/>
                </w:rPr>
                <w:t>Consolidated Balance Sheets as of December 31, 2009 and 2008</w:t>
              </w:r>
            </w:hyperlink>
          </w:p>
        </w:tc>
        <w:tc>
          <w:tcPr>
            <w:tcW w:w="412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1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 for the years ended December 31, 2009, 2008 and 2007</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72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Consolidated Statements of Changes in Equity for the years ended December 31, 2009, 2008 and 2007</w:t>
              </w:r>
            </w:hyperlink>
          </w:p>
        </w:tc>
        <w:tc>
          <w:tcPr>
            <w:tcW w:w="14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1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Cash Flows for the years ended December 31, 2009, 2008 and 2007</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Notes to Consolidated Financial Statements</w:t>
              </w:r>
            </w:hyperlink>
          </w:p>
        </w:tc>
        <w:tc>
          <w:tcPr>
            <w:tcW w:w="3660" w:type="dxa"/>
            <w:vAlign w:val="bottom"/>
            <w:tcBorders>
              <w:top w:val="single" w:sz="8" w:color="0000EE"/>
            </w:tcBorders>
            <w:gridSpan w:val="7"/>
          </w:tcPr>
          <w:p>
            <w:pPr>
              <w:spacing w:after="0"/>
              <w:rPr>
                <w:sz w:val="17"/>
                <w:szCs w:val="17"/>
                <w:color w:val="auto"/>
              </w:rPr>
            </w:pPr>
          </w:p>
        </w:tc>
        <w:tc>
          <w:tcPr>
            <w:tcW w:w="192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44"/>
        </w:trPr>
        <w:tc>
          <w:tcPr>
            <w:tcW w:w="8800" w:type="dxa"/>
            <w:vAlign w:val="bottom"/>
            <w:gridSpan w:val="12"/>
          </w:tcPr>
          <w:p>
            <w:pPr>
              <w:spacing w:after="0"/>
              <w:rPr>
                <w:sz w:val="20"/>
                <w:szCs w:val="20"/>
                <w:color w:val="auto"/>
              </w:rPr>
            </w:pPr>
            <w:r>
              <w:rPr>
                <w:rFonts w:ascii="Arial" w:cs="Arial" w:eastAsia="Arial" w:hAnsi="Arial"/>
                <w:sz w:val="18"/>
                <w:szCs w:val="18"/>
                <w:color w:val="auto"/>
              </w:rPr>
              <w:t>Financial Statement Schedules: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40" w:type="dxa"/>
            <w:vAlign w:val="bottom"/>
            <w:tcBorders>
              <w:bottom w:val="single" w:sz="8" w:color="0000EE"/>
            </w:tcBorders>
            <w:gridSpan w:val="6"/>
          </w:tcPr>
          <w:p>
            <w:pPr>
              <w:spacing w:after="0" w:line="184"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Schedule II—Valuation and Qualifying Accounts and Reserves</w:t>
              </w:r>
            </w:hyperlink>
          </w:p>
        </w:tc>
        <w:tc>
          <w:tcPr>
            <w:tcW w:w="4080" w:type="dxa"/>
            <w:vAlign w:val="bottom"/>
            <w:gridSpan w:val="4"/>
          </w:tcPr>
          <w:p>
            <w:pPr>
              <w:spacing w:after="0"/>
              <w:rPr>
                <w:sz w:val="15"/>
                <w:szCs w:val="15"/>
                <w:color w:val="auto"/>
              </w:rPr>
            </w:pPr>
          </w:p>
        </w:tc>
        <w:tc>
          <w:tcPr>
            <w:tcW w:w="340" w:type="dxa"/>
            <w:vAlign w:val="bottom"/>
          </w:tcPr>
          <w:p>
            <w:pPr>
              <w:jc w:val="right"/>
              <w:spacing w:after="0" w:line="184"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20" w:type="dxa"/>
            <w:vAlign w:val="bottom"/>
            <w:gridSpan w:val="10"/>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Schedule III—Real Estate and Accumulated Depreciation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Schedule IV—Mortgage Loans on Real Estate</w:t>
              </w:r>
            </w:hyperlink>
          </w:p>
        </w:tc>
        <w:tc>
          <w:tcPr>
            <w:tcW w:w="446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248"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Financial statements of 24 unconsolidated entities accounted for under the equity method have been omitted because the Company's proportionate share of the income from continuing operations before income taxes is less than 20% of the respective consolidated amount and the investments in and advances to each company are less than 20% of consolidated total assets.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iStar Financial Inc.:</w:t>
      </w:r>
    </w:p>
    <w:p>
      <w:pPr>
        <w:spacing w:after="0" w:line="225" w:lineRule="exact"/>
        <w:rPr>
          <w:sz w:val="20"/>
          <w:szCs w:val="20"/>
          <w:color w:val="auto"/>
        </w:rPr>
      </w:pPr>
    </w:p>
    <w:p>
      <w:pPr>
        <w:jc w:val="both"/>
        <w:ind w:firstLine="416"/>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iStar Financial Inc. and its subsidiaries (collectively, the "Company") at December 31, 2009 and 2008, and the results of their operations and their cash flows for each of the three years in the period ended December 31, 2009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jc w:val="both"/>
        <w:ind w:firstLine="341"/>
        <w:spacing w:after="0" w:line="268" w:lineRule="auto"/>
        <w:rPr>
          <w:sz w:val="20"/>
          <w:szCs w:val="20"/>
          <w:color w:val="auto"/>
        </w:rPr>
      </w:pPr>
      <w:r>
        <w:rPr>
          <w:rFonts w:ascii="Arial" w:cs="Arial" w:eastAsia="Arial" w:hAnsi="Arial"/>
          <w:sz w:val="18"/>
          <w:szCs w:val="18"/>
          <w:color w:val="auto"/>
        </w:rPr>
        <w:t>As discussed in Note 3 to the Consolidated Financial Statements, the Company changed the manner in which it accounts for convertible debt instruments that may be settled in cash upon conversion.</w:t>
      </w:r>
    </w:p>
    <w:p>
      <w:pPr>
        <w:spacing w:after="0" w:line="186" w:lineRule="exact"/>
        <w:rPr>
          <w:sz w:val="20"/>
          <w:szCs w:val="20"/>
          <w:color w:val="auto"/>
        </w:rPr>
      </w:pPr>
    </w:p>
    <w:p>
      <w:pPr>
        <w:jc w:val="both"/>
        <w:ind w:firstLine="423"/>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Loans and other lending investments, net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7,661,562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10,586,644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Corporate tenant lease assets,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433,130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447,318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Real estate held for investment,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839,141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242,505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224,632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496,537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Accrued interest and operating lease income receivable,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87,151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operating lease income receivable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Deferred expenses and other assets,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109,206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12,810,575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15,296,748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vMerge w:val="restart"/>
          </w:tcPr>
          <w:p>
            <w:pPr>
              <w:ind w:left="218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252,110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354,492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10,894,903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12,486,404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vMerge w:val="restart"/>
          </w:tcPr>
          <w:p>
            <w:pPr>
              <w:ind w:left="1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11,147,013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12,840,896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iStar Financial Inc. shareholders'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w w:val="88"/>
              </w:rPr>
              <w:t>Preferred Stock Series D, E, F, G and I, liquidation preference $25.00 per share (see Note 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High Performance Units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$0.001 par value, 200,000 shares authorized, 137,868 issued and 94,216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outstanding at December 31, 2009 and 137,352 issued and 105,457 outstanding at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3,791,972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3,768,772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(2,051,376)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(1,240,280)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Accumulated other comprehensive income (see Note 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w w:val="91"/>
              </w:rPr>
              <w:t>Treasury stock, at cost, $0.001 par value, 43,652 shares at December 31, 2009 and 31,895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at December 31, 2008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(151,016)</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vMerge w:val="restart"/>
          </w:tcPr>
          <w:p>
            <w:pPr>
              <w:ind w:left="120"/>
              <w:spacing w:after="0"/>
              <w:rPr>
                <w:sz w:val="20"/>
                <w:szCs w:val="20"/>
                <w:color w:val="auto"/>
              </w:rPr>
            </w:pPr>
            <w:r>
              <w:rPr>
                <w:rFonts w:ascii="Arial" w:cs="Arial" w:eastAsia="Arial" w:hAnsi="Arial"/>
                <w:sz w:val="18"/>
                <w:szCs w:val="18"/>
                <w:color w:val="auto"/>
              </w:rPr>
              <w:t>Total iStar Financial Inc. shareholders' equity</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1,605,685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2,418,999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vMerge w:val="restart"/>
          </w:tcPr>
          <w:p>
            <w:pPr>
              <w:ind w:left="12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1,656,118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2,446,662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 and equity</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12,810,575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15,296,748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3"/>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100"/>
              <w:spacing w:after="0" w:line="149" w:lineRule="exact"/>
              <w:rPr>
                <w:sz w:val="20"/>
                <w:szCs w:val="20"/>
                <w:color w:val="auto"/>
              </w:rPr>
            </w:pPr>
            <w:r>
              <w:rPr>
                <w:rFonts w:ascii="Arial" w:cs="Arial" w:eastAsia="Arial" w:hAnsi="Arial"/>
                <w:sz w:val="14"/>
                <w:szCs w:val="14"/>
                <w:color w:val="auto"/>
              </w:rPr>
              <w:t>Interest income</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557,809</w:t>
            </w:r>
          </w:p>
        </w:tc>
        <w:tc>
          <w:tcPr>
            <w:tcW w:w="16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947,661</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998,008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Operating lease income</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305,007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308,742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306,513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30,468</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97,851</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99,938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Total revenue</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893,284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3"/>
              </w:rPr>
              <w:t>1,354,254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1,404,459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481,116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666,706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629,260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100"/>
              <w:spacing w:after="0" w:line="149" w:lineRule="exact"/>
              <w:rPr>
                <w:sz w:val="20"/>
                <w:szCs w:val="20"/>
                <w:color w:val="auto"/>
              </w:rPr>
            </w:pPr>
            <w:r>
              <w:rPr>
                <w:rFonts w:ascii="Arial" w:cs="Arial" w:eastAsia="Arial" w:hAnsi="Arial"/>
                <w:sz w:val="14"/>
                <w:szCs w:val="14"/>
                <w:color w:val="auto"/>
              </w:rPr>
              <w:t>Operating costs—corporate tenant lease assets</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23,467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23,059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27,915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97,869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100"/>
              <w:spacing w:after="0" w:line="149" w:lineRule="exact"/>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127,044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143,902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156,534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loan losses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1,255,357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1,029,322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100"/>
              <w:spacing w:after="0" w:line="149" w:lineRule="exact"/>
              <w:rPr>
                <w:sz w:val="20"/>
                <w:szCs w:val="20"/>
                <w:color w:val="auto"/>
              </w:rPr>
            </w:pPr>
            <w:r>
              <w:rPr>
                <w:rFonts w:ascii="Arial" w:cs="Arial" w:eastAsia="Arial" w:hAnsi="Arial"/>
                <w:sz w:val="14"/>
                <w:szCs w:val="14"/>
                <w:color w:val="auto"/>
              </w:rPr>
              <w:t>Impairment of other assets</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122,699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295,738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144,184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Impairment of goodwill</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39,092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Arial" w:cs="Arial" w:eastAsia="Arial" w:hAnsi="Arial"/>
                <w:sz w:val="14"/>
                <w:szCs w:val="14"/>
                <w:color w:val="auto"/>
              </w:rPr>
              <w:t>Other expense</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104,795</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37,234</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Total costs and expenses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2,216,533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3"/>
              </w:rPr>
              <w:t>2,329,779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1,235,510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earnings from equity method investments and other items</w:t>
            </w: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(1,323,249)</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(975,525)</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168,949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early extinguishment of debt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547,349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393,131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100"/>
              <w:spacing w:after="0" w:line="149" w:lineRule="exact"/>
              <w:rPr>
                <w:sz w:val="20"/>
                <w:szCs w:val="20"/>
                <w:color w:val="auto"/>
              </w:rPr>
            </w:pPr>
            <w:r>
              <w:rPr>
                <w:rFonts w:ascii="Arial" w:cs="Arial" w:eastAsia="Arial" w:hAnsi="Arial"/>
                <w:sz w:val="14"/>
                <w:szCs w:val="14"/>
                <w:color w:val="auto"/>
              </w:rPr>
              <w:t>Gain on sale of joint venture interest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280,219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Earnings from equity method investments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4"/>
                <w:szCs w:val="14"/>
                <w:color w:val="auto"/>
              </w:rPr>
              <w:t>Income (loss) from continuing operations</w:t>
            </w: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(770,602)</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(295,640)</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198,800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(loss) from discontinued operations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(11,671)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29,970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Arial" w:cs="Arial" w:eastAsia="Arial" w:hAnsi="Arial"/>
                <w:sz w:val="14"/>
                <w:szCs w:val="14"/>
                <w:color w:val="auto"/>
              </w:rPr>
              <w:t>Gain from discontinued operations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12,426</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91,458</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(769,847)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(181,767)</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236,602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100"/>
              <w:spacing w:after="0" w:line="149" w:lineRule="exact"/>
              <w:rPr>
                <w:sz w:val="20"/>
                <w:szCs w:val="20"/>
                <w:color w:val="auto"/>
              </w:rPr>
            </w:pPr>
            <w:r>
              <w:rPr>
                <w:rFonts w:ascii="Arial" w:cs="Arial" w:eastAsia="Arial" w:hAnsi="Arial"/>
                <w:sz w:val="14"/>
                <w:szCs w:val="14"/>
                <w:color w:val="auto"/>
              </w:rPr>
              <w:t>Net loss attributable to noncontrolling interests</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1,071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sale of joint venture interest attributable to noncontrolling interests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(18,560)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Arial" w:cs="Arial" w:eastAsia="Arial" w:hAnsi="Arial"/>
                <w:sz w:val="14"/>
                <w:szCs w:val="14"/>
                <w:color w:val="auto"/>
              </w:rPr>
              <w:t>Gain from discontinued operations attributable to noncontrolling interests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(3,689)</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 (loss) attributable to iStar Financial Inc.</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(768,776)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(203,025)</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237,418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Arial" w:cs="Arial" w:eastAsia="Arial" w:hAnsi="Arial"/>
                <w:sz w:val="14"/>
                <w:szCs w:val="14"/>
                <w:color w:val="auto"/>
              </w:rPr>
              <w:t>Preferred dividends</w:t>
            </w: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(42,320)</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(42,320)</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32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w w:val="93"/>
              </w:rPr>
              <w:t>Net income (loss) attributable to iStar Financial Inc. and allocable to common shareholders, HPU holders and</w:t>
            </w: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Participating Security holders(1)(2)(3)</w:t>
            </w: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(811,096)</w:t>
            </w:r>
          </w:p>
        </w:tc>
        <w:tc>
          <w:tcPr>
            <w:tcW w:w="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(245,345)</w:t>
            </w: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195,098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common share data(3):</w:t>
            </w: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(loss) attributable to iStar Financial Inc. from continuing operations: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(7.89)</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(7.89)</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100"/>
              <w:spacing w:after="0" w:line="149" w:lineRule="exact"/>
              <w:rPr>
                <w:sz w:val="20"/>
                <w:szCs w:val="20"/>
                <w:color w:val="auto"/>
              </w:rPr>
            </w:pPr>
            <w:r>
              <w:rPr>
                <w:rFonts w:ascii="Arial" w:cs="Arial" w:eastAsia="Arial" w:hAnsi="Arial"/>
                <w:sz w:val="14"/>
                <w:szCs w:val="14"/>
                <w:color w:val="auto"/>
              </w:rPr>
              <w:t>Net income (loss) attributable to iStar Financial Inc.:</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Basic</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(7.88)</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(7.88)</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Weighted average number of common shares—basic</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100,071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131,153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126,801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100"/>
              <w:spacing w:after="0" w:line="149" w:lineRule="exact"/>
              <w:rPr>
                <w:sz w:val="20"/>
                <w:szCs w:val="20"/>
                <w:color w:val="auto"/>
              </w:rPr>
            </w:pPr>
            <w:r>
              <w:rPr>
                <w:rFonts w:ascii="Arial" w:cs="Arial" w:eastAsia="Arial" w:hAnsi="Arial"/>
                <w:sz w:val="14"/>
                <w:szCs w:val="14"/>
                <w:color w:val="auto"/>
              </w:rPr>
              <w:t>Weighted average number of common shares—diluted</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100,071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131,153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127,542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HPU share data(1)(3):</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100"/>
              <w:spacing w:after="0" w:line="149" w:lineRule="exact"/>
              <w:rPr>
                <w:sz w:val="20"/>
                <w:szCs w:val="20"/>
                <w:color w:val="auto"/>
              </w:rPr>
            </w:pPr>
            <w:r>
              <w:rPr>
                <w:rFonts w:ascii="Arial" w:cs="Arial" w:eastAsia="Arial" w:hAnsi="Arial"/>
                <w:sz w:val="14"/>
                <w:szCs w:val="14"/>
                <w:color w:val="auto"/>
              </w:rPr>
              <w:t>Income (loss) attributable to iStar Financial Inc. from continuing operations: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Basic</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(1,503.13)</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(505.47)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224.40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(1,503.13)</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(505.47)</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223.27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 (loss) attributable to iStar Financial Inc.:</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(1,501.73)</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(349.87)</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279.53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(1,501.73)</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(349.87)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Arial" w:cs="Arial" w:eastAsia="Arial" w:hAnsi="Arial"/>
                <w:sz w:val="14"/>
                <w:szCs w:val="14"/>
                <w:color w:val="auto"/>
              </w:rPr>
              <w:t>Weighted average number of HPU shares—basic and diluted</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line="239" w:lineRule="auto"/>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HPU holders are current and former Company employees who purchased high performance common stock units under the Company's High Performance Unit Program (see Note 11).</w:t>
      </w:r>
    </w:p>
    <w:p>
      <w:pPr>
        <w:spacing w:after="0" w:line="111"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Participating Security holders are Company employees and directors who hold unvested restricted stock units and common stock equivalents granted under the Company's Long Term Incentive Plans (see Notes 13 and 14).</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See Note 14 for amounts attributable to iStar Financial Inc. for income (loss) from continuing operations and further details on the calculation of earnings per share.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jc w:val="center"/>
        <w:ind w:right="12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iStar Financial Inc. Shareholders' Equity</w:t>
            </w: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7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Retained</w:t>
            </w:r>
          </w:p>
        </w:tc>
        <w:tc>
          <w:tcPr>
            <w:tcW w:w="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Treasury</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Stock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Earnings</w:t>
            </w: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Stock at</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Stock(1)</w:t>
            </w:r>
          </w:p>
        </w:tc>
        <w:tc>
          <w:tcPr>
            <w:tcW w:w="160" w:type="dxa"/>
            <w:vAlign w:val="bottom"/>
          </w:tcPr>
          <w:p>
            <w:pPr>
              <w:spacing w:after="0"/>
              <w:rPr>
                <w:sz w:val="14"/>
                <w:szCs w:val="14"/>
                <w:color w:val="auto"/>
              </w:rPr>
            </w:pPr>
          </w:p>
        </w:tc>
        <w:tc>
          <w:tcPr>
            <w:tcW w:w="5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HPU's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Par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6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Equity</w:t>
            </w: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2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December 31,</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2006</w:t>
            </w:r>
          </w:p>
        </w:tc>
        <w:tc>
          <w:tcPr>
            <w:tcW w:w="2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9,800</w:t>
            </w:r>
          </w:p>
        </w:tc>
        <w:tc>
          <w:tcPr>
            <w:tcW w:w="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127</w:t>
            </w:r>
          </w:p>
        </w:tc>
        <w:tc>
          <w:tcPr>
            <w:tcW w:w="2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3,465,925</w:t>
            </w:r>
          </w:p>
        </w:tc>
        <w:tc>
          <w:tcPr>
            <w:tcW w:w="2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(479,695)</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16,956</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(26,272)</w:t>
            </w:r>
          </w:p>
        </w:tc>
        <w:tc>
          <w:tcPr>
            <w:tcW w:w="1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29,509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3,016,372</w:t>
            </w:r>
          </w:p>
        </w:tc>
        <w:tc>
          <w:tcPr>
            <w:tcW w:w="1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2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2,888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2,888</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proceeds from</w:t>
            </w: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equity offering</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217,926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217,934</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w w:val="99"/>
              </w:rPr>
              <w:t>Dividends declared—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140"/>
              <w:spacing w:after="0" w:line="159" w:lineRule="exact"/>
              <w:rPr>
                <w:sz w:val="20"/>
                <w:szCs w:val="20"/>
                <w:color w:val="auto"/>
              </w:rPr>
            </w:pPr>
            <w:r>
              <w:rPr>
                <w:rFonts w:ascii="Arial" w:cs="Arial" w:eastAsia="Arial" w:hAnsi="Arial"/>
                <w:sz w:val="14"/>
                <w:szCs w:val="14"/>
                <w:color w:val="auto"/>
              </w:rPr>
              <w:t>preferred</w:t>
            </w:r>
          </w:p>
        </w:tc>
        <w:tc>
          <w:tcPr>
            <w:tcW w:w="28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(42,320)</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(42,320)</w:t>
            </w: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Dividends declared—</w:t>
            </w: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common</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(459,253)</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(459,253)</w:t>
            </w: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w w:val="99"/>
              </w:rPr>
              <w:t>Dividends declared—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140"/>
              <w:spacing w:after="0" w:line="159" w:lineRule="exact"/>
              <w:rPr>
                <w:sz w:val="20"/>
                <w:szCs w:val="20"/>
                <w:color w:val="auto"/>
              </w:rPr>
            </w:pPr>
            <w:r>
              <w:rPr>
                <w:rFonts w:ascii="Arial" w:cs="Arial" w:eastAsia="Arial" w:hAnsi="Arial"/>
                <w:sz w:val="14"/>
                <w:szCs w:val="14"/>
                <w:color w:val="auto"/>
              </w:rPr>
              <w:t>HPU</w:t>
            </w:r>
          </w:p>
        </w:tc>
        <w:tc>
          <w:tcPr>
            <w:tcW w:w="28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(10,130)</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(10,130)</w:t>
            </w: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stock</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(30,947)</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(30,947)</w:t>
            </w: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Restricted stock unit</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amortization, net</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140"/>
              <w:spacing w:after="0" w:line="159" w:lineRule="exact"/>
              <w:rPr>
                <w:sz w:val="20"/>
                <w:szCs w:val="20"/>
                <w:color w:val="auto"/>
              </w:rPr>
            </w:pPr>
            <w:r>
              <w:rPr>
                <w:rFonts w:ascii="Arial" w:cs="Arial" w:eastAsia="Arial" w:hAnsi="Arial"/>
                <w:sz w:val="14"/>
                <w:szCs w:val="14"/>
                <w:color w:val="auto"/>
              </w:rPr>
              <w:t>of shares withheld</w:t>
            </w:r>
          </w:p>
        </w:tc>
        <w:tc>
          <w:tcPr>
            <w:tcW w:w="28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11,116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11,116</w:t>
            </w:r>
          </w:p>
        </w:tc>
        <w:tc>
          <w:tcPr>
            <w:tcW w:w="1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stock—</w:t>
            </w: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DRIP/stock</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purchase plan</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2,518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2,518</w:t>
            </w:r>
          </w:p>
        </w:tc>
        <w:tc>
          <w:tcPr>
            <w:tcW w:w="1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w w:val="98"/>
              </w:rPr>
              <w:t>Redemption of HPU's</w:t>
            </w:r>
          </w:p>
        </w:tc>
        <w:tc>
          <w:tcPr>
            <w:tcW w:w="2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1,105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1,105</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income for the</w:t>
            </w: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period(2)</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237,418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(948)</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236,470</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Contributions from</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noncontrolling</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140"/>
              <w:spacing w:after="0" w:line="159" w:lineRule="exact"/>
              <w:rPr>
                <w:sz w:val="20"/>
                <w:szCs w:val="20"/>
                <w:color w:val="auto"/>
              </w:rPr>
            </w:pPr>
            <w:r>
              <w:rPr>
                <w:rFonts w:ascii="Arial" w:cs="Arial" w:eastAsia="Arial" w:hAnsi="Arial"/>
                <w:sz w:val="14"/>
                <w:szCs w:val="14"/>
                <w:color w:val="auto"/>
              </w:rPr>
              <w:t>interests</w:t>
            </w:r>
          </w:p>
        </w:tc>
        <w:tc>
          <w:tcPr>
            <w:tcW w:w="28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17,688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17,688</w:t>
            </w:r>
          </w:p>
        </w:tc>
        <w:tc>
          <w:tcPr>
            <w:tcW w:w="1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w:t>
            </w: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noncontrolling</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interests</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(3,704)</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(3,704)</w:t>
            </w: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Sale/purchase 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certain</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noncontrolling</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140"/>
              <w:spacing w:after="0" w:line="159" w:lineRule="exact"/>
              <w:rPr>
                <w:sz w:val="20"/>
                <w:szCs w:val="20"/>
                <w:color w:val="auto"/>
              </w:rPr>
            </w:pPr>
            <w:r>
              <w:rPr>
                <w:rFonts w:ascii="Arial" w:cs="Arial" w:eastAsia="Arial" w:hAnsi="Arial"/>
                <w:sz w:val="14"/>
                <w:szCs w:val="14"/>
                <w:color w:val="auto"/>
              </w:rPr>
              <w:t>interests</w:t>
            </w:r>
          </w:p>
        </w:tc>
        <w:tc>
          <w:tcPr>
            <w:tcW w:w="28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(6,370)</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(6,370)</w:t>
            </w: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Adoption of ASC</w:t>
            </w: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470-20-65-1 (see</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Notes 3 and 9)</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38,054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38,054</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Change in</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accumulated other</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comprehensive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1340" w:type="dxa"/>
            <w:vAlign w:val="bottom"/>
          </w:tcPr>
          <w:p>
            <w:pPr>
              <w:ind w:left="140"/>
              <w:spacing w:after="0"/>
              <w:rPr>
                <w:sz w:val="20"/>
                <w:szCs w:val="20"/>
                <w:color w:val="auto"/>
              </w:rPr>
            </w:pPr>
            <w:r>
              <w:rPr>
                <w:rFonts w:ascii="Arial" w:cs="Arial" w:eastAsia="Arial" w:hAnsi="Arial"/>
                <w:sz w:val="14"/>
                <w:szCs w:val="14"/>
                <w:color w:val="auto"/>
              </w:rPr>
              <w:t>income (loss)</w:t>
            </w:r>
          </w:p>
        </w:tc>
        <w:tc>
          <w:tcPr>
            <w:tcW w:w="2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(19,251)</w:t>
            </w:r>
          </w:p>
        </w:tc>
        <w:tc>
          <w:tcPr>
            <w:tcW w:w="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(19,251)</w:t>
            </w: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w:t>
            </w:r>
          </w:p>
        </w:tc>
        <w:tc>
          <w:tcPr>
            <w:tcW w:w="2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December 31,</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2007</w:t>
            </w:r>
          </w:p>
        </w:tc>
        <w:tc>
          <w:tcPr>
            <w:tcW w:w="2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9,800</w:t>
            </w:r>
          </w:p>
        </w:tc>
        <w:tc>
          <w:tcPr>
            <w:tcW w:w="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w:t>
            </w:r>
          </w:p>
        </w:tc>
        <w:tc>
          <w:tcPr>
            <w:tcW w:w="2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3,739,532</w:t>
            </w:r>
          </w:p>
        </w:tc>
        <w:tc>
          <w:tcPr>
            <w:tcW w:w="2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(753,980)</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(2,295)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(57,219)</w:t>
            </w:r>
          </w:p>
        </w:tc>
        <w:tc>
          <w:tcPr>
            <w:tcW w:w="1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36,175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2,972,170</w:t>
            </w:r>
          </w:p>
        </w:tc>
        <w:tc>
          <w:tcPr>
            <w:tcW w:w="1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125" w:right="1259" w:bottom="1440" w:gutter="0" w:footer="0" w:header="0"/>
        </w:sectPr>
      </w:pPr>
    </w:p>
    <w:bookmarkStart w:id="60" w:name="page61"/>
    <w:bookmarkEnd w:id="60"/>
    <w:p>
      <w:pPr>
        <w:jc w:val="center"/>
        <w:ind w:right="-55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ind w:left="180"/>
              <w:spacing w:after="0"/>
              <w:rPr>
                <w:sz w:val="20"/>
                <w:szCs w:val="20"/>
                <w:color w:val="auto"/>
              </w:rPr>
            </w:pPr>
            <w:r>
              <w:rPr>
                <w:rFonts w:ascii="Arial" w:cs="Arial" w:eastAsia="Arial" w:hAnsi="Arial"/>
                <w:sz w:val="14"/>
                <w:szCs w:val="14"/>
                <w:b w:val="1"/>
                <w:bCs w:val="1"/>
                <w:color w:val="auto"/>
                <w:w w:val="89"/>
              </w:rPr>
              <w:t>iStar Financial Inc. Shareholders' Equity</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Treasury</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Preferred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Stock at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Earnings</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Stock at</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Stock(1)</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HPU's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ind w:right="72"/>
              <w:spacing w:after="0"/>
              <w:rPr>
                <w:sz w:val="20"/>
                <w:szCs w:val="20"/>
                <w:color w:val="auto"/>
              </w:rPr>
            </w:pPr>
            <w:r>
              <w:rPr>
                <w:rFonts w:ascii="Arial" w:cs="Arial" w:eastAsia="Arial" w:hAnsi="Arial"/>
                <w:sz w:val="14"/>
                <w:szCs w:val="14"/>
                <w:b w:val="1"/>
                <w:bCs w:val="1"/>
                <w:color w:val="auto"/>
                <w:w w:val="97"/>
              </w:rPr>
              <w:t>Par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(Deficit)</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6"/>
              </w:rPr>
              <w:t>cost</w:t>
            </w: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2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December 31,</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2007</w:t>
            </w:r>
          </w:p>
        </w:tc>
        <w:tc>
          <w:tcPr>
            <w:tcW w:w="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3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9,800</w:t>
            </w:r>
          </w:p>
        </w:tc>
        <w:tc>
          <w:tcPr>
            <w:tcW w:w="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w:t>
            </w:r>
          </w:p>
        </w:tc>
        <w:tc>
          <w:tcPr>
            <w:tcW w:w="2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3,739,532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(753,980)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(2,295)</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(57,219)</w:t>
            </w:r>
          </w:p>
        </w:tc>
        <w:tc>
          <w:tcPr>
            <w:tcW w:w="1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36,175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2,972,170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Exercise of</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40"/>
              <w:spacing w:after="0" w:line="159" w:lineRule="exact"/>
              <w:rPr>
                <w:sz w:val="20"/>
                <w:szCs w:val="20"/>
                <w:color w:val="auto"/>
              </w:rPr>
            </w:pPr>
            <w:r>
              <w:rPr>
                <w:rFonts w:ascii="Arial" w:cs="Arial" w:eastAsia="Arial" w:hAnsi="Arial"/>
                <w:sz w:val="14"/>
                <w:szCs w:val="14"/>
                <w:color w:val="auto"/>
              </w:rPr>
              <w:t>options</w:t>
            </w:r>
          </w:p>
        </w:tc>
        <w:tc>
          <w:tcPr>
            <w:tcW w:w="2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5,868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5,868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Dividends</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declared—</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preferred</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(42,320)</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Dividends</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declared—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40"/>
              <w:spacing w:after="0" w:line="159" w:lineRule="exact"/>
              <w:rPr>
                <w:sz w:val="20"/>
                <w:szCs w:val="20"/>
                <w:color w:val="auto"/>
              </w:rPr>
            </w:pPr>
            <w:r>
              <w:rPr>
                <w:rFonts w:ascii="Arial" w:cs="Arial" w:eastAsia="Arial" w:hAnsi="Arial"/>
                <w:sz w:val="14"/>
                <w:szCs w:val="14"/>
                <w:color w:val="auto"/>
              </w:rPr>
              <w:t>common</w:t>
            </w:r>
          </w:p>
        </w:tc>
        <w:tc>
          <w:tcPr>
            <w:tcW w:w="2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(236,052)</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(236,052)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Dividends</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declared—HPU</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(4,903)</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(4,903)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Repurchase of</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40"/>
              <w:spacing w:after="0" w:line="159" w:lineRule="exact"/>
              <w:rPr>
                <w:sz w:val="20"/>
                <w:szCs w:val="20"/>
                <w:color w:val="auto"/>
              </w:rPr>
            </w:pPr>
            <w:r>
              <w:rPr>
                <w:rFonts w:ascii="Arial" w:cs="Arial" w:eastAsia="Arial" w:hAnsi="Arial"/>
                <w:sz w:val="14"/>
                <w:szCs w:val="14"/>
                <w:color w:val="auto"/>
              </w:rPr>
              <w:t>stock</w:t>
            </w:r>
          </w:p>
        </w:tc>
        <w:tc>
          <w:tcPr>
            <w:tcW w:w="2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(63,940)</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(63,940)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Restricted stock</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unit</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amortization,</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of shares</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withheld</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20,746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20,747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Issuance of stock</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—DRIP/stock</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40"/>
              <w:spacing w:after="0" w:line="159" w:lineRule="exact"/>
              <w:rPr>
                <w:sz w:val="20"/>
                <w:szCs w:val="20"/>
                <w:color w:val="auto"/>
              </w:rPr>
            </w:pPr>
            <w:r>
              <w:rPr>
                <w:rFonts w:ascii="Arial" w:cs="Arial" w:eastAsia="Arial" w:hAnsi="Arial"/>
                <w:sz w:val="14"/>
                <w:szCs w:val="14"/>
                <w:color w:val="auto"/>
              </w:rPr>
              <w:t>purchase plan</w:t>
            </w:r>
          </w:p>
        </w:tc>
        <w:tc>
          <w:tcPr>
            <w:tcW w:w="2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1,887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1,888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Redemption of</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HPU's</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Net loss for the</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40"/>
              <w:spacing w:after="0" w:line="159" w:lineRule="exact"/>
              <w:rPr>
                <w:sz w:val="20"/>
                <w:szCs w:val="20"/>
                <w:color w:val="auto"/>
              </w:rPr>
            </w:pPr>
            <w:r>
              <w:rPr>
                <w:rFonts w:ascii="Arial" w:cs="Arial" w:eastAsia="Arial" w:hAnsi="Arial"/>
                <w:sz w:val="14"/>
                <w:szCs w:val="14"/>
                <w:color w:val="auto"/>
              </w:rPr>
              <w:t>period(2)</w:t>
            </w:r>
          </w:p>
        </w:tc>
        <w:tc>
          <w:tcPr>
            <w:tcW w:w="2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(203,025)</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(1,707)</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(204,732)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Convertible Note</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repurchase</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Gain attributable</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to</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noncontrolling</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40"/>
              <w:spacing w:after="0" w:line="159" w:lineRule="exact"/>
              <w:rPr>
                <w:sz w:val="20"/>
                <w:szCs w:val="20"/>
                <w:color w:val="auto"/>
              </w:rPr>
            </w:pPr>
            <w:r>
              <w:rPr>
                <w:rFonts w:ascii="Arial" w:cs="Arial" w:eastAsia="Arial" w:hAnsi="Arial"/>
                <w:sz w:val="14"/>
                <w:szCs w:val="14"/>
                <w:color w:val="auto"/>
              </w:rPr>
              <w:t>interests</w:t>
            </w:r>
          </w:p>
        </w:tc>
        <w:tc>
          <w:tcPr>
            <w:tcW w:w="2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22,249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22,249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Contributions</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from</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noncontrolling</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interests</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Distributions to</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noncontrolling</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40"/>
              <w:spacing w:after="0" w:line="159" w:lineRule="exact"/>
              <w:rPr>
                <w:sz w:val="20"/>
                <w:szCs w:val="20"/>
                <w:color w:val="auto"/>
              </w:rPr>
            </w:pPr>
            <w:r>
              <w:rPr>
                <w:rFonts w:ascii="Arial" w:cs="Arial" w:eastAsia="Arial" w:hAnsi="Arial"/>
                <w:sz w:val="14"/>
                <w:szCs w:val="14"/>
                <w:color w:val="auto"/>
              </w:rPr>
              <w:t>interests</w:t>
            </w:r>
          </w:p>
        </w:tc>
        <w:tc>
          <w:tcPr>
            <w:tcW w:w="2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(25,048)</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(25,048)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Sale/purchase of</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certain</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noncontrolling</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interests</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(4,177)</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(4,177)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Change in</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other</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comprehensive</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Arial" w:cs="Arial" w:eastAsia="Arial" w:hAnsi="Arial"/>
                <w:sz w:val="14"/>
                <w:szCs w:val="14"/>
                <w:color w:val="auto"/>
              </w:rPr>
              <w:t>income (loss)</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w:t>
            </w:r>
          </w:p>
        </w:tc>
        <w:tc>
          <w:tcPr>
            <w:tcW w:w="2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December 31,</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2008</w:t>
            </w:r>
          </w:p>
        </w:tc>
        <w:tc>
          <w:tcPr>
            <w:tcW w:w="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3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9,800</w:t>
            </w:r>
          </w:p>
        </w:tc>
        <w:tc>
          <w:tcPr>
            <w:tcW w:w="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w:t>
            </w:r>
          </w:p>
        </w:tc>
        <w:tc>
          <w:tcPr>
            <w:tcW w:w="2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3,768,772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(1,240,280)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(121,159)</w:t>
            </w:r>
          </w:p>
        </w:tc>
        <w:tc>
          <w:tcPr>
            <w:tcW w:w="1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27,663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2,446,662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0" w:type="dxa"/>
            <w:vAlign w:val="bottom"/>
            <w:gridSpan w:val="2"/>
            <w:vMerge w:val="restart"/>
          </w:tcPr>
          <w:p>
            <w:pPr>
              <w:spacing w:after="0"/>
              <w:rPr>
                <w:sz w:val="20"/>
                <w:szCs w:val="20"/>
                <w:color w:val="auto"/>
              </w:rPr>
            </w:pPr>
            <w:r>
              <w:rPr>
                <w:rFonts w:ascii="Arial" w:cs="Arial" w:eastAsia="Arial" w:hAnsi="Arial"/>
                <w:sz w:val="14"/>
                <w:szCs w:val="14"/>
                <w:color w:val="auto"/>
              </w:rPr>
              <w:t>Dividends</w:t>
            </w: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declared—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40"/>
              <w:spacing w:after="0" w:line="159" w:lineRule="exact"/>
              <w:rPr>
                <w:sz w:val="20"/>
                <w:szCs w:val="20"/>
                <w:color w:val="auto"/>
              </w:rPr>
            </w:pPr>
            <w:r>
              <w:rPr>
                <w:rFonts w:ascii="Arial" w:cs="Arial" w:eastAsia="Arial" w:hAnsi="Arial"/>
                <w:sz w:val="14"/>
                <w:szCs w:val="14"/>
                <w:color w:val="auto"/>
              </w:rPr>
              <w:t>preferred</w:t>
            </w:r>
          </w:p>
        </w:tc>
        <w:tc>
          <w:tcPr>
            <w:tcW w:w="2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(42,320)</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Repurchase of</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stock</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(29,857)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(29,857)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Restricted stock</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unit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net of shares</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40"/>
              <w:spacing w:after="0" w:line="159" w:lineRule="exact"/>
              <w:rPr>
                <w:sz w:val="20"/>
                <w:szCs w:val="20"/>
                <w:color w:val="auto"/>
              </w:rPr>
            </w:pPr>
            <w:r>
              <w:rPr>
                <w:rFonts w:ascii="Arial" w:cs="Arial" w:eastAsia="Arial" w:hAnsi="Arial"/>
                <w:sz w:val="14"/>
                <w:szCs w:val="14"/>
                <w:color w:val="auto"/>
              </w:rPr>
              <w:t>withheld</w:t>
            </w:r>
          </w:p>
        </w:tc>
        <w:tc>
          <w:tcPr>
            <w:tcW w:w="2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23,200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23,201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for the</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period(2)</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(768,776)</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(769,841)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Contributions</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from</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noncontrolling</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40"/>
              <w:spacing w:after="0" w:line="159" w:lineRule="exact"/>
              <w:rPr>
                <w:sz w:val="20"/>
                <w:szCs w:val="20"/>
                <w:color w:val="auto"/>
              </w:rPr>
            </w:pPr>
            <w:r>
              <w:rPr>
                <w:rFonts w:ascii="Arial" w:cs="Arial" w:eastAsia="Arial" w:hAnsi="Arial"/>
                <w:sz w:val="14"/>
                <w:szCs w:val="14"/>
                <w:color w:val="auto"/>
              </w:rPr>
              <w:t>interests</w:t>
            </w:r>
          </w:p>
        </w:tc>
        <w:tc>
          <w:tcPr>
            <w:tcW w:w="2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26,487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26,487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noncontrolling</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interests</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(2,652)</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(2,652)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Change in</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other</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comprehensive</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Arial" w:cs="Arial" w:eastAsia="Arial" w:hAnsi="Arial"/>
                <w:sz w:val="14"/>
                <w:szCs w:val="14"/>
                <w:color w:val="auto"/>
              </w:rPr>
              <w:t>income (loss)</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4,438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4,438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w:t>
            </w:r>
          </w:p>
        </w:tc>
        <w:tc>
          <w:tcPr>
            <w:tcW w:w="2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December 31,</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2009</w:t>
            </w:r>
          </w:p>
        </w:tc>
        <w:tc>
          <w:tcPr>
            <w:tcW w:w="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3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9,800</w:t>
            </w:r>
          </w:p>
        </w:tc>
        <w:tc>
          <w:tcPr>
            <w:tcW w:w="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w:t>
            </w:r>
          </w:p>
        </w:tc>
        <w:tc>
          <w:tcPr>
            <w:tcW w:w="2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3,791,972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(2,051,376)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6,145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(151,016)</w:t>
            </w:r>
          </w:p>
        </w:tc>
        <w:tc>
          <w:tcPr>
            <w:tcW w:w="1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50,433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1,656,118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976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 Note 11 for details on the Company's Cumulative Redeemable Preferred Stock.</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For the years ended December 31, 2009, 2008 and 2007, net income (loss) for the period included $(6), $716 and $132 of net income (loss) attributable to redeemable noncontrolling interests.</w:t>
      </w:r>
    </w:p>
    <w:p>
      <w:pPr>
        <w:spacing w:after="0" w:line="22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0880"/>
          </w:cols>
          <w:pgMar w:left="240" w:top="125" w:right="779" w:bottom="0" w:gutter="0" w:footer="0" w:header="0"/>
        </w:sectPr>
      </w:pP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880"/>
          </w:cols>
          <w:pgMar w:left="240" w:top="125" w:right="779" w:bottom="0" w:gutter="0" w:footer="0" w:header="0"/>
          <w:type w:val="continuous"/>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4"/>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(769,847)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(181,767)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236,602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cash flows from operating activities: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Provision for loan losses</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1,255,357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1,029,322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185,000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Non-cash expense for stock-based compensation</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Impairment of goodwill</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4,186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39,092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Impairment of other assets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136,832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295,738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144,184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Depreciation, depletion and amortization</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99,287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104,453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100,123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Amortization of discounts/premiums and deferred financing costs on debt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(12,025)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44,326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Amortization of discounts/premiums, deferred interest and costs on lending investments</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(117,527)</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(196,519)</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(234,944)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Discounts, loan fees and deferred interest received</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66,991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Earnings from equity method investments</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(5,298)</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(6,535)</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Distributions from operations of equity method investments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27,973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48,197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41,796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Deferred operating lease income receivable</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(13,926)</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(20,043)</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Gain from discontinued operations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(91,458)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Gain on early extinguishment of debt</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(547,349)</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(393,131)</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Gain on sale of joint venture interest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(280,219)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Provision for deferred taxes</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3,772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6,040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non-cash adjustments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(4,928)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(7,385)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Changes in accrued interest and operating lease income receivable, net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36,528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80"/>
              <w:spacing w:after="0" w:line="149" w:lineRule="exact"/>
              <w:rPr>
                <w:sz w:val="20"/>
                <w:szCs w:val="20"/>
                <w:color w:val="auto"/>
              </w:rPr>
            </w:pPr>
            <w:r>
              <w:rPr>
                <w:rFonts w:ascii="Arial" w:cs="Arial" w:eastAsia="Arial" w:hAnsi="Arial"/>
                <w:sz w:val="14"/>
                <w:szCs w:val="14"/>
                <w:color w:val="auto"/>
              </w:rPr>
              <w:t>Changes in deferred expenses and other assets, net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6,140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(18,599)</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Changes in accounts payable, accrued expenses and other liabilities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(41,225)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(41,993)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67,758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vMerge w:val="restart"/>
          </w:tcPr>
          <w:p>
            <w:pPr>
              <w:ind w:left="18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6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76,276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418,529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561,337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New investment originations</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(32,044)</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(2,900,301)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Add-on fundings under existing loan commitments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(1,224,593)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(3,276,502)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(2,955,395)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Purchase of securities</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(31,535)</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Repayments of and principal collections on loans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951,202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1,822,587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2,660,080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Cash paid for acquisitions</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(1,891,571)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proceeds from sales of loans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720,770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394,293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Net proceeds from sales of discontinued operations</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64,566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576,857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70,227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proceeds from sales of other real estate owned</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270,621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169,600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Net proceeds from sale of joint venture interest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416,970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proceeds from repayments and sales of securities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27,060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51,407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311,432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Contributions to unconsolidated entities</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(34,272)</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(50,636)</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Distributions from unconsolidated entities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27,292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167,975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Capital improvements for build-to-suit facilities</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(7,152)</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(79,090)</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expenditures and improvements on corporate tenant lease assets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(7,739)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(23,802)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Capital expenditures and improvements on real estate held for investment</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(5,860)</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investing activities,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(6,306)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(24,846)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vMerge w:val="restart"/>
          </w:tcPr>
          <w:p>
            <w:pPr>
              <w:ind w:left="18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6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726,221</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(27,943)</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(4,745,080)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134,741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11,451,167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28,255,242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(371,798)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(10,464,322)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(26,548,594)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Borrowings under interim financing</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1,900,000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Repayments under interim financing</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(1,289,811)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(610,189)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Borrowings under secured term loans</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1,000,000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1,307,776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18,522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Repayments under secured term loans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(318,431)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(109,262)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Borrowings under unsecured notes</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740,506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1,818,184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Repayments under unsecured notes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(628,366)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(620,331)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Repurchases of unsecured notes</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(885,055)</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(501,518)</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Contributions from/(distributions to) noncontrolling interests,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(2,630)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(31,029)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Changes in restricted cash held in connection with debt obligations</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121,116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(118,762)</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Payments for deferred financing costs/proceeds from hedge settlements,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(51,801)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Common dividends paid</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(269,827)</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(425,479)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Preferred dividends paid</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(42,320)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(42,320)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80"/>
              <w:spacing w:after="0" w:line="149" w:lineRule="exact"/>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(29,858)</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(63,940)</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proceeds from equity offering</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218,189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ind w:left="80"/>
              <w:spacing w:after="0"/>
              <w:rPr>
                <w:sz w:val="20"/>
                <w:szCs w:val="20"/>
                <w:color w:val="auto"/>
              </w:rPr>
            </w:pPr>
            <w:r>
              <w:rPr>
                <w:rFonts w:ascii="Arial" w:cs="Arial" w:eastAsia="Arial" w:hAnsi="Arial"/>
                <w:sz w:val="14"/>
                <w:szCs w:val="14"/>
                <w:color w:val="auto"/>
              </w:rPr>
              <w:t>Other financing activities, net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1,896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360" w:type="dxa"/>
            <w:vAlign w:val="bottom"/>
            <w:shd w:val="clear" w:color="auto" w:fill="CCEEFF"/>
          </w:tcPr>
          <w:p>
            <w:pPr>
              <w:ind w:left="180"/>
              <w:spacing w:after="0" w:line="144" w:lineRule="exact"/>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89"/>
              </w:rPr>
              <w:t>(1,074,402)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1,444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4,182,299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vMerge w:val="restart"/>
          </w:tcPr>
          <w:p>
            <w:pPr>
              <w:ind w:left="80"/>
              <w:spacing w:after="0"/>
              <w:rPr>
                <w:sz w:val="20"/>
                <w:szCs w:val="20"/>
                <w:color w:val="auto"/>
              </w:rPr>
            </w:pPr>
            <w:r>
              <w:rPr>
                <w:rFonts w:ascii="Arial" w:cs="Arial" w:eastAsia="Arial" w:hAnsi="Arial"/>
                <w:sz w:val="14"/>
                <w:szCs w:val="14"/>
                <w:color w:val="auto"/>
              </w:rPr>
              <w:t>Changes in cash and cash equivalents</w:t>
            </w: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(271,905)</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392,030</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496,537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104,507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vMerge w:val="restart"/>
          </w:tcPr>
          <w:p>
            <w:pPr>
              <w:ind w:left="8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224,632</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496,537</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3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Supplemental disclosure of cash flow information:</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ind w:left="80"/>
              <w:spacing w:after="0"/>
              <w:rPr>
                <w:sz w:val="20"/>
                <w:szCs w:val="20"/>
                <w:color w:val="auto"/>
              </w:rPr>
            </w:pPr>
            <w:r>
              <w:rPr>
                <w:rFonts w:ascii="Arial" w:cs="Arial" w:eastAsia="Arial" w:hAnsi="Arial"/>
                <w:sz w:val="14"/>
                <w:szCs w:val="14"/>
                <w:color w:val="auto"/>
              </w:rPr>
              <w:t>Cash paid during the period for interest, net of amount capitalized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531,858</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645,413</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585,233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—iStar Financial Inc., or the "Company," is a publicly-traded finance company focused on the commercial real estate industry.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provides custom-tailored financing to high-end private and corporate owners of real estate, including senior and mezzanine real estate debt, senior and mezzanine corporate capital, as well as corporate net lease financing and equity. The Company, which is taxed as a real estate investment trust, or "REIT," provides innovative and value-added financing solutions to its customers. The Company delivers customized financing products to sophisticated real estate borrowers and corporate customers who require a high level of flexibility and service. The Company's two primary lines of business are lending and corporate tenant leasing.</w:t>
      </w:r>
    </w:p>
    <w:p>
      <w:pPr>
        <w:spacing w:after="0" w:line="193" w:lineRule="exact"/>
        <w:rPr>
          <w:sz w:val="20"/>
          <w:szCs w:val="20"/>
          <w:color w:val="auto"/>
        </w:rPr>
      </w:pPr>
    </w:p>
    <w:p>
      <w:pPr>
        <w:jc w:val="both"/>
        <w:ind w:firstLine="527"/>
        <w:spacing w:after="0" w:line="296" w:lineRule="auto"/>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private investment funds and became publicly traded in 1998. Since that time,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has grown through the origination of new lending and leasing transactions, as well as through corporate acquisitions, including the acquisition of TriNet Corporate Realty Trust, Inc. in 1999, the acquisitions of Falcon Financial Investment Trust and of a significant non-controlling interest in Oak Hill Advisors, L.P. and affiliates in 2005, and the acquisition of the commercial real estate lending business and loan portfolio which we refer to as the "Fremont CRE," of Fremont Investment and Loan, or "Fremont," a division of Fremont General Corporation, in 2007.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225" w:lineRule="exact"/>
        <w:rPr>
          <w:sz w:val="20"/>
          <w:szCs w:val="20"/>
          <w:color w:val="auto"/>
        </w:rPr>
      </w:pPr>
    </w:p>
    <w:p>
      <w:pPr>
        <w:jc w:val="both"/>
        <w:ind w:firstLine="632"/>
        <w:spacing w:after="0" w:line="256"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audited Consolidated Financial Statements have been prepared in conformity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in the United States of America ("GAAP") for complete financial statements. The preparation of financial statements in conformity with GAAP requires management to make estimates and assumptions that affect the reported amounts of assets, liabilities, disclosure of contingent assets and liabilities at the dates of the financial statements and the reported amounts of revenues and expenses during the reporting periods. Actual results could differ from those estimates.</w:t>
      </w:r>
    </w:p>
    <w:p>
      <w:pPr>
        <w:spacing w:after="0" w:line="199" w:lineRule="exact"/>
        <w:rPr>
          <w:sz w:val="20"/>
          <w:szCs w:val="20"/>
          <w:color w:val="auto"/>
        </w:rPr>
      </w:pPr>
    </w:p>
    <w:p>
      <w:pPr>
        <w:jc w:val="both"/>
        <w:ind w:firstLine="590"/>
        <w:spacing w:after="0" w:line="259" w:lineRule="auto"/>
        <w:rPr>
          <w:sz w:val="20"/>
          <w:szCs w:val="20"/>
          <w:color w:val="auto"/>
        </w:rPr>
      </w:pPr>
      <w:r>
        <w:rPr>
          <w:rFonts w:ascii="Arial" w:cs="Arial" w:eastAsia="Arial" w:hAnsi="Arial"/>
          <w:sz w:val="18"/>
          <w:szCs w:val="18"/>
          <w:color w:val="auto"/>
        </w:rPr>
        <w:t>Certain prior year amounts have been reclassified in the Consolidated Financial Statements and the related notes to conform to the current period presentation. In addition, the Company adopted three new accounting standards on January 1, 2009 which required retroactive application for presentation of prior periods' Consolidated Financial Statements (see Notes 3, 9, 11, and 14).</w:t>
      </w:r>
    </w:p>
    <w:p>
      <w:pPr>
        <w:spacing w:after="0" w:line="188" w:lineRule="exact"/>
        <w:rPr>
          <w:sz w:val="20"/>
          <w:szCs w:val="20"/>
          <w:color w:val="auto"/>
        </w:rPr>
      </w:pPr>
    </w:p>
    <w:p>
      <w:pPr>
        <w:jc w:val="both"/>
        <w:ind w:firstLine="502"/>
        <w:spacing w:after="0" w:line="339" w:lineRule="auto"/>
        <w:rPr>
          <w:sz w:val="20"/>
          <w:szCs w:val="20"/>
          <w:color w:val="auto"/>
        </w:rPr>
      </w:pPr>
      <w:r>
        <w:rPr>
          <w:rFonts w:ascii="Arial" w:cs="Arial" w:eastAsia="Arial" w:hAnsi="Arial"/>
          <w:sz w:val="16"/>
          <w:szCs w:val="16"/>
          <w:b w:val="1"/>
          <w:bCs w:val="1"/>
          <w:color w:val="auto"/>
        </w:rPr>
        <w:t>Principles of Consolidation</w:t>
      </w:r>
      <w:r>
        <w:rPr>
          <w:rFonts w:ascii="Arial" w:cs="Arial" w:eastAsia="Arial" w:hAnsi="Arial"/>
          <w:sz w:val="16"/>
          <w:szCs w:val="16"/>
          <w:color w:val="auto"/>
        </w:rPr>
        <w:t>—The Consolidated Financial Statements include the financial statements of the Company, its wholly owned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controlled partnerships and variable interest entities ("VIEs") for which the Company is the primary beneficiary. The Company consolidated the following VIEs:</w:t>
      </w:r>
    </w:p>
    <w:p>
      <w:pPr>
        <w:spacing w:after="0" w:line="134" w:lineRule="exact"/>
        <w:rPr>
          <w:sz w:val="20"/>
          <w:szCs w:val="20"/>
          <w:color w:val="auto"/>
        </w:rPr>
      </w:pPr>
    </w:p>
    <w:p>
      <w:pPr>
        <w:jc w:val="both"/>
        <w:ind w:firstLine="388"/>
        <w:spacing w:after="0" w:line="255" w:lineRule="auto"/>
        <w:rPr>
          <w:sz w:val="20"/>
          <w:szCs w:val="20"/>
          <w:color w:val="auto"/>
        </w:rPr>
      </w:pPr>
      <w:r>
        <w:rPr>
          <w:rFonts w:ascii="Arial" w:cs="Arial" w:eastAsia="Arial" w:hAnsi="Arial"/>
          <w:sz w:val="18"/>
          <w:szCs w:val="18"/>
          <w:color w:val="auto"/>
        </w:rPr>
        <w:t>During 2008, the Company made a $49.0 million commitment to OHA Strategic Credit Fund Parallel I, LP ("OHA SCF"). OHA SCF was created to invest in distressed, stressed and undervalued loans, bonds, equities and other investments. The Fund intends to opportunistically invest capital following a period of credit market dislocation. As of December 31, 2009, OHA SCF had $40.3 million of total assets, no debt and $0.1 million of noncontrolling interest. The investments held by this entity are presented in "Other investments" on the Company's Consolidated Balance Sheets. As of December 31, 2009, the Company had a total unfunded commitment of $26.8 million to this entity.</w:t>
      </w:r>
    </w:p>
    <w:p>
      <w:pPr>
        <w:spacing w:after="0" w:line="197"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During 2007, the Company made a €100.0 million commitment to Moor Park Real Estate Partners II, L.P. Incorporated ("Moor Park"). Moor Park is a third-party managed fund that was created to make investments in European real estate as a 33% investor along-side a sister fund. As of December 31, 2009,</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Moor Park had $13.0 million of total assets, no debt and $0.1 million of noncontrolling interest. The investments held by this entity are presented in "Other investments" on the Company's Consolidated Balance Sheets.</w:t>
      </w:r>
    </w:p>
    <w:p>
      <w:pPr>
        <w:spacing w:after="0" w:line="186" w:lineRule="exact"/>
        <w:rPr>
          <w:sz w:val="20"/>
          <w:szCs w:val="20"/>
          <w:color w:val="auto"/>
        </w:rPr>
      </w:pPr>
    </w:p>
    <w:p>
      <w:pPr>
        <w:jc w:val="both"/>
        <w:ind w:firstLine="362"/>
        <w:spacing w:after="0" w:line="306" w:lineRule="auto"/>
        <w:rPr>
          <w:sz w:val="20"/>
          <w:szCs w:val="20"/>
          <w:color w:val="auto"/>
        </w:rPr>
      </w:pPr>
      <w:r>
        <w:rPr>
          <w:rFonts w:ascii="Arial" w:cs="Arial" w:eastAsia="Arial" w:hAnsi="Arial"/>
          <w:sz w:val="16"/>
          <w:szCs w:val="16"/>
          <w:color w:val="auto"/>
        </w:rPr>
        <w:t>During 2006, the Company made an investment in Madison Deutsche Andau Holdings, LP ("Madison DA"). Madison DA was created to invest in mortgage loans secured by real estate in Europe. As of December 31, 2009, Madison DA had $63.2 million of total assets, no debt and $9.5 million of noncontrolling interest. The investments held by this entity are presented in "Loans and other lending investments" on the Company's Consolidated Balance Sheets.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balances and transactions have been eliminated in consolidation.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5" w:lineRule="exact"/>
        <w:rPr>
          <w:sz w:val="20"/>
          <w:szCs w:val="20"/>
          <w:color w:val="auto"/>
        </w:rPr>
      </w:pPr>
    </w:p>
    <w:p>
      <w:pPr>
        <w:jc w:val="both"/>
        <w:ind w:firstLine="418"/>
        <w:spacing w:after="0" w:line="310" w:lineRule="auto"/>
        <w:rPr>
          <w:sz w:val="20"/>
          <w:szCs w:val="20"/>
          <w:color w:val="auto"/>
        </w:rPr>
      </w:pPr>
      <w:r>
        <w:rPr>
          <w:rFonts w:ascii="Arial" w:cs="Arial" w:eastAsia="Arial" w:hAnsi="Arial"/>
          <w:sz w:val="16"/>
          <w:szCs w:val="16"/>
          <w:b w:val="1"/>
          <w:bCs w:val="1"/>
          <w:color w:val="auto"/>
        </w:rPr>
        <w:t>Loans and other lending investments, net</w:t>
      </w:r>
      <w:r>
        <w:rPr>
          <w:rFonts w:ascii="Arial" w:cs="Arial" w:eastAsia="Arial" w:hAnsi="Arial"/>
          <w:sz w:val="16"/>
          <w:szCs w:val="16"/>
          <w:color w:val="auto"/>
        </w:rPr>
        <w:t>—Loans and other lending investments, net includes the following investments: senior mortgages, subordinate</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mortgages, corporate/partnership loans and other lending investments-securities. Management considers nearly all of its loans and debt securities to be held-for-investment or held-to-maturity, although certain investments may be classified as held-for-sale or available-for-sale.</w:t>
      </w:r>
    </w:p>
    <w:p>
      <w:pPr>
        <w:spacing w:after="0" w:line="15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Loans and other lending investments designated for sale are classified as held for sale and are carried at lower of amortized historical cost or fair value. The amount by which carrying value exceeds fair value is recorded as a valuation allowance. Subsequent changes in the valuation allowance are included in the determination of net income in the period in which the change occurs.</w:t>
      </w:r>
    </w:p>
    <w:p>
      <w:pPr>
        <w:spacing w:after="0" w:line="194" w:lineRule="exact"/>
        <w:rPr>
          <w:sz w:val="20"/>
          <w:szCs w:val="20"/>
          <w:color w:val="auto"/>
        </w:rPr>
      </w:pPr>
    </w:p>
    <w:p>
      <w:pPr>
        <w:jc w:val="both"/>
        <w:ind w:firstLine="433"/>
        <w:spacing w:after="0" w:line="298" w:lineRule="auto"/>
        <w:rPr>
          <w:sz w:val="20"/>
          <w:szCs w:val="20"/>
          <w:color w:val="auto"/>
        </w:rPr>
      </w:pPr>
      <w:r>
        <w:rPr>
          <w:rFonts w:ascii="Arial" w:cs="Arial" w:eastAsia="Arial" w:hAnsi="Arial"/>
          <w:sz w:val="16"/>
          <w:szCs w:val="16"/>
          <w:color w:val="auto"/>
        </w:rPr>
        <w:t>Items classified as held-for-investment or held-to-maturity are reported at their outstanding unpaid principal balance, and include unamortized acquisition premiums or discounts and unamortized deferred loan costs or fees. These items also include accrued and paid-in-kind interest and accrued exit fees that the Company determines are probable of being collected. Debt securities classified as available-for-sale are reported at fair value with temporary unrealized gains and losses included in "Accumulated other comprehensive income" on the Company's Consolidated Balance Sheets.</w:t>
      </w:r>
    </w:p>
    <w:p>
      <w:pPr>
        <w:spacing w:after="0" w:line="167" w:lineRule="exact"/>
        <w:rPr>
          <w:sz w:val="20"/>
          <w:szCs w:val="20"/>
          <w:color w:val="auto"/>
        </w:rPr>
      </w:pPr>
    </w:p>
    <w:p>
      <w:pPr>
        <w:jc w:val="both"/>
        <w:ind w:firstLine="439"/>
        <w:spacing w:after="0" w:line="286" w:lineRule="auto"/>
        <w:rPr>
          <w:sz w:val="20"/>
          <w:szCs w:val="20"/>
          <w:color w:val="auto"/>
        </w:rPr>
      </w:pPr>
      <w:r>
        <w:rPr>
          <w:rFonts w:ascii="Arial" w:cs="Arial" w:eastAsia="Arial" w:hAnsi="Arial"/>
          <w:sz w:val="16"/>
          <w:szCs w:val="16"/>
          <w:color w:val="auto"/>
        </w:rPr>
        <w:t>For held-to-maturity and available-for-sale debt securities held in "Loans and other lending investments, net," management evaluates whether the asset is other-than-temporarily impaired when the fair market value is below carrying value. The Company considers debt securities other-than-temporarily impaired if</w:t>
      </w:r>
    </w:p>
    <w:p>
      <w:pPr>
        <w:jc w:val="both"/>
        <w:ind w:firstLine="8"/>
        <w:spacing w:after="0" w:line="288" w:lineRule="auto"/>
        <w:tabs>
          <w:tab w:leader="none" w:pos="25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has the intent to sell the security, (2) it is more likely than not that it will be required to sell the security before recovery, or (3) it does not expect to recover the entire amortized cost basis of the security. If it is determined that an other-than-temporary impairment exists, the portion related to credit losses, where the Company does not expect to recover its entire amortized cost basis, will be recognized as an "Impairment of other assets" on the Company's Consolidated Statements of Operations. If the Company does not intend to sell the security and it is more likely than not that the entity will be required to sell the security, but the security has suffered a credit loss, the impairment charge will be separated. The credit loss component of the impairment will be recorded as an "Impairment of other assets" on the Company's Consolidated Statements of Operations, and the remainder will be recorded in "Accumulated other comprehensive income" on the Company's Consolidated Balance Sheets.</w:t>
      </w:r>
    </w:p>
    <w:p>
      <w:pPr>
        <w:spacing w:after="0" w:line="171" w:lineRule="exact"/>
        <w:rPr>
          <w:sz w:val="20"/>
          <w:szCs w:val="20"/>
          <w:color w:val="auto"/>
        </w:rPr>
      </w:pPr>
    </w:p>
    <w:p>
      <w:pPr>
        <w:ind w:firstLine="476"/>
        <w:spacing w:after="0" w:line="339" w:lineRule="auto"/>
        <w:rPr>
          <w:sz w:val="20"/>
          <w:szCs w:val="20"/>
          <w:color w:val="auto"/>
        </w:rPr>
      </w:pPr>
      <w:r>
        <w:rPr>
          <w:rFonts w:ascii="Arial" w:cs="Arial" w:eastAsia="Arial" w:hAnsi="Arial"/>
          <w:sz w:val="16"/>
          <w:szCs w:val="16"/>
          <w:b w:val="1"/>
          <w:bCs w:val="1"/>
          <w:color w:val="auto"/>
        </w:rPr>
        <w:t>Corporate tenant lease assets and depreciation</w:t>
      </w:r>
      <w:r>
        <w:rPr>
          <w:rFonts w:ascii="Arial" w:cs="Arial" w:eastAsia="Arial" w:hAnsi="Arial"/>
          <w:sz w:val="16"/>
          <w:szCs w:val="16"/>
          <w:color w:val="auto"/>
        </w:rPr>
        <w:t>—CTL assets are generally recorded at cost less accumulated depreciation. Certain improvements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replacements are capitalized when they extend the useful life, increase capacity or improve the efficiency of the asset. Repairs and maintenance items are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expensed as incurred. Depreciation is computed using the straight-line method of cost recovery over the shorter of estimated useful lives or 40 years for facilities, five years for furniture and equipment, the shorter of the remaining lease term or expected life for tenant improvements and the remaining useful life of the facility for facility improvements.</w:t>
      </w:r>
    </w:p>
    <w:p>
      <w:pPr>
        <w:spacing w:after="0" w:line="194"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CTL assets to be disposed of are reported at the lower of their carrying amount or estimated fair value less costs to sell and are included in "Assets held for sale" on the Company's Consolidated Balance Sheets. If the estimated fair value less costs to sell is less than the carrying value, the difference will be recorded as an impairment charge and included in "Income from discontinued operations" on the Company's Consolidated Statements of Operations. Once an asset is classified as held for sale, depreciation expense is no longer recorded and historical operating results are reclassified to "Income from discontinued operations" on the Company's Consolidated Statements of Operations. As of December 31, 2009, there were two CTL assets with an aggregate book value of $17.3 million classified as "Assets held for sale" on the Company's Consolidated Balance Sheets.</w:t>
      </w:r>
    </w:p>
    <w:p>
      <w:pPr>
        <w:spacing w:after="0" w:line="174"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6"/>
          <w:szCs w:val="16"/>
          <w:color w:val="auto"/>
        </w:rPr>
        <w:t>The Company periodically reviews long-lived assets to be held and used for impairment in value whenever events or changes in circumstances indicate that the carrying amount of such assets may not be recoverable. The value of a long-lived asset held for use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fair value of the asset and reflected as an adjustment to the basis of the asset. Impairments of CTL assets that are not held for sale are recorded in "Impairment of other assets," on the Company's Consolidated Statements of Operations.</w:t>
      </w:r>
    </w:p>
    <w:p>
      <w:pPr>
        <w:spacing w:after="0" w:line="172"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auto"/>
        </w:rPr>
        <w:t>The Company accounts for its acquisition of facilities by allocating the purchase price to the tangible and intangible assets and liabilities acquired based on their estimated fair values. The value of the tangible assets, consisting of land, buildings, building improvements and tenant improvements is determined as if these assets are vacant, that is, at replacement cost. Intangible assets may include above-market or below-market value of in-place leases and the value of customer relationships, which are each recorded at their relative fair values.</w:t>
      </w:r>
    </w:p>
    <w:p>
      <w:pPr>
        <w:spacing w:after="0" w:line="197" w:lineRule="exact"/>
        <w:rPr>
          <w:sz w:val="20"/>
          <w:szCs w:val="20"/>
          <w:color w:val="auto"/>
        </w:rPr>
      </w:pPr>
    </w:p>
    <w:p>
      <w:pPr>
        <w:jc w:val="both"/>
        <w:ind w:firstLine="395"/>
        <w:spacing w:after="0" w:line="256" w:lineRule="auto"/>
        <w:rPr>
          <w:sz w:val="20"/>
          <w:szCs w:val="20"/>
          <w:color w:val="auto"/>
        </w:rPr>
      </w:pPr>
      <w:r>
        <w:rPr>
          <w:rFonts w:ascii="Arial" w:cs="Arial" w:eastAsia="Arial" w:hAnsi="Arial"/>
          <w:sz w:val="18"/>
          <w:szCs w:val="18"/>
          <w:color w:val="auto"/>
        </w:rPr>
        <w:t>The capitalized above-market (or below-market) lease value is amortized as a reduction of (or, increase to) operating lease income over the remaining non-cancelable term of each lease plus any renewal periods with fixed rental terms that are considered to be below-market. The Company generally engages in sale/leaseback transactions and typically executes leases with the occupant simultaneously with the purchase of the CTL asset at market-rate rents. As such, no above-market or below-market lease value is ascribed to these transactions.</w:t>
      </w:r>
    </w:p>
    <w:p>
      <w:pPr>
        <w:spacing w:after="0" w:line="191" w:lineRule="exact"/>
        <w:rPr>
          <w:sz w:val="20"/>
          <w:szCs w:val="20"/>
          <w:color w:val="auto"/>
        </w:rPr>
      </w:pPr>
    </w:p>
    <w:p>
      <w:pPr>
        <w:jc w:val="both"/>
        <w:ind w:firstLine="359"/>
        <w:spacing w:after="0" w:line="296" w:lineRule="auto"/>
        <w:rPr>
          <w:sz w:val="20"/>
          <w:szCs w:val="20"/>
          <w:color w:val="auto"/>
        </w:rPr>
      </w:pPr>
      <w:r>
        <w:rPr>
          <w:rFonts w:ascii="Arial" w:cs="Arial" w:eastAsia="Arial" w:hAnsi="Arial"/>
          <w:sz w:val="16"/>
          <w:szCs w:val="16"/>
          <w:b w:val="1"/>
          <w:bCs w:val="1"/>
          <w:color w:val="auto"/>
        </w:rPr>
        <w:t>Real estate held for investment, net</w:t>
      </w:r>
      <w:r>
        <w:rPr>
          <w:rFonts w:ascii="Arial" w:cs="Arial" w:eastAsia="Arial" w:hAnsi="Arial"/>
          <w:sz w:val="16"/>
          <w:szCs w:val="16"/>
          <w:color w:val="auto"/>
        </w:rPr>
        <w:t>—Real estate held for investment, net ("REHI") consists of properties acquired through foreclosure or through deed-in-lieu of foreclosure in full or partial satisfaction of non-performing loans that the Company intends to hold, operate or develop for a period of at least twelve months. REHI assets are initially recorded at their estimated fair value. The excess of the carrying value of the loan over the fair value of the property acquired is charged-off against the reserve for loan losses when title to the property is obtained. Additionally, upon acquisition of a property, tangible and intangible assets and liabilities acquired are recorded at their estimated fair values and depreciation is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computed in the same manners as described in "Corporate tenant lease assets and depreciation" above. Subsequent to acquisition, qualified development and construction costs are capitalized. Revenues and expenses related to REHI assets are recorded as "Other income" and "Other expense," respectively, on the Company's Consolidated Statements of Operations.</w:t>
      </w:r>
    </w:p>
    <w:p>
      <w:pPr>
        <w:spacing w:after="0" w:line="194"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The Company considers REHI assets to be long-lived and periodically reviews them for impairment in value whenever events or changes in circumstances indicate that the carrying amount of such assets may not be recoverable. The Company measures impairments for REHI assets in the same manner as CTL assets, as described in "Corporate tenant lease assets and depreciation" above. Impairments of REHI assets are recorded in "Impairment of other assets," on the Company's Consolidated Statements of Operations.</w:t>
      </w:r>
    </w:p>
    <w:p>
      <w:pPr>
        <w:spacing w:after="0" w:line="191" w:lineRule="exact"/>
        <w:rPr>
          <w:sz w:val="20"/>
          <w:szCs w:val="20"/>
          <w:color w:val="auto"/>
        </w:rPr>
      </w:pPr>
    </w:p>
    <w:p>
      <w:pPr>
        <w:jc w:val="both"/>
        <w:ind w:firstLine="381"/>
        <w:spacing w:after="0" w:line="291" w:lineRule="auto"/>
        <w:rPr>
          <w:sz w:val="20"/>
          <w:szCs w:val="20"/>
          <w:color w:val="auto"/>
        </w:rPr>
      </w:pPr>
      <w:r>
        <w:rPr>
          <w:rFonts w:ascii="Arial" w:cs="Arial" w:eastAsia="Arial" w:hAnsi="Arial"/>
          <w:sz w:val="16"/>
          <w:szCs w:val="16"/>
          <w:b w:val="1"/>
          <w:bCs w:val="1"/>
          <w:color w:val="auto"/>
        </w:rPr>
        <w:t>Other real estate owned</w:t>
      </w:r>
      <w:r>
        <w:rPr>
          <w:rFonts w:ascii="Arial" w:cs="Arial" w:eastAsia="Arial" w:hAnsi="Arial"/>
          <w:sz w:val="16"/>
          <w:szCs w:val="16"/>
          <w:color w:val="auto"/>
        </w:rPr>
        <w:t>—OREO consists of properties acquired through foreclosure or by deed-in-lieu of foreclosure in full or partial satisfaction of non-performing loans that the Company intends to market for sale in the near term. OREO is recorded at the estimated fair value less costs to sell. The excess of the carrying value of the loan over the fair value of the property less estimated costs to sell is charged-off against the reserve for loan losses when title to the property is obtained. Net revenues and costs of holding the property are recorded as "Other expense" in the Company's Consolidated Statements of Operations. Significant property improvements may be capitalized to the extent that the carrying value of the property does not exceed the estimated fair value less costs to sell. The gain or loss on final disposition of an OREO is recorded in "Impairment of other assets" on the Company's Consolidated Statements of Operations, and is considered income/(loss) from continuing operations as it represents the final stage of the Company's loan collection process.</w:t>
      </w:r>
    </w:p>
    <w:p>
      <w:pPr>
        <w:spacing w:after="0" w:line="173" w:lineRule="exact"/>
        <w:rPr>
          <w:sz w:val="20"/>
          <w:szCs w:val="20"/>
          <w:color w:val="auto"/>
        </w:rPr>
      </w:pPr>
    </w:p>
    <w:p>
      <w:pPr>
        <w:jc w:val="both"/>
        <w:ind w:right="20" w:firstLine="430"/>
        <w:spacing w:after="0" w:line="306" w:lineRule="auto"/>
        <w:rPr>
          <w:sz w:val="20"/>
          <w:szCs w:val="20"/>
          <w:color w:val="auto"/>
        </w:rPr>
      </w:pPr>
      <w:r>
        <w:rPr>
          <w:rFonts w:ascii="Arial" w:cs="Arial" w:eastAsia="Arial" w:hAnsi="Arial"/>
          <w:sz w:val="16"/>
          <w:szCs w:val="16"/>
          <w:color w:val="auto"/>
        </w:rPr>
        <w:t>The Company reviews the recoverability of an OREO asset's carrying value when events or circumstances indicate a potential impairment of a property's value. If impairment exists, a loss is recorded to the extent that the carrying value exceeds the estimated fair value of the property less costs to sell. These impairments are recorded in "Impairment of other assets" on the Company's Consolidated Statements of Operations.</w:t>
      </w:r>
    </w:p>
    <w:p>
      <w:pPr>
        <w:spacing w:after="0" w:line="155" w:lineRule="exact"/>
        <w:rPr>
          <w:sz w:val="20"/>
          <w:szCs w:val="20"/>
          <w:color w:val="auto"/>
        </w:rPr>
      </w:pPr>
    </w:p>
    <w:p>
      <w:pPr>
        <w:jc w:val="both"/>
        <w:ind w:firstLine="477"/>
        <w:spacing w:after="0" w:line="293" w:lineRule="auto"/>
        <w:rPr>
          <w:sz w:val="20"/>
          <w:szCs w:val="20"/>
          <w:color w:val="auto"/>
        </w:rPr>
      </w:pPr>
      <w:r>
        <w:rPr>
          <w:rFonts w:ascii="Arial" w:cs="Arial" w:eastAsia="Arial" w:hAnsi="Arial"/>
          <w:sz w:val="16"/>
          <w:szCs w:val="16"/>
          <w:b w:val="1"/>
          <w:bCs w:val="1"/>
          <w:color w:val="auto"/>
        </w:rPr>
        <w:t>Equity and cost method investments</w:t>
      </w:r>
      <w:r>
        <w:rPr>
          <w:rFonts w:ascii="Arial" w:cs="Arial" w:eastAsia="Arial" w:hAnsi="Arial"/>
          <w:sz w:val="16"/>
          <w:szCs w:val="16"/>
          <w:color w:val="auto"/>
        </w:rPr>
        <w:t>—Purchased equity interests that are not publicly traded and/or do not have a readily determinable fair value are</w:t>
      </w:r>
      <w:r>
        <w:rPr>
          <w:rFonts w:ascii="Arial" w:cs="Arial" w:eastAsia="Arial" w:hAnsi="Arial"/>
          <w:sz w:val="16"/>
          <w:szCs w:val="16"/>
          <w:b w:val="1"/>
          <w:bCs w:val="1"/>
          <w:color w:val="auto"/>
        </w:rPr>
        <w:t xml:space="preserve"> </w:t>
      </w:r>
      <w:r>
        <w:rPr>
          <w:rFonts w:ascii="Arial" w:cs="Arial" w:eastAsia="Arial" w:hAnsi="Arial"/>
          <w:sz w:val="16"/>
          <w:szCs w:val="16"/>
          <w:color w:val="auto"/>
        </w:rPr>
        <w:t>accounted for pursuant to the equity method of accounting if the Company can significantly influence the operating and financial policies of an investee. This is generally presumed to exist when ownership interest is between 20% and 50% of a corporation, or greater than 5% of a limited partnership or limited liability company. The Company's periodic share of earnings and losses in equity method investees is included in "Earnings (loss) from equity method investments" on the Consolidated Statements of Operations. When the Company's ownership position is too small to provide such influence, the cost method is used to account for the equity interest. Equity and cost method investments are included in "Other investments" on the Company's Consolidated Balance Sheets.</w:t>
      </w:r>
    </w:p>
    <w:p>
      <w:pPr>
        <w:spacing w:after="0" w:line="171" w:lineRule="exact"/>
        <w:rPr>
          <w:sz w:val="20"/>
          <w:szCs w:val="20"/>
          <w:color w:val="auto"/>
        </w:rPr>
      </w:pPr>
    </w:p>
    <w:p>
      <w:pPr>
        <w:jc w:val="both"/>
        <w:ind w:firstLine="508"/>
        <w:spacing w:after="0" w:line="256" w:lineRule="auto"/>
        <w:rPr>
          <w:sz w:val="20"/>
          <w:szCs w:val="20"/>
          <w:color w:val="auto"/>
        </w:rPr>
      </w:pPr>
      <w:r>
        <w:rPr>
          <w:rFonts w:ascii="Arial" w:cs="Arial" w:eastAsia="Arial" w:hAnsi="Arial"/>
          <w:sz w:val="18"/>
          <w:szCs w:val="18"/>
          <w:color w:val="auto"/>
        </w:rPr>
        <w:t>The Company periodically reviews equity method investments for impairment in value whenever events or changes in circumstances indicate that the carrying amount of such investments may not be recoverable. The Company will record an impairment charge to the extent that the estimated fair value of an investment is less than its carrying value and the Company determines the impairment is other-than-temporary. Impairment charges are recorded in "Impairment of other assets" on the Company's Consolidated Statements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6"/>
          <w:szCs w:val="16"/>
          <w:b w:val="1"/>
          <w:bCs w:val="1"/>
          <w:color w:val="auto"/>
        </w:rPr>
        <w:t>Timber and timberlands</w:t>
      </w:r>
      <w:r>
        <w:rPr>
          <w:rFonts w:ascii="Arial" w:cs="Arial" w:eastAsia="Arial" w:hAnsi="Arial"/>
          <w:sz w:val="16"/>
          <w:szCs w:val="16"/>
          <w:color w:val="auto"/>
        </w:rPr>
        <w:t>—Timber and timberlands, are stated at cost less accumulated depletion. The cost of timber and timberlands typically is allocated</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timber and the land acquired, based on estimated relative fair values. Timber carrying costs, such as real estate taxes, insect and wildlife control and timberland management fees, are expensed as incurred. Net carrying value of the timber and timberlands is used to compute the gain or loss in connection with timberland sales. Timber and timberlands are included in "Other investments" on the Company's Consolidated Balance Sheet (see Note 7).</w:t>
      </w:r>
    </w:p>
    <w:p>
      <w:pPr>
        <w:spacing w:after="0" w:line="163" w:lineRule="exact"/>
        <w:rPr>
          <w:sz w:val="20"/>
          <w:szCs w:val="20"/>
          <w:color w:val="auto"/>
        </w:rPr>
      </w:pPr>
    </w:p>
    <w:p>
      <w:pPr>
        <w:jc w:val="both"/>
        <w:ind w:firstLine="396"/>
        <w:spacing w:after="0" w:line="323" w:lineRule="auto"/>
        <w:rPr>
          <w:sz w:val="20"/>
          <w:szCs w:val="20"/>
          <w:color w:val="auto"/>
        </w:rPr>
      </w:pPr>
      <w:r>
        <w:rPr>
          <w:rFonts w:ascii="Arial" w:cs="Arial" w:eastAsia="Arial" w:hAnsi="Arial"/>
          <w:sz w:val="15"/>
          <w:szCs w:val="15"/>
          <w:color w:val="auto"/>
        </w:rPr>
        <w:t>Depletion relates to the Company's investment in timberland assets. Assumptions and estimates are used in the recording of depletion. An annual depletion rate for each timberland investment is established by dividing book cost of timber by estimated standing merchantable inventory. Changes in the assumptions and/or estimations used in these calculations may affect the Company's results, in particular depletion costs. Factors that can impact timber volume include weather changes, losses due to natural causes, differences in actual versus estimated growth rates and changes in the age when timber is considered merchantable.</w:t>
      </w:r>
    </w:p>
    <w:p>
      <w:pPr>
        <w:spacing w:after="0" w:line="152" w:lineRule="exact"/>
        <w:rPr>
          <w:sz w:val="20"/>
          <w:szCs w:val="20"/>
          <w:color w:val="auto"/>
        </w:rPr>
      </w:pPr>
    </w:p>
    <w:p>
      <w:pPr>
        <w:jc w:val="both"/>
        <w:ind w:firstLine="495"/>
        <w:spacing w:after="0" w:line="298" w:lineRule="auto"/>
        <w:rPr>
          <w:sz w:val="20"/>
          <w:szCs w:val="20"/>
          <w:color w:val="auto"/>
        </w:rPr>
      </w:pPr>
      <w:r>
        <w:rPr>
          <w:rFonts w:ascii="Arial" w:cs="Arial" w:eastAsia="Arial" w:hAnsi="Arial"/>
          <w:sz w:val="16"/>
          <w:szCs w:val="16"/>
          <w:color w:val="auto"/>
        </w:rPr>
        <w:t>On January 19, 2005, TimberStar Operating Partnership, L.P. ("TimberStar") was created to acquire and manage a diversified portfolio of timberlands. During 2008, the Company sold all of its timberland investments. The Company consolidated this partnership for financial statement purposes and records the noncontrolling interest of an external partner in "Noncontrolling interests" on the Company's Consolidated Balance Sheets. TimberStar's operating results for 2008 and 2007 have been reclassified and are presented in "Income (loss) from discontinued operations" on its Consolidated Statements of Operations.</w:t>
      </w:r>
    </w:p>
    <w:p>
      <w:pPr>
        <w:spacing w:after="0" w:line="167" w:lineRule="exact"/>
        <w:rPr>
          <w:sz w:val="20"/>
          <w:szCs w:val="20"/>
          <w:color w:val="auto"/>
        </w:rPr>
      </w:pPr>
    </w:p>
    <w:p>
      <w:pPr>
        <w:jc w:val="both"/>
        <w:ind w:firstLine="476"/>
        <w:spacing w:after="0" w:line="306" w:lineRule="auto"/>
        <w:rPr>
          <w:sz w:val="20"/>
          <w:szCs w:val="20"/>
          <w:color w:val="auto"/>
        </w:rPr>
      </w:pPr>
      <w:r>
        <w:rPr>
          <w:rFonts w:ascii="Arial" w:cs="Arial" w:eastAsia="Arial" w:hAnsi="Arial"/>
          <w:sz w:val="16"/>
          <w:szCs w:val="16"/>
          <w:color w:val="auto"/>
        </w:rPr>
        <w:t>TimberStar also owned a 46.7% interest in TimberStar Southwest Holdco LLC ("TimberStar Southwest"), which the Company accounted for under the equity method. In April 2008, the Company sold its joint venture interest and recorded a gain in "Gain on sale of joint venture interest" and "Gain on sale of joint venture interest attributable to noncontrolling interests" on its Consolidated Statements of Operations (see Note 7).</w:t>
      </w:r>
    </w:p>
    <w:p>
      <w:pPr>
        <w:spacing w:after="0" w:line="155" w:lineRule="exact"/>
        <w:rPr>
          <w:sz w:val="20"/>
          <w:szCs w:val="20"/>
          <w:color w:val="auto"/>
        </w:rPr>
      </w:pPr>
    </w:p>
    <w:p>
      <w:pPr>
        <w:jc w:val="both"/>
        <w:ind w:firstLine="390"/>
        <w:spacing w:after="0" w:line="275"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and cash equivalents include cash held in banks or invested in money market funds with original maturity terms of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90 days.</w:t>
      </w:r>
    </w:p>
    <w:p>
      <w:pPr>
        <w:spacing w:after="0" w:line="174" w:lineRule="exact"/>
        <w:rPr>
          <w:sz w:val="20"/>
          <w:szCs w:val="20"/>
          <w:color w:val="auto"/>
        </w:rPr>
      </w:pPr>
    </w:p>
    <w:p>
      <w:pPr>
        <w:jc w:val="both"/>
        <w:ind w:firstLine="471"/>
        <w:spacing w:after="0" w:line="275"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—Restricted cash represents amounts required to be maintained in escrow under certain of the Company's debt obligations and OREO,</w:t>
      </w:r>
      <w:r>
        <w:rPr>
          <w:rFonts w:ascii="Arial" w:cs="Arial" w:eastAsia="Arial" w:hAnsi="Arial"/>
          <w:sz w:val="18"/>
          <w:szCs w:val="18"/>
          <w:b w:val="1"/>
          <w:bCs w:val="1"/>
          <w:color w:val="auto"/>
        </w:rPr>
        <w:t xml:space="preserve"> </w:t>
      </w:r>
      <w:r>
        <w:rPr>
          <w:rFonts w:ascii="Arial" w:cs="Arial" w:eastAsia="Arial" w:hAnsi="Arial"/>
          <w:sz w:val="18"/>
          <w:szCs w:val="18"/>
          <w:color w:val="auto"/>
        </w:rPr>
        <w:t>leasing and derivative transactions.</w:t>
      </w:r>
    </w:p>
    <w:p>
      <w:pPr>
        <w:spacing w:after="0" w:line="174" w:lineRule="exact"/>
        <w:rPr>
          <w:sz w:val="20"/>
          <w:szCs w:val="20"/>
          <w:color w:val="auto"/>
        </w:rPr>
      </w:pPr>
    </w:p>
    <w:p>
      <w:pPr>
        <w:jc w:val="both"/>
        <w:ind w:firstLine="434"/>
        <w:spacing w:after="0" w:line="254" w:lineRule="auto"/>
        <w:rPr>
          <w:sz w:val="20"/>
          <w:szCs w:val="20"/>
          <w:color w:val="auto"/>
        </w:rPr>
      </w:pPr>
      <w:r>
        <w:rPr>
          <w:rFonts w:ascii="Arial" w:cs="Arial" w:eastAsia="Arial" w:hAnsi="Arial"/>
          <w:sz w:val="18"/>
          <w:szCs w:val="18"/>
          <w:b w:val="1"/>
          <w:bCs w:val="1"/>
          <w:color w:val="auto"/>
        </w:rPr>
        <w:t>Variable interest entities</w:t>
      </w:r>
      <w:r>
        <w:rPr>
          <w:rFonts w:ascii="Arial" w:cs="Arial" w:eastAsia="Arial" w:hAnsi="Arial"/>
          <w:sz w:val="18"/>
          <w:szCs w:val="18"/>
          <w:color w:val="auto"/>
        </w:rPr>
        <w:t>—The Company reviews its investments and other contractual arrangements to determine if they constitute variable interests in</w:t>
      </w:r>
      <w:r>
        <w:rPr>
          <w:rFonts w:ascii="Arial" w:cs="Arial" w:eastAsia="Arial" w:hAnsi="Arial"/>
          <w:sz w:val="18"/>
          <w:szCs w:val="18"/>
          <w:b w:val="1"/>
          <w:bCs w:val="1"/>
          <w:color w:val="auto"/>
        </w:rPr>
        <w:t xml:space="preserve"> </w:t>
      </w:r>
      <w:r>
        <w:rPr>
          <w:rFonts w:ascii="Arial" w:cs="Arial" w:eastAsia="Arial" w:hAnsi="Arial"/>
          <w:sz w:val="18"/>
          <w:szCs w:val="18"/>
          <w:color w:val="auto"/>
        </w:rPr>
        <w:t>variable interest entities (or "VIE's"). A VIE is an entity where a controlling financial interest is achieved though means other than voting rights. A VIE is consolidated by the primary beneficiary, which is the party that will receive a majority of the VIE's anticipated losses, a majority of the VIE's expected residual returns, or both. The Company determines if it is the primary beneficiary of a VIE by first performing a qualitative analysis of the VIE's expected losses and expected returns. This analysis includes a review of, among other factors, the VIE's capital structure, contractual terms, which interests create or absorb variability, related party relationships and the design of the VIE. Where qualitative analysis is not conclusive, the Company performs a quantitative analysis. The Company reassesses its initial evaluation of an entity as a VIE and its initial determination of whether the Company is the primary beneficiary of a VIE upon the occurrence of certain reconsideration events.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jc w:val="both"/>
        <w:ind w:firstLine="363"/>
        <w:spacing w:after="0" w:line="301" w:lineRule="auto"/>
        <w:rPr>
          <w:sz w:val="20"/>
          <w:szCs w:val="20"/>
          <w:color w:val="auto"/>
        </w:rPr>
      </w:pPr>
      <w:r>
        <w:rPr>
          <w:rFonts w:ascii="Arial" w:cs="Arial" w:eastAsia="Arial" w:hAnsi="Arial"/>
          <w:sz w:val="16"/>
          <w:szCs w:val="16"/>
          <w:b w:val="1"/>
          <w:bCs w:val="1"/>
          <w:color w:val="auto"/>
        </w:rPr>
        <w:t>Deferred expenses</w:t>
      </w:r>
      <w:r>
        <w:rPr>
          <w:rFonts w:ascii="Arial" w:cs="Arial" w:eastAsia="Arial" w:hAnsi="Arial"/>
          <w:sz w:val="16"/>
          <w:szCs w:val="16"/>
          <w:color w:val="auto"/>
        </w:rPr>
        <w:t>—Deferred expenses include leasing costs and financing fees. Leasing costs include brokerage, legal and other costs which are amortized</w:t>
      </w:r>
      <w:r>
        <w:rPr>
          <w:rFonts w:ascii="Arial" w:cs="Arial" w:eastAsia="Arial" w:hAnsi="Arial"/>
          <w:sz w:val="16"/>
          <w:szCs w:val="16"/>
          <w:b w:val="1"/>
          <w:bCs w:val="1"/>
          <w:color w:val="auto"/>
        </w:rPr>
        <w:t xml:space="preserve"> </w:t>
      </w:r>
      <w:r>
        <w:rPr>
          <w:rFonts w:ascii="Arial" w:cs="Arial" w:eastAsia="Arial" w:hAnsi="Arial"/>
          <w:sz w:val="16"/>
          <w:szCs w:val="16"/>
          <w:color w:val="auto"/>
        </w:rPr>
        <w:t>over the life of the respective leases. External fees and costs incurred to obtain long-term financing have been deferred and are amortized over the term of the respective borrowing using the effective interest method. Amortization of leasing costs and deferred financing fees are included in the Company's "Depreciation and amortization" and "Interest expense," respectively, on the Company's Consolidated Statements of Operations.</w:t>
      </w:r>
    </w:p>
    <w:p>
      <w:pPr>
        <w:spacing w:after="0" w:line="157"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b w:val="1"/>
          <w:bCs w:val="1"/>
          <w:color w:val="auto"/>
        </w:rPr>
        <w:t>Identified intangible assets and goodwill</w:t>
      </w:r>
      <w:r>
        <w:rPr>
          <w:rFonts w:ascii="Arial" w:cs="Arial" w:eastAsia="Arial" w:hAnsi="Arial"/>
          <w:sz w:val="16"/>
          <w:szCs w:val="16"/>
          <w:color w:val="auto"/>
        </w:rPr>
        <w:t>—Upon the acquisition of a business, the Company records intangible assets acquired at their estimated fair</w:t>
      </w:r>
      <w:r>
        <w:rPr>
          <w:rFonts w:ascii="Arial" w:cs="Arial" w:eastAsia="Arial" w:hAnsi="Arial"/>
          <w:sz w:val="16"/>
          <w:szCs w:val="16"/>
          <w:b w:val="1"/>
          <w:bCs w:val="1"/>
          <w:color w:val="auto"/>
        </w:rPr>
        <w:t xml:space="preserve"> </w:t>
      </w:r>
      <w:r>
        <w:rPr>
          <w:rFonts w:ascii="Arial" w:cs="Arial" w:eastAsia="Arial" w:hAnsi="Arial"/>
          <w:sz w:val="16"/>
          <w:szCs w:val="16"/>
          <w:color w:val="auto"/>
        </w:rPr>
        <w:t>values separate and apart from goodwill. The Company determines whether such intangible assets have finite or indefinite lives. As of December 31, 2009, all such intangible assets acquired by the Company have finite lives. The Company amortizes finite lived intangible assets based on the period over which the assets are expected to contribute directly or indirectly to the future cash flows of the business acquired. The Company reviews finite lived intangible assets for impairment whenever events or changes in circumstances indicate that their carrying amount may not be recoverable. If the Company determines the carrying value of an intangible asset is not recoverable it will record an impairment charge to the extent its carrying value exceeds its estimated fair value. Impairments of intangibles assets are recorded in "Impairment of other assets" on the Company's Consolidated Statements of Operations.</w:t>
      </w:r>
    </w:p>
    <w:p>
      <w:pPr>
        <w:spacing w:after="0" w:line="173"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During the year ended December 31, 2008, the Company recorded non-cash charges of $21.5 million to reduce the carrying value of certain intangible assets related to the Fremont CRE acquisition and other acquisitions, based on their revised estimated fair values. These charges were recorded in "Impairment of other assets" on the Company's Consolidated Statements of Operations.</w:t>
      </w:r>
    </w:p>
    <w:p>
      <w:pPr>
        <w:spacing w:after="0" w:line="194"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As of December 31, 2009 and 2008, the Company had $55.9 million and $61.2 million, respectively, of unamortized finite lived intangible assets primarily related to the acquisition of prior CTL facilities and REHI. The total amortization expense for these intangible assets was $12.2 million, $13.7 million and $9.2 million for the years ended December 31, 2009, 2008 and 2007, respectively. The estimated aggregate amortization costs for each of the five succeeding fiscal years are as follows (in thousands):</w:t>
      </w:r>
    </w:p>
    <w:p>
      <w:pPr>
        <w:spacing w:after="0" w:line="20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10,471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8,709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31,132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The excess of the cost of an acquired entity over the net of the amounts assigned to assets acquired (including identified intangible assets) and liabilities assumed is recorded as goodwill. Goodwill is not amortized but is tested for impairment on an annual basis, or more frequently if events or changes in circumstances indicate that the asset might be impaired. The impairment test is done at a level of reporting referred to as a reporting unit. If the fair value of the reporting unit is less than its carrying value, an impairment loss is recorded to the extent that the fair value of the goodwill within the reporting unit is less than its carrying value. Fair values for goodwill and other finite lived intangible assets are determined using the market approach, income approach or cost approach, as appropriate.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Due to an overall deterioration in conditions within the commercial real estate market, the Company recorded impairment charges of $4.2 million during 2009 and $39.1 million during 2008 to write-off the goodwill allocated to the CTL and Real Estate Lending reporting segments, respectively. These charges were recorded in "Impairment of goodwill" on the Company's Consolidated Statements of Operations.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Company's revenue recognition policies are as follows:</w:t>
      </w:r>
    </w:p>
    <w:p>
      <w:pPr>
        <w:spacing w:after="0" w:line="231" w:lineRule="exact"/>
        <w:rPr>
          <w:sz w:val="20"/>
          <w:szCs w:val="20"/>
          <w:color w:val="auto"/>
        </w:rPr>
      </w:pPr>
    </w:p>
    <w:p>
      <w:pPr>
        <w:ind w:left="360"/>
        <w:spacing w:after="0"/>
        <w:tabs>
          <w:tab w:leader="none" w:pos="3160" w:val="left"/>
        </w:tabs>
        <w:rPr>
          <w:sz w:val="20"/>
          <w:szCs w:val="20"/>
          <w:color w:val="auto"/>
        </w:rPr>
      </w:pPr>
      <w:r>
        <w:rPr>
          <w:rFonts w:ascii="Arial" w:cs="Arial" w:eastAsia="Arial" w:hAnsi="Arial"/>
          <w:sz w:val="18"/>
          <w:szCs w:val="18"/>
          <w:i w:val="1"/>
          <w:iCs w:val="1"/>
          <w:color w:val="auto"/>
        </w:rPr>
        <w:t>Loans and other lending investments:</w:t>
      </w:r>
      <w:r>
        <w:rPr>
          <w:sz w:val="20"/>
          <w:szCs w:val="20"/>
          <w:color w:val="auto"/>
        </w:rPr>
        <w:tab/>
      </w:r>
      <w:r>
        <w:rPr>
          <w:rFonts w:ascii="Arial" w:cs="Arial" w:eastAsia="Arial" w:hAnsi="Arial"/>
          <w:sz w:val="15"/>
          <w:szCs w:val="15"/>
          <w:color w:val="auto"/>
        </w:rPr>
        <w:t>Interest income on loans and other lending investments is recognized on an accrual basis using the interest method.</w:t>
      </w:r>
    </w:p>
    <w:p>
      <w:pPr>
        <w:spacing w:after="0" w:line="225" w:lineRule="exact"/>
        <w:rPr>
          <w:sz w:val="20"/>
          <w:szCs w:val="20"/>
          <w:color w:val="auto"/>
        </w:rPr>
      </w:pPr>
    </w:p>
    <w:p>
      <w:pPr>
        <w:jc w:val="both"/>
        <w:ind w:firstLine="515"/>
        <w:spacing w:after="0" w:line="255" w:lineRule="auto"/>
        <w:rPr>
          <w:sz w:val="20"/>
          <w:szCs w:val="20"/>
          <w:color w:val="auto"/>
        </w:rPr>
      </w:pPr>
      <w:r>
        <w:rPr>
          <w:rFonts w:ascii="Arial" w:cs="Arial" w:eastAsia="Arial" w:hAnsi="Arial"/>
          <w:sz w:val="18"/>
          <w:szCs w:val="18"/>
          <w:color w:val="auto"/>
        </w:rPr>
        <w:t>On occasion, the Company may acquire loans at premiums or discounts. These discounts and premiums in addition to any deferred costs or fees, are typically amortized over the contractual term of the loan using the interest method. Exit fees are also recognized over the lives of the related loans as a yield adjustment, if management believes it is probable that such amounts will be received. If loans with premiums, discounts, loan origination or exit fees are prepaid, the Company immediately recognizes the unamortized portion as a decrease or increase in the prepayment gain or loss which is included in "Other income" on the Company's Consolidated Statements of Operations.</w:t>
      </w:r>
    </w:p>
    <w:p>
      <w:pPr>
        <w:spacing w:after="0" w:line="197" w:lineRule="exact"/>
        <w:rPr>
          <w:sz w:val="20"/>
          <w:szCs w:val="20"/>
          <w:color w:val="auto"/>
        </w:rPr>
      </w:pPr>
    </w:p>
    <w:p>
      <w:pPr>
        <w:jc w:val="both"/>
        <w:ind w:firstLine="358"/>
        <w:spacing w:after="0" w:line="298" w:lineRule="auto"/>
        <w:rPr>
          <w:sz w:val="20"/>
          <w:szCs w:val="20"/>
          <w:color w:val="auto"/>
        </w:rPr>
      </w:pPr>
      <w:r>
        <w:rPr>
          <w:rFonts w:ascii="Arial" w:cs="Arial" w:eastAsia="Arial" w:hAnsi="Arial"/>
          <w:sz w:val="16"/>
          <w:szCs w:val="16"/>
          <w:color w:val="auto"/>
        </w:rPr>
        <w:t>The Company considers a loan to be non-performing and places loans on non-accrual status at such time as: (1) the loan becomes 90 days delinquent; (2) the loan has a maturity default; or (3) management determines it is probable that it will be unable to collect all amounts due according to the contractual terms of the loan. While on non-accrual status, based on the Company's judgment as to collectability of principal, loans are either accounted for on a cash basis, where interest income is recognized only upon actual receipt of cash, or on a cost-recovery basis, where all cash receipts reduce a loan's carrying value.</w:t>
      </w:r>
    </w:p>
    <w:p>
      <w:pPr>
        <w:spacing w:after="0" w:line="16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Certain of the Company's loans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194"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Prepayment penalties or yield maintenance payments from borrowers are recognized as additional income when received. Certain of the Company's loan investments provide for additional interest based on the borrower's operating cash flow or appreciation of the underlying collateral. Such amounts are considered contingent interest and are reflected as income only upon certainty of collection.</w:t>
      </w:r>
    </w:p>
    <w:p>
      <w:pPr>
        <w:spacing w:after="0" w:line="194" w:lineRule="exact"/>
        <w:rPr>
          <w:sz w:val="20"/>
          <w:szCs w:val="20"/>
          <w:color w:val="auto"/>
        </w:rPr>
      </w:pPr>
    </w:p>
    <w:p>
      <w:pPr>
        <w:jc w:val="both"/>
        <w:ind w:firstLine="375"/>
        <w:spacing w:after="0" w:line="298" w:lineRule="auto"/>
        <w:rPr>
          <w:sz w:val="20"/>
          <w:szCs w:val="20"/>
          <w:color w:val="auto"/>
        </w:rPr>
      </w:pPr>
      <w:r>
        <w:rPr>
          <w:rFonts w:ascii="Arial" w:cs="Arial" w:eastAsia="Arial" w:hAnsi="Arial"/>
          <w:sz w:val="16"/>
          <w:szCs w:val="16"/>
          <w:i w:val="1"/>
          <w:iCs w:val="1"/>
          <w:color w:val="auto"/>
        </w:rPr>
        <w:t xml:space="preserve">Leasing investments: </w:t>
      </w:r>
      <w:r>
        <w:rPr>
          <w:rFonts w:ascii="Arial" w:cs="Arial" w:eastAsia="Arial" w:hAnsi="Arial"/>
          <w:sz w:val="16"/>
          <w:szCs w:val="16"/>
          <w:color w:val="auto"/>
        </w:rPr>
        <w:t>Operating lease revenue is recognized on the straight-line method of accounting, generally from the later of the date the lessee takes</w:t>
      </w:r>
      <w:r>
        <w:rPr>
          <w:rFonts w:ascii="Arial" w:cs="Arial" w:eastAsia="Arial" w:hAnsi="Arial"/>
          <w:sz w:val="16"/>
          <w:szCs w:val="16"/>
          <w:i w:val="1"/>
          <w:iCs w:val="1"/>
          <w:color w:val="auto"/>
        </w:rPr>
        <w:t xml:space="preserve"> </w:t>
      </w:r>
      <w:r>
        <w:rPr>
          <w:rFonts w:ascii="Arial" w:cs="Arial" w:eastAsia="Arial" w:hAnsi="Arial"/>
          <w:sz w:val="16"/>
          <w:szCs w:val="16"/>
          <w:color w:val="auto"/>
        </w:rPr>
        <w:t>posession of the space and it is ready for its intended use or the date of acquisition of the facility subject to existing leases. Accordingly, contractual lease payment increases are recognized evenly over the term of the lease. The periodic difference between lease revenue recognized under this method and contractual lease payment terms is recorded as "Deferred operating lease income receivable" on the Company's Consolidated Balance Sheets.</w:t>
      </w:r>
    </w:p>
    <w:p>
      <w:pPr>
        <w:spacing w:after="0" w:line="16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—The reserve for loan losses reflects management's estimate of loan losses inherent in the loan portfolio as of the balance sheet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reserve is increased through the "Provision for loan losses" on the Company's Consolidated Statements of Operations and is decreased by charge-offs when losses are confirmed through the receipt of assets such as cash in a pre-foreclosure sale or via ownership control of the underlying collateral in full satisfaction of the loan upon foreclosure or when significant collection efforts have ceased. The reserve for loan losses includes a general, formula-based component and an asset-specific component.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The general, formula-based reserve component covers performing loans and reserves for loan losses are recorded when (i) available information as of each balance sheet date indicates that it is probable a loss has occurred in the portfolio and (ii) the amount of the loss can be reasonably estimated. Required reserve balances for the performing loan portfolio are derived from estimated probabilities of principal loss and loss given default severities. Estimated probabilities of principal loss and loss severities are assigned to each loan in the portfolio during the Company's quarterly internal risk rating assessment. Probabilities of principal loss and severity factors are based on industry and/or internal experience and may be adjusted for significant factors that, based on management's judgment, impact the collectability of the loans as of the balance sheet date.</w:t>
      </w:r>
    </w:p>
    <w:p>
      <w:pPr>
        <w:spacing w:after="0" w:line="174" w:lineRule="exact"/>
        <w:rPr>
          <w:sz w:val="20"/>
          <w:szCs w:val="20"/>
          <w:color w:val="auto"/>
        </w:rPr>
      </w:pPr>
    </w:p>
    <w:p>
      <w:pPr>
        <w:jc w:val="both"/>
        <w:ind w:firstLine="474"/>
        <w:spacing w:after="0" w:line="290" w:lineRule="auto"/>
        <w:rPr>
          <w:sz w:val="20"/>
          <w:szCs w:val="20"/>
          <w:color w:val="auto"/>
        </w:rPr>
      </w:pPr>
      <w:r>
        <w:rPr>
          <w:rFonts w:ascii="Arial" w:cs="Arial" w:eastAsia="Arial" w:hAnsi="Arial"/>
          <w:sz w:val="16"/>
          <w:szCs w:val="16"/>
          <w:color w:val="auto"/>
        </w:rPr>
        <w:t>The asset-specific reserve component relates to reserves for losses on impaired loans. The Company considers a loan to be impaired when, based upon current information and events, it believes that it is probable that the Company will be unable to collect all amounts due under the contractual terms of the loan agreement. A reserve is established when the present value of payments expected to be received, observable market prices, or the estimated fair value of the collateral (for loans that are dependent on the collateral for repayment) of an impaired loan is lower than the carrying value of that loan. A loan is also considered impaired if its terms are modified in a troubled debt restructuring ("TDR"). A TDR occurs when the Company grants a concession to a borrower in financial difficulty by modifying the original terms of the loan. Each of the Company's non-performing loans ("NPL's") and TDR loans are considered impaired and are evaluated individually to determine required asset-specific reserves.</w:t>
      </w:r>
    </w:p>
    <w:p>
      <w:pPr>
        <w:spacing w:after="0" w:line="166" w:lineRule="exact"/>
        <w:rPr>
          <w:sz w:val="20"/>
          <w:szCs w:val="20"/>
          <w:color w:val="auto"/>
        </w:rPr>
      </w:pPr>
    </w:p>
    <w:p>
      <w:pPr>
        <w:jc w:val="both"/>
        <w:ind w:firstLine="410"/>
        <w:spacing w:after="0" w:line="301" w:lineRule="auto"/>
        <w:rPr>
          <w:sz w:val="20"/>
          <w:szCs w:val="20"/>
          <w:color w:val="auto"/>
        </w:rPr>
      </w:pPr>
      <w:r>
        <w:rPr>
          <w:rFonts w:ascii="Arial" w:cs="Arial" w:eastAsia="Arial" w:hAnsi="Arial"/>
          <w:sz w:val="16"/>
          <w:szCs w:val="16"/>
          <w:b w:val="1"/>
          <w:bCs w:val="1"/>
          <w:color w:val="auto"/>
        </w:rPr>
        <w:t>Allowance for doubtful accounts</w:t>
      </w:r>
      <w:r>
        <w:rPr>
          <w:rFonts w:ascii="Arial" w:cs="Arial" w:eastAsia="Arial" w:hAnsi="Arial"/>
          <w:sz w:val="16"/>
          <w:szCs w:val="16"/>
          <w:color w:val="auto"/>
        </w:rPr>
        <w:t>—The allowance for doubtful accounts reflects management's estimate of losses inherent in the accrued operating lease</w:t>
      </w:r>
      <w:r>
        <w:rPr>
          <w:rFonts w:ascii="Arial" w:cs="Arial" w:eastAsia="Arial" w:hAnsi="Arial"/>
          <w:sz w:val="16"/>
          <w:szCs w:val="16"/>
          <w:b w:val="1"/>
          <w:bCs w:val="1"/>
          <w:color w:val="auto"/>
        </w:rPr>
        <w:t xml:space="preserve"> </w:t>
      </w:r>
      <w:r>
        <w:rPr>
          <w:rFonts w:ascii="Arial" w:cs="Arial" w:eastAsia="Arial" w:hAnsi="Arial"/>
          <w:sz w:val="16"/>
          <w:szCs w:val="16"/>
          <w:color w:val="auto"/>
        </w:rPr>
        <w:t>income receivable and deferred operating lease income receivable balances as of the balance sheet date. The reserve covers asset-specific problems (e.g., tenant bankruptcy) as they arise, as well as a general, formula-based reserve based on management's evaluation of the credit risks associated with these receivables. At December 31, 2009 and 2008, the total allowance for doubtful accounts was $2.8 million and $5.3 million, respectively.</w:t>
      </w:r>
    </w:p>
    <w:p>
      <w:pPr>
        <w:spacing w:after="0" w:line="157" w:lineRule="exact"/>
        <w:rPr>
          <w:sz w:val="20"/>
          <w:szCs w:val="20"/>
          <w:color w:val="auto"/>
        </w:rPr>
      </w:pPr>
    </w:p>
    <w:p>
      <w:pPr>
        <w:jc w:val="both"/>
        <w:ind w:firstLine="387"/>
        <w:spacing w:after="0" w:line="310" w:lineRule="auto"/>
        <w:rPr>
          <w:sz w:val="20"/>
          <w:szCs w:val="20"/>
          <w:color w:val="auto"/>
        </w:rPr>
      </w:pPr>
      <w:r>
        <w:rPr>
          <w:rFonts w:ascii="Arial" w:cs="Arial" w:eastAsia="Arial" w:hAnsi="Arial"/>
          <w:sz w:val="16"/>
          <w:szCs w:val="16"/>
          <w:b w:val="1"/>
          <w:bCs w:val="1"/>
          <w:color w:val="auto"/>
        </w:rPr>
        <w:t>Derivative instruments and hedging activity</w:t>
      </w:r>
      <w:r>
        <w:rPr>
          <w:rFonts w:ascii="Arial" w:cs="Arial" w:eastAsia="Arial" w:hAnsi="Arial"/>
          <w:sz w:val="16"/>
          <w:szCs w:val="16"/>
          <w:color w:val="auto"/>
        </w:rPr>
        <w:t>—The Company recognizes derivatives as either assets or liabilities on the Company's Consolidated Balance</w:t>
      </w:r>
      <w:r>
        <w:rPr>
          <w:rFonts w:ascii="Arial" w:cs="Arial" w:eastAsia="Arial" w:hAnsi="Arial"/>
          <w:sz w:val="16"/>
          <w:szCs w:val="16"/>
          <w:b w:val="1"/>
          <w:bCs w:val="1"/>
          <w:color w:val="auto"/>
        </w:rPr>
        <w:t xml:space="preserve"> </w:t>
      </w:r>
      <w:r>
        <w:rPr>
          <w:rFonts w:ascii="Arial" w:cs="Arial" w:eastAsia="Arial" w:hAnsi="Arial"/>
          <w:sz w:val="16"/>
          <w:szCs w:val="16"/>
          <w:color w:val="auto"/>
        </w:rPr>
        <w:t>Sheets at fair value.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spacing w:after="0" w:line="157"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auto"/>
        </w:rPr>
        <w:t>Derivatives, such as foreign currency hedges and interest rate caps, that are not designated hedges are considered economic hedges, with changes in fair value reported in current earnings in "Other expense" on the Company's Consolidated Statements of Operations. The Company does not enter into derivatives for trading purposes.</w:t>
      </w:r>
    </w:p>
    <w:p>
      <w:pPr>
        <w:spacing w:after="0" w:line="188" w:lineRule="exact"/>
        <w:rPr>
          <w:sz w:val="20"/>
          <w:szCs w:val="20"/>
          <w:color w:val="auto"/>
        </w:rPr>
      </w:pPr>
    </w:p>
    <w:p>
      <w:pPr>
        <w:jc w:val="both"/>
        <w:ind w:firstLine="399"/>
        <w:spacing w:after="0" w:line="320" w:lineRule="auto"/>
        <w:rPr>
          <w:sz w:val="20"/>
          <w:szCs w:val="20"/>
          <w:color w:val="auto"/>
        </w:rPr>
      </w:pPr>
      <w:r>
        <w:rPr>
          <w:rFonts w:ascii="Arial" w:cs="Arial" w:eastAsia="Arial" w:hAnsi="Arial"/>
          <w:sz w:val="15"/>
          <w:szCs w:val="15"/>
          <w:b w:val="1"/>
          <w:bCs w:val="1"/>
          <w:color w:val="auto"/>
        </w:rPr>
        <w:t>Stock-based compensation</w:t>
      </w:r>
      <w:r>
        <w:rPr>
          <w:rFonts w:ascii="Arial" w:cs="Arial" w:eastAsia="Arial" w:hAnsi="Arial"/>
          <w:sz w:val="15"/>
          <w:szCs w:val="15"/>
          <w:color w:val="auto"/>
        </w:rPr>
        <w:t>—The Company has service-based restricted stock awards which are valued based on the grant-date market value of the award</w:t>
      </w:r>
      <w:r>
        <w:rPr>
          <w:rFonts w:ascii="Arial" w:cs="Arial" w:eastAsia="Arial" w:hAnsi="Arial"/>
          <w:sz w:val="15"/>
          <w:szCs w:val="15"/>
          <w:b w:val="1"/>
          <w:bCs w:val="1"/>
          <w:color w:val="auto"/>
        </w:rPr>
        <w:t xml:space="preserve"> </w:t>
      </w:r>
      <w:r>
        <w:rPr>
          <w:rFonts w:ascii="Arial" w:cs="Arial" w:eastAsia="Arial" w:hAnsi="Arial"/>
          <w:sz w:val="15"/>
          <w:szCs w:val="15"/>
          <w:color w:val="auto"/>
        </w:rPr>
        <w:t>and market condition-based restricted stock awards which are valued based on (a) the grant-date market value of the award for equity-based awards or (b) the period-end market value for liability-based awards. Market value for the market condition-based awards is determined using a Monte Carlo simulation model to simulate a range of possible future stock prices for the Company's Common Stock. Compensation costs related to restricted stock awards are recognized ratably over the applicable vesting/service period and recorded in "General and administrative" on the Company's Consolidated Statements of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jc w:val="both"/>
        <w:ind w:firstLine="449"/>
        <w:spacing w:after="0" w:line="301" w:lineRule="auto"/>
        <w:rPr>
          <w:sz w:val="20"/>
          <w:szCs w:val="20"/>
          <w:color w:val="auto"/>
        </w:rPr>
      </w:pPr>
      <w:r>
        <w:rPr>
          <w:rFonts w:ascii="Arial" w:cs="Arial" w:eastAsia="Arial" w:hAnsi="Arial"/>
          <w:sz w:val="16"/>
          <w:szCs w:val="16"/>
          <w:b w:val="1"/>
          <w:bCs w:val="1"/>
          <w:color w:val="auto"/>
        </w:rPr>
        <w:t>Disposal of long-lived assets</w:t>
      </w:r>
      <w:r>
        <w:rPr>
          <w:rFonts w:ascii="Arial" w:cs="Arial" w:eastAsia="Arial" w:hAnsi="Arial"/>
          <w:sz w:val="16"/>
          <w:szCs w:val="16"/>
          <w:color w:val="auto"/>
        </w:rPr>
        <w:t>—The results of operations from CTL and timber assets that were sold or held for sale in the current and prior periods are</w:t>
      </w:r>
      <w:r>
        <w:rPr>
          <w:rFonts w:ascii="Arial" w:cs="Arial" w:eastAsia="Arial" w:hAnsi="Arial"/>
          <w:sz w:val="16"/>
          <w:szCs w:val="16"/>
          <w:b w:val="1"/>
          <w:bCs w:val="1"/>
          <w:color w:val="auto"/>
        </w:rPr>
        <w:t xml:space="preserve"> </w:t>
      </w:r>
      <w:r>
        <w:rPr>
          <w:rFonts w:ascii="Arial" w:cs="Arial" w:eastAsia="Arial" w:hAnsi="Arial"/>
          <w:sz w:val="16"/>
          <w:szCs w:val="16"/>
          <w:color w:val="auto"/>
        </w:rPr>
        <w:t>classified as "Income from discontinued operations" on the Company's Consolidated Statements of Operations even though such income was actually recognized by the Company prior to the asset sale. Gains from the sale of CTL and timber assets are classified as "Gain from discontinued operations" and "Gain from discontinued operations attributable to noncontrolling interests" on the Company's Consolidated Statements of Operations.</w:t>
      </w:r>
    </w:p>
    <w:p>
      <w:pPr>
        <w:spacing w:after="0" w:line="157" w:lineRule="exact"/>
        <w:rPr>
          <w:sz w:val="20"/>
          <w:szCs w:val="20"/>
          <w:color w:val="auto"/>
        </w:rPr>
      </w:pPr>
    </w:p>
    <w:p>
      <w:pPr>
        <w:jc w:val="both"/>
        <w:ind w:firstLine="447"/>
        <w:spacing w:after="0" w:line="254"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has elected to be qualified and taxed as a REIT under section 856 through 860 of the Internal Revenue Code of 1986,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"Code"). The Company is subject to federal income taxation at corporate rates on its REIT taxable income, however, the Company is allowed a deduction for the amount of dividends paid to its shareholders, thereby subjecting the distributed net income of the Company to taxation at the shareholder level only. In addition, the Company is allowed several other deductions in computing its REIT taxable income, including non-cash items such as depreciation expense and certain specific reserve amounts that the Company deems to be uncollectable. These deductions allow the Company to shelter a portion of its operating cash flow from its dividend payout requirement under federal tax laws. The Company intends to operate in a manner consistent with and to elect to be treated as a REIT for tax purposes.</w:t>
      </w:r>
    </w:p>
    <w:p>
      <w:pPr>
        <w:spacing w:after="0" w:line="201" w:lineRule="exact"/>
        <w:rPr>
          <w:sz w:val="20"/>
          <w:szCs w:val="20"/>
          <w:color w:val="auto"/>
        </w:rPr>
      </w:pPr>
    </w:p>
    <w:p>
      <w:pPr>
        <w:jc w:val="both"/>
        <w:ind w:firstLine="413"/>
        <w:spacing w:after="0" w:line="287" w:lineRule="auto"/>
        <w:rPr>
          <w:sz w:val="20"/>
          <w:szCs w:val="20"/>
          <w:color w:val="auto"/>
        </w:rPr>
      </w:pPr>
      <w:r>
        <w:rPr>
          <w:rFonts w:ascii="Arial" w:cs="Arial" w:eastAsia="Arial" w:hAnsi="Arial"/>
          <w:sz w:val="16"/>
          <w:szCs w:val="16"/>
          <w:color w:val="auto"/>
        </w:rPr>
        <w:t>The Company can participate in certain activities from which it was previously precluded in order to maintain its qualification as a REIT, as long as these activities are conducted in entities which elect to be treated as taxable subsidiaries under the Code, subject to certain limitations. As such, the Company, through its taxable REIT subsidiaries ("TRSs"), is engaged in various real estate related opportunities, including but not limited to: (1) managing corporate credit-oriented investment strategies; (2) certain activities related to the purchase and sale of timber and timberlands; (3) servicing certain loan portfolios; and (4) managing activities related to certain foreclosed assets. The Company will consider other investments through TRS entities if suitable opportunities arise. The Company's TRS entities are not consolidated for federal income tax purposes and are taxed as corporations. For financial reporting purposes, current and deferred taxes are provided for in the portion of earnings recognized by the Company with respect to its interest in TRS entities. For the years ended December 31, 2009, 2008 and 2007, the Company recorded total income tax expense of $4.1 million, $10.2 million and $7.0 million, respectively which was included in "Other expense" on the Company's Consolidated Statements of Operations. The Company also recognizes interest expense and penalties related to uncertain tax positions, if any, as income tax expense, included in "Other expense" on the Company's Consolidated Statements Operations.</w:t>
      </w:r>
    </w:p>
    <w:p>
      <w:pPr>
        <w:spacing w:after="0" w:line="177" w:lineRule="exact"/>
        <w:rPr>
          <w:sz w:val="20"/>
          <w:szCs w:val="20"/>
          <w:color w:val="auto"/>
        </w:rPr>
      </w:pPr>
    </w:p>
    <w:p>
      <w:pPr>
        <w:jc w:val="both"/>
        <w:ind w:firstLine="515"/>
        <w:spacing w:after="0" w:line="289"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 of assets and liabilities for financial reporting purposes and the amounts used for income tax purposes, as well as operating loss and tax credit carryforwards. At December 31, 2009 and 2008, the Company had net deferred tax liabilities of $9.3 million and $6.9 million, respectively, included in "Accounts payable, accrued expenses and other liabilities" on the Company's Consolidated Balance Sheets. These deferred tax liabilities are primarily due to timing differences relating to an equity method investment. At December 31, 2009 and 2008, the Company had net deferred tax assets of $0.1 million and $1.4 million, respectively, included in "Deferred expenses and other assets, net" on the Company's Consolidated Balance Sheets. At December 31, 2009 and 2008, deferred tax assets of $19.0 million and $12.1 million, respectively, consisted primarily of expenses not currently deductible and net operating loss carryforwards, and were offset by valuation allowances of $18.9 million and $10.8 million,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These valuation allowances were established based on the Company's conclusion that it is more likely than not that the deductions and carryforwards will not be utilized during the carryforward periods.</w:t>
      </w:r>
    </w:p>
    <w:p>
      <w:pPr>
        <w:spacing w:after="0" w:line="180" w:lineRule="exact"/>
        <w:rPr>
          <w:sz w:val="20"/>
          <w:szCs w:val="20"/>
          <w:color w:val="auto"/>
        </w:rPr>
      </w:pPr>
    </w:p>
    <w:p>
      <w:pPr>
        <w:jc w:val="both"/>
        <w:ind w:firstLine="459"/>
        <w:spacing w:after="0" w:line="291" w:lineRule="auto"/>
        <w:rPr>
          <w:sz w:val="20"/>
          <w:szCs w:val="20"/>
          <w:color w:val="auto"/>
        </w:rPr>
      </w:pPr>
      <w:r>
        <w:rPr>
          <w:rFonts w:ascii="Arial" w:cs="Arial" w:eastAsia="Arial" w:hAnsi="Arial"/>
          <w:sz w:val="16"/>
          <w:szCs w:val="16"/>
          <w:b w:val="1"/>
          <w:bCs w:val="1"/>
          <w:color w:val="auto"/>
        </w:rPr>
        <w:t>Earnings per share</w:t>
      </w:r>
      <w:r>
        <w:rPr>
          <w:rFonts w:ascii="Arial" w:cs="Arial" w:eastAsia="Arial" w:hAnsi="Arial"/>
          <w:sz w:val="16"/>
          <w:szCs w:val="16"/>
          <w:color w:val="auto"/>
        </w:rPr>
        <w:t>—The Company uses the two-class method in calculating EPS when it issues securities other than common stock that contractually</w:t>
      </w:r>
      <w:r>
        <w:rPr>
          <w:rFonts w:ascii="Arial" w:cs="Arial" w:eastAsia="Arial" w:hAnsi="Arial"/>
          <w:sz w:val="16"/>
          <w:szCs w:val="16"/>
          <w:b w:val="1"/>
          <w:bCs w:val="1"/>
          <w:color w:val="auto"/>
        </w:rPr>
        <w:t xml:space="preserve"> </w:t>
      </w:r>
      <w:r>
        <w:rPr>
          <w:rFonts w:ascii="Arial" w:cs="Arial" w:eastAsia="Arial" w:hAnsi="Arial"/>
          <w:sz w:val="16"/>
          <w:szCs w:val="16"/>
          <w:color w:val="auto"/>
        </w:rPr>
        <w:t>entitle the holder to participate in dividends and earnings of the company when, and if, the company declares dividends on its common stock. Vested HPU shares are entitled to dividends of the Company when dividends are declared. Basic earnings per share ("Basic EPS") for the Company's Common Stock and HPU shares are computed by dividing net income allocable to common shareholders and HPU holders by the weighted average number of shares of Common Stock and HPU shares outstanding for the period, respectively. Diluted earnings per share ("Diluted EPS") is calculated similarly, however, it reflects the potential dilution that could occur if securities or other contracts to issue common stock were exercised or converted into common stock, where such exercise or conversion would result in a lower earnings per share amount.</w:t>
      </w:r>
    </w:p>
    <w:p>
      <w:pPr>
        <w:spacing w:after="0" w:line="173" w:lineRule="exact"/>
        <w:rPr>
          <w:sz w:val="20"/>
          <w:szCs w:val="20"/>
          <w:color w:val="auto"/>
        </w:rPr>
      </w:pPr>
    </w:p>
    <w:p>
      <w:pPr>
        <w:jc w:val="both"/>
        <w:ind w:firstLine="519"/>
        <w:spacing w:after="0" w:line="256" w:lineRule="auto"/>
        <w:rPr>
          <w:sz w:val="20"/>
          <w:szCs w:val="20"/>
          <w:color w:val="auto"/>
        </w:rPr>
      </w:pPr>
      <w:r>
        <w:rPr>
          <w:rFonts w:ascii="Arial" w:cs="Arial" w:eastAsia="Arial" w:hAnsi="Arial"/>
          <w:sz w:val="18"/>
          <w:szCs w:val="18"/>
          <w:color w:val="auto"/>
        </w:rPr>
        <w:t>Unvested share-based payment awards that contain non-forfeitable rights to dividends or dividend equivalents (whether paid or unpaid) are deemed a ("Participating Security") and are included in the computation of earnings per share pursuant to the two-class method. The Company's unvested restricted stock units with rights to dividends and common stock equivalents issued under its Long-Term Incentive Plans are considered participating securities and have been included in the two-class method when calculating EPS.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In June 2009, the FASB issued Statement of Financial Accounting Standards ("SFAS") No. 168, "The FASB Accounting Standards Codification™ and the Hierarchy of Generally Accepted Accounting Principles—a replacement of FASB Statement No. 162" ("ASC 105-10-65-1"). This guidance requires the FASB Accounting Standards Codification™ ("Codification" or "ASC") to become the single official source of authoritative, nongovernmental GAAP. The Codification is effective for interim and annual periods ending on or after September 15, 2009. The Company has adopted ASC 105-10-65-1 for the period ended September 30, 2009, as required, and has included references to the Codification, as appropriate, in the Consolidated Financial Statements.</w:t>
      </w:r>
    </w:p>
    <w:p>
      <w:pPr>
        <w:spacing w:after="0" w:line="170" w:lineRule="exact"/>
        <w:rPr>
          <w:sz w:val="20"/>
          <w:szCs w:val="20"/>
          <w:color w:val="auto"/>
        </w:rPr>
      </w:pPr>
    </w:p>
    <w:p>
      <w:pPr>
        <w:jc w:val="both"/>
        <w:ind w:firstLine="385"/>
        <w:spacing w:after="0" w:line="290" w:lineRule="auto"/>
        <w:rPr>
          <w:sz w:val="20"/>
          <w:szCs w:val="20"/>
          <w:color w:val="auto"/>
        </w:rPr>
      </w:pPr>
      <w:r>
        <w:rPr>
          <w:rFonts w:ascii="Arial" w:cs="Arial" w:eastAsia="Arial" w:hAnsi="Arial"/>
          <w:sz w:val="16"/>
          <w:szCs w:val="16"/>
          <w:color w:val="auto"/>
        </w:rPr>
        <w:t>In June 2009, the FASB issued SFAS No. 167, "Amendments to FASB Interpretation No. 46(R)" ("ASC 810-10-65-2"), which eliminates the exemption for qualifying special purpose entities, creates a new approach for determining who should consolidate a variable-interest entity and requires an ongoing reassessment to determine if a Company should consolidate a variable interest entity. In addition, troubled debt restructurings will no longer be exempt from reconsideration events. The standard is effective through a cumulative-effect adjustment (with a retroactive option) at adoption and is effective for interim and annual periods beginning after November 15, 2009. The Company will adopt SFAS No. 167 on January 1, 2010, as required. As a result of implementing this new accounting standard, certain VIEs that are currently consolidated may be deconsolidated and certain VIEs that are currently not consolidated may be consolidated. The Company is currently evaluating the impact of this adoption on its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In June 2009, the FASB issued SFAS No. 166, "Accounting for Transfers of Financial Assets—an amendment of FASB Statement No. 140" ("ASC 860-10-65-3"), which eliminates the qualifying special-purpose entity concept, creates a new unit of account definition that must be met for transfers of portions of financial assets to be eligible for sale accounting, clarifies and changes the de-recognition criteria for a transfer to be accounted for as a sale, changes the amount of recognized gain or loss on a transfer of financial assets accounted for as a sale when beneficial interests are received by the transferor and requires new disclosures. The new standard is effective prospectively for transfers of financial assets occurring in interim and annual periods beginning after November 15, 2009. The Company will adopt ASC 860-10-65-3 on January 1, 2010, as required, and is currently evaluating the impact of this adoption on its Consolidated Financial Statements.</w:t>
      </w:r>
    </w:p>
    <w:p>
      <w:pPr>
        <w:spacing w:after="0" w:line="201" w:lineRule="exact"/>
        <w:rPr>
          <w:sz w:val="20"/>
          <w:szCs w:val="20"/>
          <w:color w:val="auto"/>
        </w:rPr>
      </w:pPr>
    </w:p>
    <w:p>
      <w:pPr>
        <w:jc w:val="both"/>
        <w:ind w:firstLine="379"/>
        <w:spacing w:after="0" w:line="287" w:lineRule="auto"/>
        <w:rPr>
          <w:sz w:val="20"/>
          <w:szCs w:val="20"/>
          <w:color w:val="auto"/>
        </w:rPr>
      </w:pPr>
      <w:r>
        <w:rPr>
          <w:rFonts w:ascii="Arial" w:cs="Arial" w:eastAsia="Arial" w:hAnsi="Arial"/>
          <w:sz w:val="16"/>
          <w:szCs w:val="16"/>
          <w:color w:val="auto"/>
        </w:rPr>
        <w:t>In April 2009, the FASB issued FSPs FAS 115-2 and FAS 124-2, "Recognition and Presentation of Other-Than-Temporary Impairments" ("ASC 320-10-65-1"), which changes the method for determining whether an other-than-temporary impairment exists for debt securities and the amount of impairment charge to be recorded in earnings. To determine whether an other-than-temporary impairment exists, an entity will assess the likelihood of selling the security prior to recovering its cost basis, a change from the current requirements where an entity assesses whether it has the intent and ability to hold a security to recovery. If the criteria is met to assert that an entity has the positive intent to hold and it is more likely than not it will not have to sell the security before recovery, impairment charges related to credit losses would be recognized in earnings, while impairment charges related to non-credit loss (e.g. liquidity risk) would be reflected in other comprehensive income. Upon adoption, changes in assertions may require cumulative effect adjustments to the opening balance of retained earnings. ASC 320-10-65-1 is effective for interim and annual reporting periods ending after June 15, 2009. The Company adopted the standard in the period ended June 30, 2009, as required, and it did not have a significant impact on the Company's Consolidated Financial Statements. See Note 4 for additional disclosures required by the adoption of this standard.</w:t>
      </w:r>
    </w:p>
    <w:p>
      <w:pPr>
        <w:spacing w:after="0" w:line="177"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In April 2009, the FASB issued FSP FAS 141(R)-1, "Accounting for Assets Acquired and Liabilities Assumed in a Business Combination That Arise from Contingencies" ("ASC 805-10-65-1"), which amends provisions related to the initial recognition and measurement, subsequent measurement and disclosures of assets and liabilities arising from contingencies in a business combination. The amendment carries forward the requirements for acquired contingencies under ASC 805, "Business Combinations," which recognizes contingencies at fair value on the acquisition date, if fair value can be reasonably estimated during the allocation period. In addition, the amendment eliminates the requirement to disclose an estimate of the range of outcomes for recognized contingencies at the acquisition date. This guidance is effective for all business combinations on or after January 1, 2009. The Company adopted ASC 805-10-65-1 on January 1, 2009, as required, and it did not have a significant impact on the Company's Consolidated Financial Statements.</w:t>
      </w:r>
    </w:p>
    <w:p>
      <w:pPr>
        <w:spacing w:after="0" w:line="172" w:lineRule="exact"/>
        <w:rPr>
          <w:sz w:val="20"/>
          <w:szCs w:val="20"/>
          <w:color w:val="auto"/>
        </w:rPr>
      </w:pPr>
    </w:p>
    <w:p>
      <w:pPr>
        <w:jc w:val="both"/>
        <w:ind w:firstLine="505"/>
        <w:spacing w:after="0" w:line="298" w:lineRule="auto"/>
        <w:rPr>
          <w:sz w:val="20"/>
          <w:szCs w:val="20"/>
          <w:color w:val="auto"/>
        </w:rPr>
      </w:pPr>
      <w:r>
        <w:rPr>
          <w:rFonts w:ascii="Arial" w:cs="Arial" w:eastAsia="Arial" w:hAnsi="Arial"/>
          <w:sz w:val="16"/>
          <w:szCs w:val="16"/>
          <w:color w:val="auto"/>
        </w:rPr>
        <w:t>In June 2008, the FASB issued FSP EITF 03-6-1, "Determining Whether Instruments Granted in Share-Based Payment Transactions Are Participating Securities" ("ASC 260-10-65-2"). This guidance addresses whether instruments granted in share-based payment transactions are participating securities prior to vesting and, therefore, need to be included in the earnings allocation in calculating earnings per share under the two-class method. Under this guidance, unvested share-based payment awards that contain non-forfeitable rights to dividends or dividend equivalents (whether paid or unpaid) are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participating securities and shall be included in the computation of earnings per share pursuant to the two-class method. This guidance is effective for financial statements issued for fiscal years beginning after December 15, 2008, and interim periods within those years. All prior-period EPS data presented shall be adjusted retrospectively (including interim financial statements) to conform to the provisions of this FSP. The Company adopted this standard on January 1, 2009, as required. See Note 14 for further details on the impact of the adoption of this Staff Position.</w:t>
      </w:r>
    </w:p>
    <w:p>
      <w:pPr>
        <w:spacing w:after="0" w:line="167"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In May 2008, the FASB issued FSP APB 14-1, "Accounting for Convertible Debt Instruments That May Be Settled in Cash Upon Conversion (Including Partial Cash Settlement)" ("ASC 470-20-65-1"). This guidance requires the initial proceeds from convertible debt that may be settled in cash be bifurcated between a liability component and an equity component. The objective of the guidance is to require the liability and equity components of convertible debt to be separately accounted for in a manner such that the interest expense recorded on the convertible debt would not equal the contractual rate of interest on the convertible debt, but instead would be recorded at a rate that would reflect the issuer's conventional non-convertible debt borrowing rate at the date of issuance. This is accomplished through the creation of a discount on the debt that would be accreted using the effective interest method as additional non-cash interest expense over the period the debt is expected to remain outstanding. The provisions of this guidance will be applied retrospectively to all periods presented for fiscal years beginning after December 31, 2008. Upon adoption, on January 1, 2009, the Company adjusted its Consolidated Balance Sheet as of December 31, 2007 (inception of the Convertible Note) by reducing the carrying value of the debt and increasing additional paid-in capital by $36.5 million which represented the value of the conversion feature. The Consolidated Statements of Operations for the years ended December 31, 2008 and 2007 were retroactively adjusted to include an additional $6.4 million and $1.5 million, respectively, of interest expense from the adoption of the guidance. See Notes 9 and 14 for further details on the impact of the adoption of this guidance.</w:t>
      </w:r>
    </w:p>
    <w:p>
      <w:pPr>
        <w:spacing w:after="0" w:line="178"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In April 2008, the FASB issued FSP FAS 142-3, "Determination of the Useful Life of Intangible Assets" ("ASC 350-30-65-1"). This guidance will remove the requirement for an entity to consider whether the intangible asset can be renewed without substantial cost or material modifications to the existing terms and conditions associated with the intangible asset when determining the useful life of an acquired intangible asset. The standard replaces the previous useful-life assessment criteria with a requirement that an entity considers its own experience in renewing similar arrangements. If the entity has no relevant experience, it would consider market participant assumptions regarding renewal. This guidance is effective prospectively for financial statements issued for fiscal years beginning after December 15, 2008, and interim periods within those fiscal years. Early adoption was prohibited. The Company adopted this guidance on January 1, 2009, as required, and it did not have a significant impact on the Company's Consolidated Financial Statements.</w:t>
      </w:r>
    </w:p>
    <w:p>
      <w:pPr>
        <w:spacing w:after="0" w:line="172" w:lineRule="exact"/>
        <w:rPr>
          <w:sz w:val="20"/>
          <w:szCs w:val="20"/>
          <w:color w:val="auto"/>
        </w:rPr>
      </w:pPr>
    </w:p>
    <w:p>
      <w:pPr>
        <w:jc w:val="both"/>
        <w:ind w:firstLine="451"/>
        <w:spacing w:after="0" w:line="254"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Activities—an amendment of FASB Statement No. 133" ("ASC 815-10-65-1"). This guidance requires companies to provide enhanced disclosures regarding derivative instruments and hedging activities. It requires companies to better convey the purpose of derivative use in terms of the risks that the Company is intending to manage. Disclosures about (a) how and why an entity uses derivative instruments, (b) how derivative instruments and related hedged items are accounted for, and (c) how derivative instruments and related hedged items affect a company's financial position, financial performance, and cash flows are required. This guidance is effective for fiscal years and interim periods beginning after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November 15, 2008 and does not require comparative period disclosures in the year of adoption. The Company adopted ASC 815-10-65-1 on January 1, 2009, as required, and it did not have a significant impact on the Company's Consolidated Financial Statements. Throughout 2008 and 2009, the Company has significantly reduced its derivative activities.</w:t>
      </w:r>
    </w:p>
    <w:p>
      <w:pPr>
        <w:spacing w:after="0" w:line="194" w:lineRule="exact"/>
        <w:rPr>
          <w:sz w:val="20"/>
          <w:szCs w:val="20"/>
          <w:color w:val="auto"/>
        </w:rPr>
      </w:pPr>
    </w:p>
    <w:p>
      <w:pPr>
        <w:jc w:val="both"/>
        <w:ind w:firstLine="470"/>
        <w:spacing w:after="0" w:line="294" w:lineRule="auto"/>
        <w:rPr>
          <w:sz w:val="20"/>
          <w:szCs w:val="20"/>
          <w:color w:val="auto"/>
        </w:rPr>
      </w:pPr>
      <w:r>
        <w:rPr>
          <w:rFonts w:ascii="Arial" w:cs="Arial" w:eastAsia="Arial" w:hAnsi="Arial"/>
          <w:sz w:val="16"/>
          <w:szCs w:val="16"/>
          <w:color w:val="auto"/>
        </w:rPr>
        <w:t>In February 2008, the FASB issued FSP 157-2, "Effective Date of FASB Statement No. 157" ("ASC 820-10-65-1"). This guidance provided a one-year deferral of the effective date of fair value measurements and disclosures for all non-financial assets and non-financial liabilities, except those that are recognized or disclosed at fair value in the financial statements on a recurring basis. These non-financial items include assets and liabilities such as reporting units measured at fair value in a goodwill impairment test and non-financial assets acquired and liabilities assumed in a business combination. The Company adopted the provisions of ASC 820-10-65-1 on January 1, 2009, as required. See Note 16 for additional disclosures required by the adoption of this standard.</w:t>
      </w:r>
    </w:p>
    <w:p>
      <w:pPr>
        <w:spacing w:after="0" w:line="170" w:lineRule="exact"/>
        <w:rPr>
          <w:sz w:val="20"/>
          <w:szCs w:val="20"/>
          <w:color w:val="auto"/>
        </w:rPr>
      </w:pPr>
    </w:p>
    <w:p>
      <w:pPr>
        <w:jc w:val="both"/>
        <w:ind w:firstLine="538"/>
        <w:spacing w:after="0" w:line="291" w:lineRule="auto"/>
        <w:rPr>
          <w:sz w:val="20"/>
          <w:szCs w:val="20"/>
          <w:color w:val="auto"/>
        </w:rPr>
      </w:pPr>
      <w:r>
        <w:rPr>
          <w:rFonts w:ascii="Arial" w:cs="Arial" w:eastAsia="Arial" w:hAnsi="Arial"/>
          <w:sz w:val="16"/>
          <w:szCs w:val="16"/>
          <w:color w:val="auto"/>
        </w:rPr>
        <w:t>In December 2007, the FASB issued SFAS No. 141(R), "Business Combinations" ("ASC 805-10-65-1"). ASC 805-10-65-1 expands the definition of transactions and events that qualify as business combinations, requires that the acquired assets and liabilities, including contingencies, be recorded at the fair value determined on the acquisition date and changes thereafter are reflected in revenue, not goodwill; changes the recognition timing for restructuring costs, and requires acquisition costs to be expensed as incurred. Adoption of this guidance is required for combinations made in annual reporting periods on or after December 15, 2008. Early adoption and retroactive application of ASC 805-10-65-1 to fiscal years preceding the effective date are not permitted. The Company adopted this guidance on January 1, 2009, as required, and it did not have a significant impact on the Company's Consolidated Financial Statements.</w:t>
      </w:r>
    </w:p>
    <w:p>
      <w:pPr>
        <w:spacing w:after="0" w:line="174" w:lineRule="exact"/>
        <w:rPr>
          <w:sz w:val="20"/>
          <w:szCs w:val="20"/>
          <w:color w:val="auto"/>
        </w:rPr>
      </w:pPr>
    </w:p>
    <w:p>
      <w:pPr>
        <w:jc w:val="both"/>
        <w:ind w:firstLine="403"/>
        <w:spacing w:after="0" w:line="286"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("ASC 810-10-65-1"). This guidance re-characterizes minority interests in consolidated subsidiaries as noncontrolling interests and requires the classification of minority interests as a component of equity. Under this guidance, a change in control is measured at fair value, with any gain or loss recognized in earnings. The effective date for this guidance is for annual periods beginning on or after December 15, 2008. Early adoption and retroactive application of ASC 810-10-65-1 to fiscal years preceding the effective date are not permitted. The Company adopted this standard on January 1, 2009, as required, and reclassified the carrying value of certain noncontrolling interests (previously referred to as minority interests) from the mezzanine section of the balance sheet to equity. Net income on the Consolidated Statements of Operations now includes the operating results of both the Company and its related noncontrolling interest holders. In accordance with ASC 480-10, "Distinguishing Liabilities and Equity," subsidiaries where the noncontrolling interest holder has certain redemption rights have been classified as "Redeemable noncontrolling interests" on the Consolidated Balance Sheets and their related operating income or loss have been included in "Net (income) loss attributable to noncontrolling interests" on the Consolidated Statements of Operations. See Note 11 for additional disclosures required by the adoption of this standard.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Company's loans and other lending investments ($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As of December 31, 2009</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As of December 31, 2008</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Non-</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7"/>
              </w:rPr>
              <w:t>Non-</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Loan</w:t>
            </w: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Performing</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Loan</w:t>
            </w:r>
          </w:p>
        </w:tc>
        <w:tc>
          <w:tcPr>
            <w:tcW w:w="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performing</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Loan</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Performing</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Loan</w:t>
            </w:r>
          </w:p>
        </w:tc>
        <w:tc>
          <w:tcPr>
            <w:tcW w:w="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performing</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Type of Investment(1)</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Count</w:t>
            </w:r>
          </w:p>
        </w:tc>
        <w:tc>
          <w:tcPr>
            <w:tcW w:w="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Loans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8"/>
              </w:rPr>
              <w:t>Count</w:t>
            </w:r>
          </w:p>
        </w:tc>
        <w:tc>
          <w:tcPr>
            <w:tcW w:w="6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Loans(2)</w:t>
            </w:r>
          </w:p>
        </w:tc>
        <w:tc>
          <w:tcPr>
            <w:tcW w:w="12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8"/>
              </w:rPr>
              <w:t>Count</w:t>
            </w: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Loans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8"/>
              </w:rPr>
              <w:t>Count</w:t>
            </w:r>
          </w:p>
        </w:tc>
        <w:tc>
          <w:tcPr>
            <w:tcW w:w="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Loans(2)</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5"/>
              </w:rPr>
              <w:t>Senior Mortgages</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$3,791,633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$ 4,049,300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7,840,933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$ 7,195,752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$ 3,363,464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$ 10,559,216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Subordinate Mortgages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401,532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89,881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491,413</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575,942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13,624</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Corporate/Partnership</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887,555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1,354,872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81,069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1,435,941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gridSpan w:val="2"/>
            <w:vMerge w:val="restart"/>
          </w:tcPr>
          <w:p>
            <w:pPr>
              <w:ind w:left="120"/>
              <w:spacing w:after="0"/>
              <w:rPr>
                <w:sz w:val="20"/>
                <w:szCs w:val="20"/>
                <w:color w:val="auto"/>
              </w:rPr>
            </w:pPr>
            <w:r>
              <w:rPr>
                <w:rFonts w:ascii="Arial" w:cs="Arial" w:eastAsia="Arial" w:hAnsi="Arial"/>
                <w:sz w:val="18"/>
                <w:szCs w:val="18"/>
                <w:color w:val="auto"/>
              </w:rPr>
              <w:t>Managed Loan</w:t>
            </w: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Value(3)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5,080,720</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4,209,255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9,289,975</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9,126,566</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3,458,157</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12,584,723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Participated portion of</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loans(3)</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(174,936)</w:t>
            </w:r>
          </w:p>
        </w:tc>
        <w:tc>
          <w:tcPr>
            <w:tcW w:w="4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(298,333)</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(473,269)</w:t>
            </w:r>
          </w:p>
        </w:tc>
        <w:tc>
          <w:tcPr>
            <w:tcW w:w="4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(948,585)</w:t>
            </w:r>
          </w:p>
        </w:tc>
        <w:tc>
          <w:tcPr>
            <w:tcW w:w="4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(349,359)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(1,297,944)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 Loans</w:t>
            </w: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$4,905,784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$ 3,910,922</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8,816,706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1"/>
              </w:rPr>
              <w:t>$ 8,177,981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$ 3,108,798</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11,286,779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Reserves for loan losses</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(1,417,949)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(976,788)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 Loans, net</w:t>
            </w: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7,398,757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10,309,991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lending</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276,653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gridSpan w:val="2"/>
            <w:vMerge w:val="restart"/>
          </w:tcPr>
          <w:p>
            <w:pPr>
              <w:ind w:left="120"/>
              <w:spacing w:after="0"/>
              <w:rPr>
                <w:sz w:val="20"/>
                <w:szCs w:val="20"/>
                <w:color w:val="auto"/>
              </w:rPr>
            </w:pPr>
            <w:r>
              <w:rPr>
                <w:rFonts w:ascii="Arial" w:cs="Arial" w:eastAsia="Arial" w:hAnsi="Arial"/>
                <w:sz w:val="18"/>
                <w:szCs w:val="18"/>
                <w:color w:val="auto"/>
                <w:w w:val="91"/>
              </w:rPr>
              <w:t>Total Loans and other</w:t>
            </w: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lending</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investments, net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7,661,562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$ 10,586,644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2522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line="239" w:lineRule="auto"/>
        <w:tabs>
          <w:tab w:leader="none" w:pos="1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Loans and other lending investments are presented net of unearned income, unamortized discounts and premiums and net unamortized deferred fees and costs. In total, these amounts represented a net discount of $97.0 million and $109.8 million as of December 31, 2009 and 2008, respectively.</w:t>
      </w:r>
    </w:p>
    <w:p>
      <w:pPr>
        <w:spacing w:after="0" w:line="111"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Non-performing loans have been determined to be impaired in accordance with the Company's policy and are on non-accrual status (see Note 3). As of December 31, 2009 and 2008, the Company had non-accrual loans with a total carrying value of $4.13 billion and $3.11 billion, respectively, which included non-performing loans and certain loans that were restructured in troubled debt restructurings.</w:t>
      </w:r>
    </w:p>
    <w:p>
      <w:pPr>
        <w:spacing w:after="0" w:line="111"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Managed Loan Value represents the Company's carrying value of a loan and the outstanding participation interest on loans in the Fremont CRE portfolio (see Fremont Participation below). The structure of the participation puts the Company in the first loss position on these participated loans and Managed Loan Value is the most relevant measure of the Company's exposure to risk of loss on loans in the Fremont CRE portfolio.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80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5760" w:type="dxa"/>
            <w:vAlign w:val="bottom"/>
          </w:tcPr>
          <w:p>
            <w:pPr>
              <w:ind w:left="2680"/>
              <w:spacing w:after="0"/>
              <w:rPr>
                <w:sz w:val="20"/>
                <w:szCs w:val="20"/>
                <w:color w:val="auto"/>
              </w:rPr>
            </w:pPr>
            <w:r>
              <w:rPr>
                <w:rFonts w:ascii="Arial" w:cs="Arial" w:eastAsia="Arial" w:hAnsi="Arial"/>
                <w:sz w:val="18"/>
                <w:szCs w:val="18"/>
                <w:b w:val="1"/>
                <w:bCs w:val="1"/>
                <w:color w:val="auto"/>
              </w:rPr>
              <w:t>iStar Financial Inc.</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760" w:type="dxa"/>
            <w:vAlign w:val="bottom"/>
          </w:tcPr>
          <w:p>
            <w:pPr>
              <w:ind w:left="1300"/>
              <w:spacing w:after="0"/>
              <w:rPr>
                <w:sz w:val="20"/>
                <w:szCs w:val="20"/>
                <w:color w:val="auto"/>
              </w:rPr>
            </w:pPr>
            <w:r>
              <w:rPr>
                <w:rFonts w:ascii="Arial" w:cs="Arial" w:eastAsia="Arial" w:hAnsi="Arial"/>
                <w:sz w:val="18"/>
                <w:szCs w:val="18"/>
                <w:b w:val="1"/>
                <w:bCs w:val="1"/>
                <w:color w:val="auto"/>
                <w:w w:val="92"/>
              </w:rPr>
              <w:t>Notes to Consolidated Financial Statements (Continued)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Note 4—Loans and Other Lending Investments, net (Continued)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3"/>
          </w:tcPr>
          <w:p>
            <w:pPr>
              <w:ind w:left="360"/>
              <w:spacing w:after="0"/>
              <w:rPr>
                <w:sz w:val="20"/>
                <w:szCs w:val="20"/>
                <w:color w:val="auto"/>
              </w:rPr>
            </w:pPr>
            <w:r>
              <w:rPr>
                <w:rFonts w:ascii="Arial" w:cs="Arial" w:eastAsia="Arial" w:hAnsi="Arial"/>
                <w:sz w:val="18"/>
                <w:szCs w:val="18"/>
                <w:color w:val="auto"/>
              </w:rPr>
              <w:t>Changes in the Company's reserve for loan losses were as follows (in thousands):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104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December 31, 2006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(19,291)</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6800" w:type="dxa"/>
            <w:vAlign w:val="bottom"/>
            <w:gridSpan w:val="2"/>
            <w:vMerge w:val="restart"/>
          </w:tcPr>
          <w:p>
            <w:pPr>
              <w:ind w:left="1040"/>
              <w:spacing w:after="0"/>
              <w:rPr>
                <w:sz w:val="20"/>
                <w:szCs w:val="20"/>
                <w:color w:val="auto"/>
              </w:rPr>
            </w:pPr>
            <w:r>
              <w:rPr>
                <w:rFonts w:ascii="Arial" w:cs="Arial" w:eastAsia="Arial" w:hAnsi="Arial"/>
                <w:sz w:val="18"/>
                <w:szCs w:val="18"/>
                <w:b w:val="1"/>
                <w:bCs w:val="1"/>
                <w:color w:val="auto"/>
              </w:rPr>
              <w:t>Reserve for loan losses, December 31, 2007</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68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1,029,322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(270,444)</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December 31, 2008(1)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976,788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1,255,357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(814,196)</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6800" w:type="dxa"/>
            <w:vAlign w:val="bottom"/>
            <w:gridSpan w:val="2"/>
            <w:vMerge w:val="restart"/>
          </w:tcPr>
          <w:p>
            <w:pPr>
              <w:ind w:left="1040"/>
              <w:spacing w:after="0"/>
              <w:rPr>
                <w:sz w:val="20"/>
                <w:szCs w:val="20"/>
                <w:color w:val="auto"/>
              </w:rPr>
            </w:pPr>
            <w:r>
              <w:rPr>
                <w:rFonts w:ascii="Arial" w:cs="Arial" w:eastAsia="Arial" w:hAnsi="Arial"/>
                <w:sz w:val="18"/>
                <w:szCs w:val="18"/>
                <w:b w:val="1"/>
                <w:bCs w:val="1"/>
                <w:color w:val="auto"/>
              </w:rPr>
              <w:t>Reserve for loan losses, December 31, 2009(1)</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8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1,417,949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15265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840" w:hanging="550"/>
        <w:spacing w:after="0" w:line="239" w:lineRule="auto"/>
        <w:tabs>
          <w:tab w:leader="none" w:pos="28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Total reserve for loan losses at December 31, 2009 and 2008, included asset specific reserves of $1.24 billion and $799.6 million, respectively, and general reserves of $174.9 million and $177.2 million, respectively (see Note 3).</w:t>
      </w:r>
    </w:p>
    <w:p>
      <w:pPr>
        <w:spacing w:after="0" w:line="195" w:lineRule="exact"/>
        <w:rPr>
          <w:sz w:val="20"/>
          <w:szCs w:val="20"/>
          <w:color w:val="auto"/>
        </w:rPr>
      </w:pPr>
    </w:p>
    <w:p>
      <w:pPr>
        <w:jc w:val="both"/>
        <w:ind w:firstLine="381"/>
        <w:spacing w:after="0" w:line="254" w:lineRule="auto"/>
        <w:rPr>
          <w:sz w:val="20"/>
          <w:szCs w:val="20"/>
          <w:color w:val="auto"/>
        </w:rPr>
      </w:pPr>
      <w:r>
        <w:rPr>
          <w:rFonts w:ascii="Arial" w:cs="Arial" w:eastAsia="Arial" w:hAnsi="Arial"/>
          <w:sz w:val="18"/>
          <w:szCs w:val="18"/>
          <w:color w:val="auto"/>
        </w:rPr>
        <w:t>During the year ended December 31, 2009, the Company funded $1.22 billion under existing loan commitments and received gross principal repayments of $1.85 billion, a portion of which was allocable to the Fremont Participation (as defined below). During the same period, the Company sold loans with a total carrying value of $875.8 million, for which it recognized charge-offs of $155.1 million. In addition, during 2009 the Company received title to properties in full or partial satisfaction of non-performing mortgage loans with a carrying value of $1.88 billion for which the properties had served as collateral, and recorded charge-offs totaling $573.6 million, related to these loans. These properties were recorded as OREO and REHI on the Company's Consolidated Balance Sheets (see Note 5).</w:t>
      </w:r>
    </w:p>
    <w:p>
      <w:pPr>
        <w:spacing w:after="0" w:line="198" w:lineRule="exact"/>
        <w:rPr>
          <w:sz w:val="20"/>
          <w:szCs w:val="20"/>
          <w:color w:val="auto"/>
        </w:rPr>
      </w:pPr>
    </w:p>
    <w:p>
      <w:pPr>
        <w:jc w:val="both"/>
        <w:ind w:firstLine="430"/>
        <w:spacing w:after="0" w:line="254" w:lineRule="auto"/>
        <w:rPr>
          <w:sz w:val="20"/>
          <w:szCs w:val="20"/>
          <w:color w:val="auto"/>
        </w:rPr>
      </w:pPr>
      <w:r>
        <w:rPr>
          <w:rFonts w:ascii="Arial" w:cs="Arial" w:eastAsia="Arial" w:hAnsi="Arial"/>
          <w:sz w:val="18"/>
          <w:szCs w:val="18"/>
          <w:color w:val="auto"/>
        </w:rPr>
        <w:t>The carrying value of impaired loans was $4.20 billion and $3.26 billion as of December 31, 2009 and 2008, respectively. As of December 31, 2009, the Company assessed each of the impaired loans for specific impairment and determined that non-performing loans with a carrying value of $3.38 billion required specific reserves totaling $1.24 billion and that the remaining impaired loans did not require any specific reserves. The average carrying value of total impaired loans was approximately $4.04 billion and $1.65 billion during the years ended December 31, 2009 and 2008, respectively. The Company recorded interest income on cash payments from impaired loans of $14.3 million, $5.3 million and $4.9 million for the years ended December 31, 2009, 2008 and 2007, respectively.</w:t>
      </w:r>
    </w:p>
    <w:p>
      <w:pPr>
        <w:spacing w:after="0" w:line="192" w:lineRule="exact"/>
        <w:rPr>
          <w:sz w:val="20"/>
          <w:szCs w:val="20"/>
          <w:color w:val="auto"/>
        </w:rPr>
      </w:pPr>
    </w:p>
    <w:p>
      <w:pPr>
        <w:jc w:val="both"/>
        <w:ind w:firstLine="543"/>
        <w:spacing w:after="0" w:line="301" w:lineRule="auto"/>
        <w:rPr>
          <w:sz w:val="20"/>
          <w:szCs w:val="20"/>
          <w:color w:val="auto"/>
        </w:rPr>
      </w:pPr>
      <w:r>
        <w:rPr>
          <w:rFonts w:ascii="Arial" w:cs="Arial" w:eastAsia="Arial" w:hAnsi="Arial"/>
          <w:sz w:val="16"/>
          <w:szCs w:val="16"/>
          <w:b w:val="1"/>
          <w:bCs w:val="1"/>
          <w:color w:val="auto"/>
        </w:rPr>
        <w:t>Fremont Participation</w:t>
      </w:r>
      <w:r>
        <w:rPr>
          <w:rFonts w:ascii="Arial" w:cs="Arial" w:eastAsia="Arial" w:hAnsi="Arial"/>
          <w:sz w:val="16"/>
          <w:szCs w:val="16"/>
          <w:color w:val="auto"/>
        </w:rPr>
        <w:t>—On July 2, 2007, the Company completed the acquisition of the commercial real estate lending business and $6.27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real estate loan portfolio from Fremont Investment &amp; Loan, a subsidiary of Fremont General Corporation, pursuant to a definitive purchase agreement dated May 21, 2007. Concurrently, the Company completed the sale of a $4.20 billion participation interest ("Fremont Participation") in the same loan portfolio to Fremont Investment and Loan pursuant to a definitive loan participation agreement dated July 2, 2007.</w:t>
      </w:r>
    </w:p>
    <w:p>
      <w:pPr>
        <w:spacing w:after="0" w:line="163" w:lineRule="exact"/>
        <w:rPr>
          <w:sz w:val="20"/>
          <w:szCs w:val="20"/>
          <w:color w:val="auto"/>
        </w:rPr>
      </w:pPr>
    </w:p>
    <w:p>
      <w:pPr>
        <w:jc w:val="both"/>
        <w:ind w:firstLine="414"/>
        <w:spacing w:after="0" w:line="332" w:lineRule="auto"/>
        <w:rPr>
          <w:sz w:val="20"/>
          <w:szCs w:val="20"/>
          <w:color w:val="auto"/>
        </w:rPr>
      </w:pPr>
      <w:r>
        <w:rPr>
          <w:rFonts w:ascii="Arial" w:cs="Arial" w:eastAsia="Arial" w:hAnsi="Arial"/>
          <w:sz w:val="16"/>
          <w:szCs w:val="16"/>
          <w:color w:val="auto"/>
        </w:rPr>
        <w:t>The Company accounted for the business combination under the purchase method. Under the purchase method, the assets acquired and liabilities assumed were recorded at their fair values as of the acquisition date. The excess of the purchase price over the fair value of the net assets acquired was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recorded as goodwill and was allocated to the Real Estate Lending reporting unit. The goodwill was subsequently written-off during 2008 (see Note 3 for further detail). As of the date of the acquisition total loan principal purchased was $6.27 billion with net loan discounts of $265.8 million and the total loan participation interest sold was $4.20 billion.</w:t>
      </w:r>
    </w:p>
    <w:p>
      <w:pPr>
        <w:spacing w:after="0" w:line="194" w:lineRule="exact"/>
        <w:rPr>
          <w:sz w:val="20"/>
          <w:szCs w:val="20"/>
          <w:color w:val="auto"/>
        </w:rPr>
      </w:pPr>
    </w:p>
    <w:p>
      <w:pPr>
        <w:jc w:val="both"/>
        <w:ind w:firstLine="381"/>
        <w:spacing w:after="0" w:line="294" w:lineRule="auto"/>
        <w:rPr>
          <w:sz w:val="20"/>
          <w:szCs w:val="20"/>
          <w:color w:val="auto"/>
        </w:rPr>
      </w:pPr>
      <w:r>
        <w:rPr>
          <w:rFonts w:ascii="Arial" w:cs="Arial" w:eastAsia="Arial" w:hAnsi="Arial"/>
          <w:sz w:val="16"/>
          <w:szCs w:val="16"/>
          <w:color w:val="auto"/>
        </w:rPr>
        <w:t>Under the terms of the loan participation agreement, the Company is responsible for funding unfunded loan commitments associated with the portfolio over the next several years. The balance of unfunded loan commitments required to be funded under the participation was $198.1 million as of December 31, 2009. In addition, the Company will pay 70% of all principal collected from the purchased loan portfolio, including principal collected from the unfunded loan commitments, to the holder of the Fremont Participation, until the original $4.20 billion principal amount of the loan participation interest is repaid. The participation interest pays floating interest at LIBOR + 1.50% and the Company accounted for the issuance of the participation as a sale in accordance ASC 860.</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w w:val="92"/>
              </w:rPr>
              <w:t>Changes in the outstanding acquired loan portfolio participation balance were as follows (in thousands):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4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July 2,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4,201,208</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repayments(1)</w:t>
            </w: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(1,220,970)</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December 31, 2007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2,980,238</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repayments(1)</w:t>
            </w: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(1,682,294)</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December 31, 2008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1,297,944</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repayments(1)</w:t>
            </w: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(824,675)</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December 31, 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473,269</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15265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2840" w:right="20" w:hanging="550"/>
        <w:spacing w:after="0" w:line="233" w:lineRule="auto"/>
        <w:tabs>
          <w:tab w:leader="none" w:pos="28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$66.8 million, $138.0 million, $191.9 million of principal repayments received by the Company as of December 31, 2009, 2008 and 2007, respectively, that had not yet been remitted to the Fremont Participation holder and are reflected as a payable in "Accounts payable, accrued expenses and other liabilities" on the Company's Consolidated Balance Sheets.</w:t>
      </w:r>
    </w:p>
    <w:p>
      <w:pPr>
        <w:spacing w:after="0" w:line="189" w:lineRule="exact"/>
        <w:rPr>
          <w:sz w:val="20"/>
          <w:szCs w:val="20"/>
          <w:color w:val="auto"/>
        </w:rPr>
      </w:pPr>
    </w:p>
    <w:p>
      <w:pPr>
        <w:jc w:val="both"/>
        <w:ind w:firstLine="551"/>
        <w:spacing w:after="0" w:line="296" w:lineRule="auto"/>
        <w:rPr>
          <w:sz w:val="20"/>
          <w:szCs w:val="20"/>
          <w:color w:val="auto"/>
        </w:rPr>
      </w:pPr>
      <w:r>
        <w:rPr>
          <w:rFonts w:ascii="Arial" w:cs="Arial" w:eastAsia="Arial" w:hAnsi="Arial"/>
          <w:sz w:val="16"/>
          <w:szCs w:val="16"/>
          <w:b w:val="1"/>
          <w:bCs w:val="1"/>
          <w:color w:val="auto"/>
        </w:rPr>
        <w:t>Loans acquired with deteriorated credit quality</w:t>
      </w:r>
      <w:r>
        <w:rPr>
          <w:rFonts w:ascii="Arial" w:cs="Arial" w:eastAsia="Arial" w:hAnsi="Arial"/>
          <w:sz w:val="16"/>
          <w:szCs w:val="16"/>
          <w:color w:val="auto"/>
        </w:rPr>
        <w:t>—The Company holds certain loans initially acquired at a discount, for which it was probable, at</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that all contractually required payments would not be received. As of December 31, 2009 and 2008, these loans had cumulative principal balances of $168.6 million and $208.8 million, respectively, and cumulative carrying values of $148.3 million and $175.1 million, respectively. The Company does not have a reasonable expectation about the timing and amount of cash flows expected to be collected on these loans and is recognizing income when cash is received or applying cash to reduce the carrying value of the loans. The majority of these loans were acquired in the acquisition of Fremont CRE.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net (Continued)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—As of December 31, 2009, Other lending investments-securities included the following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9"/>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8"/>
              </w:rPr>
              <w:t>Gross</w:t>
            </w:r>
          </w:p>
        </w:tc>
        <w:tc>
          <w:tcPr>
            <w:tcW w:w="100" w:type="dxa"/>
            <w:vAlign w:val="bottom"/>
          </w:tcPr>
          <w:p>
            <w:pPr>
              <w:spacing w:after="0"/>
              <w:rPr>
                <w:sz w:val="14"/>
                <w:szCs w:val="14"/>
                <w:color w:val="auto"/>
              </w:rPr>
            </w:pPr>
          </w:p>
        </w:tc>
        <w:tc>
          <w:tcPr>
            <w:tcW w:w="680" w:type="dxa"/>
            <w:vAlign w:val="bottom"/>
          </w:tcPr>
          <w:p>
            <w:pPr>
              <w:jc w:val="center"/>
              <w:ind w:right="21"/>
              <w:spacing w:after="0"/>
              <w:rPr>
                <w:sz w:val="20"/>
                <w:szCs w:val="20"/>
                <w:color w:val="auto"/>
              </w:rPr>
            </w:pPr>
            <w:r>
              <w:rPr>
                <w:rFonts w:ascii="Arial" w:cs="Arial" w:eastAsia="Arial" w:hAnsi="Arial"/>
                <w:sz w:val="14"/>
                <w:szCs w:val="14"/>
                <w:b w:val="1"/>
                <w:bCs w:val="1"/>
                <w:color w:val="auto"/>
                <w:w w:val="86"/>
              </w:rPr>
              <w:t>Estimated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Amortized</w:t>
            </w: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2"/>
                <w:szCs w:val="12"/>
                <w:color w:val="auto"/>
              </w:rPr>
            </w:pPr>
          </w:p>
        </w:tc>
        <w:tc>
          <w:tcPr>
            <w:tcW w:w="6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Face 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w w:val="77"/>
              </w:rPr>
              <w:t>Cost Basis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9"/>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4"/>
              </w:rPr>
              <w:t>Losses</w:t>
            </w:r>
          </w:p>
        </w:tc>
        <w:tc>
          <w:tcPr>
            <w:tcW w:w="100" w:type="dxa"/>
            <w:vAlign w:val="bottom"/>
          </w:tcPr>
          <w:p>
            <w:pPr>
              <w:spacing w:after="0"/>
              <w:rPr>
                <w:sz w:val="14"/>
                <w:szCs w:val="14"/>
                <w:color w:val="auto"/>
              </w:rPr>
            </w:pPr>
          </w:p>
        </w:tc>
        <w:tc>
          <w:tcPr>
            <w:tcW w:w="680" w:type="dxa"/>
            <w:vAlign w:val="bottom"/>
          </w:tcPr>
          <w:p>
            <w:pPr>
              <w:jc w:val="center"/>
              <w:ind w:right="41"/>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Available-for-Sale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Held-to-Maturity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238,671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238,103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238,103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mortgage-backed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272,769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258,599</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258,757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262,805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22"/>
        <w:spacing w:after="0" w:line="298" w:lineRule="auto"/>
        <w:rPr>
          <w:sz w:val="20"/>
          <w:szCs w:val="20"/>
          <w:color w:val="auto"/>
        </w:rPr>
      </w:pPr>
      <w:r>
        <w:rPr>
          <w:rFonts w:ascii="Arial" w:cs="Arial" w:eastAsia="Arial" w:hAnsi="Arial"/>
          <w:sz w:val="16"/>
          <w:szCs w:val="16"/>
          <w:color w:val="auto"/>
        </w:rPr>
        <w:t>During the years ended December 31, 2009, 2008 and 2007, the Company determined that unrealized credit related losses on certain held-to-maturity and available-for-sale debt securities were other-than-temporary and recorded impairment charges totaling $11.7 million, $120.0 million and $134.9 million, respectively, in "Impairment of other assets" on the Consolidated Statements of Operations. There are no other-than-temporary impairments recorded in "Accumulated other comprehensive income" on the Company's Consolidated Balance Sheet as of December 31, 2009.</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2009, the contractual maturities of the Company's securities were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4"/>
              </w:rPr>
              <w:t>Available-for-sale securities</w:t>
            </w:r>
          </w:p>
        </w:tc>
        <w:tc>
          <w:tcPr>
            <w:tcW w:w="140" w:type="dxa"/>
            <w:vAlign w:val="bottom"/>
          </w:tcPr>
          <w:p>
            <w:pPr>
              <w:spacing w:after="0"/>
              <w:rPr>
                <w:sz w:val="14"/>
                <w:szCs w:val="14"/>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Held-to-maturity securities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Estimated Fair</w:t>
            </w:r>
          </w:p>
        </w:tc>
        <w:tc>
          <w:tcPr>
            <w:tcW w:w="180" w:type="dxa"/>
            <w:vAlign w:val="bottom"/>
          </w:tcPr>
          <w:p>
            <w:pPr>
              <w:spacing w:after="0"/>
              <w:rPr>
                <w:sz w:val="11"/>
                <w:szCs w:val="11"/>
                <w:color w:val="auto"/>
              </w:rPr>
            </w:pPr>
          </w:p>
        </w:tc>
        <w:tc>
          <w:tcPr>
            <w:tcW w:w="940" w:type="dxa"/>
            <w:vAlign w:val="bottom"/>
            <w:tcBorders>
              <w:top w:val="single" w:sz="8" w:color="auto"/>
            </w:tcBorders>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Amortized</w:t>
            </w:r>
          </w:p>
        </w:tc>
        <w:tc>
          <w:tcPr>
            <w:tcW w:w="10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Estimated 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Maturities</w:t>
            </w:r>
          </w:p>
        </w:tc>
        <w:tc>
          <w:tcPr>
            <w:tcW w:w="160" w:type="dxa"/>
            <w:vAlign w:val="bottom"/>
          </w:tcPr>
          <w:p>
            <w:pPr>
              <w:spacing w:after="0"/>
              <w:rPr>
                <w:sz w:val="14"/>
                <w:szCs w:val="14"/>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though 5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220,591</w:t>
            </w:r>
          </w:p>
        </w:tc>
        <w:tc>
          <w:tcPr>
            <w:tcW w:w="220" w:type="dxa"/>
            <w:vAlign w:val="bottom"/>
            <w:shd w:val="clear" w:color="auto" w:fill="CCEEFF"/>
          </w:tcPr>
          <w:p>
            <w:pPr>
              <w:jc w:val="center"/>
              <w:ind w:right="39"/>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5 through 10 years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6,800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35,132</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years and thereafter</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gridSpan w:val="2"/>
            <w:vMerge w:val="restart"/>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center"/>
              <w:ind w:right="4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6,800</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256,005</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center"/>
              <w:ind w:right="3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251,957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7"/>
        <w:spacing w:after="0" w:line="275" w:lineRule="auto"/>
        <w:rPr>
          <w:sz w:val="20"/>
          <w:szCs w:val="20"/>
          <w:color w:val="auto"/>
        </w:rPr>
      </w:pPr>
      <w:r>
        <w:rPr>
          <w:rFonts w:ascii="Arial" w:cs="Arial" w:eastAsia="Arial" w:hAnsi="Arial"/>
          <w:sz w:val="18"/>
          <w:szCs w:val="18"/>
          <w:b w:val="1"/>
          <w:bCs w:val="1"/>
          <w:color w:val="auto"/>
        </w:rPr>
        <w:t>Encumbered Loans</w:t>
      </w:r>
      <w:r>
        <w:rPr>
          <w:rFonts w:ascii="Arial" w:cs="Arial" w:eastAsia="Arial" w:hAnsi="Arial"/>
          <w:sz w:val="18"/>
          <w:szCs w:val="18"/>
          <w:color w:val="auto"/>
        </w:rPr>
        <w:t>—As of December 31, 2009 and 2008, loans and other lending investments with a carrying value of $4.39 billion and $1.18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were pledged as collateral under the Company's secured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5—Real estate held for investment, net and Other real estate owned</w:t>
      </w:r>
    </w:p>
    <w:p>
      <w:pPr>
        <w:spacing w:after="0" w:line="231"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During the years ended December 31, 2009 and 2008, the Company received title to properties in full or partial satisfaction of non-performing mortgage loans, with an estimated fair value of $1.30 billion and $316.7 million, respectively. Of the properties received in 2009, properties with a value of $399.6 million was classified as REHI and $904.2 million as OREO based on management's strategy to either hold the properties over a longer period or to market them for sale. All properties received in 2008 were classified as OREO.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5—Real estate held for investment, net and Other real estate owned (Continued)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Real estate held for investment, net</w:t>
      </w:r>
      <w:r>
        <w:rPr>
          <w:rFonts w:ascii="Arial" w:cs="Arial" w:eastAsia="Arial" w:hAnsi="Arial"/>
          <w:sz w:val="18"/>
          <w:szCs w:val="18"/>
          <w:color w:val="auto"/>
        </w:rPr>
        <w:t>—REHI consisted of the following (in thousands):</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ind w:left="1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Land held for investment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290,283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operating properties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135,281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Real estate held for investment, net</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422,664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recorded operating income of $5.8 million and operating expenses of $12.5 million related to REHI for the year ended December 31, 2009.</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Other real estate owned</w:t>
      </w:r>
      <w:r>
        <w:rPr>
          <w:rFonts w:ascii="Arial" w:cs="Arial" w:eastAsia="Arial" w:hAnsi="Arial"/>
          <w:sz w:val="18"/>
          <w:szCs w:val="18"/>
          <w:color w:val="auto"/>
        </w:rPr>
        <w:t>—The Company's OREO consisted of the following property types (in thousands):</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ind w:left="1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Condo Construction—Completed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487,718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69,951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Condo Conversion</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114,400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71,602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111,969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Multifamily</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68,467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53,579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Mixed Use/Mixed Collateral</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25,373</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Gross carrying value</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839,141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242,505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86"/>
        <w:spacing w:after="0" w:line="306" w:lineRule="auto"/>
        <w:rPr>
          <w:sz w:val="20"/>
          <w:szCs w:val="20"/>
          <w:color w:val="auto"/>
        </w:rPr>
      </w:pPr>
      <w:r>
        <w:rPr>
          <w:rFonts w:ascii="Arial" w:cs="Arial" w:eastAsia="Arial" w:hAnsi="Arial"/>
          <w:sz w:val="16"/>
          <w:szCs w:val="16"/>
          <w:color w:val="auto"/>
        </w:rPr>
        <w:t>As a result of deteriorating market conditions, the Company recorded impairment charges to OREO properties totaling $78.6 million and $55.6 million, for the years ended December 31, 2009 and 2008, respectively. In addition, during the years ended December 31, 2009, 2008 and 2007, the Company recorded expenses related to holding costs for OREO properties of $28.4 million, $9.3 million and $0.5 million, respectively.</w:t>
      </w:r>
    </w:p>
    <w:p>
      <w:pPr>
        <w:spacing w:after="0" w:line="155" w:lineRule="exact"/>
        <w:rPr>
          <w:sz w:val="20"/>
          <w:szCs w:val="20"/>
          <w:color w:val="auto"/>
        </w:rPr>
      </w:pPr>
    </w:p>
    <w:p>
      <w:pPr>
        <w:jc w:val="both"/>
        <w:ind w:firstLine="378"/>
        <w:spacing w:after="0" w:line="275" w:lineRule="auto"/>
        <w:rPr>
          <w:sz w:val="20"/>
          <w:szCs w:val="20"/>
          <w:color w:val="auto"/>
        </w:rPr>
      </w:pPr>
      <w:r>
        <w:rPr>
          <w:rFonts w:ascii="Arial" w:cs="Arial" w:eastAsia="Arial" w:hAnsi="Arial"/>
          <w:sz w:val="18"/>
          <w:szCs w:val="18"/>
          <w:b w:val="1"/>
          <w:bCs w:val="1"/>
          <w:color w:val="auto"/>
        </w:rPr>
        <w:t>Encumbered OREO and REHI assets</w:t>
      </w:r>
      <w:r>
        <w:rPr>
          <w:rFonts w:ascii="Arial" w:cs="Arial" w:eastAsia="Arial" w:hAnsi="Arial"/>
          <w:sz w:val="18"/>
          <w:szCs w:val="18"/>
          <w:color w:val="auto"/>
        </w:rPr>
        <w:t>—As of December 31, 2009, OREO assets with a carrying value of $232.7 million and REHI assets with a carrying</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$27.1 million were pledged as collateral for the Company's secured indebtedness.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6—Corporate Tenant Lease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investments in CTL assets, at cost, were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2,761,083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2,828,747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639,581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669,320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(514,768)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(453,256)</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color w:val="auto"/>
              </w:rPr>
              <w:t>Corporate tenant lease assets, net</w:t>
            </w: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8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2,885,896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3,044,811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year ended December 31, 2009, the Company disposed of CTL assets for net proceeds of $64.6 million, which resulted in gains of $12.4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addition, during 2009 the Company recorded impairment charges of $19.4 million on CTL assets as the result of deteriorating market conditions.</w:t>
      </w:r>
    </w:p>
    <w:p>
      <w:pPr>
        <w:spacing w:after="0" w:line="242" w:lineRule="exact"/>
        <w:rPr>
          <w:sz w:val="20"/>
          <w:szCs w:val="20"/>
          <w:color w:val="auto"/>
        </w:rPr>
      </w:pPr>
    </w:p>
    <w:p>
      <w:pPr>
        <w:jc w:val="both"/>
        <w:ind w:firstLine="424"/>
        <w:spacing w:after="0" w:line="306" w:lineRule="auto"/>
        <w:rPr>
          <w:sz w:val="20"/>
          <w:szCs w:val="20"/>
          <w:color w:val="auto"/>
        </w:rPr>
      </w:pPr>
      <w:r>
        <w:rPr>
          <w:rFonts w:ascii="Arial" w:cs="Arial" w:eastAsia="Arial" w:hAnsi="Arial"/>
          <w:sz w:val="16"/>
          <w:szCs w:val="16"/>
          <w:color w:val="auto"/>
        </w:rPr>
        <w:t>During the years ended December 31, 2008 and 2007, respectively, the Company acquired an aggregate of $2.0 million and $314.9 million of CTL assets and disposed of CTL assets for net proceeds of $424.1 million and $70.2 million, respectively, which resulted in gains of $64.5 million and $7.8 million, respectively. During 2008, the Company recorded impairment charges of $11.6 million on CTL assets as the result of changing market conditions.</w:t>
      </w:r>
    </w:p>
    <w:p>
      <w:pPr>
        <w:spacing w:after="0" w:line="161" w:lineRule="exact"/>
        <w:rPr>
          <w:sz w:val="20"/>
          <w:szCs w:val="20"/>
          <w:color w:val="auto"/>
        </w:rPr>
      </w:pPr>
    </w:p>
    <w:p>
      <w:pPr>
        <w:jc w:val="both"/>
        <w:ind w:firstLine="372"/>
        <w:spacing w:after="0" w:line="306" w:lineRule="auto"/>
        <w:rPr>
          <w:sz w:val="20"/>
          <w:szCs w:val="20"/>
          <w:color w:val="auto"/>
        </w:rPr>
      </w:pPr>
      <w:r>
        <w:rPr>
          <w:rFonts w:ascii="Arial" w:cs="Arial" w:eastAsia="Arial" w:hAnsi="Arial"/>
          <w:sz w:val="16"/>
          <w:szCs w:val="16"/>
          <w:color w:val="auto"/>
        </w:rPr>
        <w:t>The Company receives reimbursements from customers for certain facility operating expenses including common area costs, insurance and real estate taxes. Customer expense reimbursements for the years ended December 31, 2009, 2008 and 2007 were $36.1 million, $37.4 million and $34.5 million, respectively, and are included as a reduction of "Operating costs—corporate tenant lease assets" on the Company's Consolidated Statements of Operations.</w:t>
      </w:r>
    </w:p>
    <w:p>
      <w:pPr>
        <w:spacing w:after="0" w:line="155" w:lineRule="exact"/>
        <w:rPr>
          <w:sz w:val="20"/>
          <w:szCs w:val="20"/>
          <w:color w:val="auto"/>
        </w:rPr>
      </w:pPr>
    </w:p>
    <w:p>
      <w:pPr>
        <w:jc w:val="both"/>
        <w:ind w:firstLine="351"/>
        <w:spacing w:after="0" w:line="275" w:lineRule="auto"/>
        <w:rPr>
          <w:sz w:val="20"/>
          <w:szCs w:val="20"/>
          <w:color w:val="auto"/>
        </w:rPr>
      </w:pPr>
      <w:r>
        <w:rPr>
          <w:rFonts w:ascii="Arial" w:cs="Arial" w:eastAsia="Arial" w:hAnsi="Arial"/>
          <w:sz w:val="18"/>
          <w:szCs w:val="18"/>
          <w:b w:val="1"/>
          <w:bCs w:val="1"/>
          <w:color w:val="auto"/>
        </w:rPr>
        <w:t>Future minimum operating lease payments</w:t>
      </w:r>
      <w:r>
        <w:rPr>
          <w:rFonts w:ascii="Arial" w:cs="Arial" w:eastAsia="Arial" w:hAnsi="Arial"/>
          <w:sz w:val="18"/>
          <w:szCs w:val="18"/>
          <w:color w:val="auto"/>
        </w:rPr>
        <w:t>—Future minimum operating lease payments under non-cancelable leases, excluding customer reimbursements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expenses, in effect at December 31, 2009, are as follows (in thousands):</w:t>
      </w:r>
    </w:p>
    <w:p>
      <w:pPr>
        <w:spacing w:after="0" w:line="1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3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285,215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2011</w:t>
            </w:r>
          </w:p>
        </w:tc>
        <w:tc>
          <w:tcPr>
            <w:tcW w:w="3600" w:type="dxa"/>
            <w:vAlign w:val="bottom"/>
          </w:tcPr>
          <w:p>
            <w:pPr>
              <w:jc w:val="right"/>
              <w:ind w:right="72"/>
              <w:spacing w:after="0"/>
              <w:rPr>
                <w:sz w:val="20"/>
                <w:szCs w:val="20"/>
                <w:color w:val="auto"/>
              </w:rPr>
            </w:pPr>
            <w:r>
              <w:rPr>
                <w:rFonts w:ascii="Arial" w:cs="Arial" w:eastAsia="Arial" w:hAnsi="Arial"/>
                <w:sz w:val="18"/>
                <w:szCs w:val="18"/>
                <w:color w:val="auto"/>
              </w:rPr>
              <w:t>283,136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3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274,920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2013</w:t>
            </w:r>
          </w:p>
        </w:tc>
        <w:tc>
          <w:tcPr>
            <w:tcW w:w="3600" w:type="dxa"/>
            <w:vAlign w:val="bottom"/>
          </w:tcPr>
          <w:p>
            <w:pPr>
              <w:jc w:val="right"/>
              <w:ind w:right="72"/>
              <w:spacing w:after="0"/>
              <w:rPr>
                <w:sz w:val="20"/>
                <w:szCs w:val="20"/>
                <w:color w:val="auto"/>
              </w:rPr>
            </w:pPr>
            <w:r>
              <w:rPr>
                <w:rFonts w:ascii="Arial" w:cs="Arial" w:eastAsia="Arial" w:hAnsi="Arial"/>
                <w:sz w:val="18"/>
                <w:szCs w:val="18"/>
                <w:color w:val="auto"/>
              </w:rPr>
              <w:t>265,176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3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257,079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600" w:type="dxa"/>
            <w:vAlign w:val="bottom"/>
          </w:tcPr>
          <w:p>
            <w:pPr>
              <w:jc w:val="right"/>
              <w:ind w:right="72"/>
              <w:spacing w:after="0"/>
              <w:rPr>
                <w:sz w:val="20"/>
                <w:szCs w:val="20"/>
                <w:color w:val="auto"/>
              </w:rPr>
            </w:pPr>
            <w:r>
              <w:rPr>
                <w:rFonts w:ascii="Arial" w:cs="Arial" w:eastAsia="Arial" w:hAnsi="Arial"/>
                <w:sz w:val="18"/>
                <w:szCs w:val="18"/>
                <w:color w:val="auto"/>
              </w:rPr>
              <w:t>1,987,671</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firstLine="448"/>
        <w:spacing w:after="0" w:line="275" w:lineRule="auto"/>
        <w:rPr>
          <w:sz w:val="20"/>
          <w:szCs w:val="20"/>
          <w:color w:val="auto"/>
        </w:rPr>
      </w:pPr>
      <w:r>
        <w:rPr>
          <w:rFonts w:ascii="Arial" w:cs="Arial" w:eastAsia="Arial" w:hAnsi="Arial"/>
          <w:sz w:val="18"/>
          <w:szCs w:val="18"/>
          <w:b w:val="1"/>
          <w:bCs w:val="1"/>
          <w:color w:val="auto"/>
        </w:rPr>
        <w:t>Encumbered CTL assets</w:t>
      </w:r>
      <w:r>
        <w:rPr>
          <w:rFonts w:ascii="Arial" w:cs="Arial" w:eastAsia="Arial" w:hAnsi="Arial"/>
          <w:sz w:val="18"/>
          <w:szCs w:val="18"/>
          <w:color w:val="auto"/>
        </w:rPr>
        <w:t>—As of December 31, 2009 and 2008, CTL assets with a net book value of $2.59 billion and $1.52 billion, respectively, were</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encumbered with mortgages or pledged as collateral for the Company's debt.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investments consist of the following items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339,002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326,248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CTL in-place lease intangibles, net(1)</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48,751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58,499</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at fair value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38,454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8,083</w:t>
            </w: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Cost method investments</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6,923</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54,488</w:t>
            </w:r>
          </w:p>
        </w:tc>
      </w:tr>
      <w:tr>
        <w:trPr>
          <w:trHeight w:val="21"/>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433,130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447,318</w:t>
            </w:r>
          </w:p>
        </w:tc>
      </w:tr>
      <w:tr>
        <w:trPr>
          <w:trHeight w:val="27"/>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15265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840" w:hanging="550"/>
        <w:spacing w:after="0"/>
        <w:tabs>
          <w:tab w:leader="none" w:pos="28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Accumulated amortization on CTL intangibles was $33.1 million and $24.1 million as of December 31, 2009 and 2008,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equity method investments and its proportionate share of their results were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Equity in earnings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w w:val="91"/>
              </w:rPr>
              <w:t>Carrying value at December 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10"/>
          </w:tcPr>
          <w:p>
            <w:pPr>
              <w:jc w:val="center"/>
              <w:ind w:right="380"/>
              <w:spacing w:after="0"/>
              <w:rPr>
                <w:sz w:val="20"/>
                <w:szCs w:val="20"/>
                <w:color w:val="auto"/>
              </w:rPr>
            </w:pPr>
            <w:r>
              <w:rPr>
                <w:rFonts w:ascii="Arial" w:cs="Arial" w:eastAsia="Arial" w:hAnsi="Arial"/>
                <w:sz w:val="14"/>
                <w:szCs w:val="14"/>
                <w:b w:val="1"/>
                <w:bCs w:val="1"/>
                <w:color w:val="auto"/>
                <w:w w:val="86"/>
              </w:rPr>
              <w:t>for the years ended December 31,</w:t>
            </w: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36"/>
              <w:spacing w:after="0" w:line="142" w:lineRule="exact"/>
              <w:rPr>
                <w:sz w:val="20"/>
                <w:szCs w:val="20"/>
                <w:color w:val="auto"/>
              </w:rPr>
            </w:pPr>
            <w:r>
              <w:rPr>
                <w:rFonts w:ascii="Arial" w:cs="Arial" w:eastAsia="Arial" w:hAnsi="Arial"/>
                <w:sz w:val="14"/>
                <w:szCs w:val="14"/>
                <w:b w:val="1"/>
                <w:bCs w:val="1"/>
                <w:color w:val="auto"/>
                <w:w w:val="83"/>
              </w:rPr>
              <w:t>2008</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Oak Hill</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180,372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182,638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21,745</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Madison Funds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75,096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(5,620)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(7,392)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TimberStar Southwest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(14,460)</w:t>
            </w: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83,441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77,088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(10,572)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(3,218)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15,302</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339,002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326,248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99"/>
        <w:spacing w:after="0" w:line="289" w:lineRule="auto"/>
        <w:rPr>
          <w:sz w:val="20"/>
          <w:szCs w:val="20"/>
          <w:color w:val="auto"/>
        </w:rPr>
      </w:pPr>
      <w:r>
        <w:rPr>
          <w:rFonts w:ascii="Arial" w:cs="Arial" w:eastAsia="Arial" w:hAnsi="Arial"/>
          <w:sz w:val="16"/>
          <w:szCs w:val="16"/>
          <w:b w:val="1"/>
          <w:bCs w:val="1"/>
          <w:color w:val="auto"/>
        </w:rPr>
        <w:t>Oak Hill</w:t>
      </w:r>
      <w:r>
        <w:rPr>
          <w:rFonts w:ascii="Arial" w:cs="Arial" w:eastAsia="Arial" w:hAnsi="Arial"/>
          <w:sz w:val="16"/>
          <w:szCs w:val="16"/>
          <w:color w:val="auto"/>
        </w:rPr>
        <w:t>—As of December 31, 2009, the Company owned 47.5% interests in Oak Hill Advisors, L.P., Oak Hill Credit Alpha MGP, LLC, Oak Hill Credit</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Opportunities MGP, LLC, OHA Finance MGP, LLC, OHA Capital Solutions MGP, LLC, OHA Strategic Credit Fund, LLC, OHA Leveraged Loan Portfolio GenPar, LLC, Oak Hill Credit OPP Fund, LP, OHA Structured Products MGP, LLC, and 48.1% interests in OHSF GP Partners II, LLC and OHSF GP Partners (Investors), LLC, (collectively, "Oak Hill"). The Company appointed to its Board of Directors a member that holds a substantial investment in Oak Hill. As such Oak Hill is a related party of the Company. Oak Hill engages in investment and asset management services. The Company has determined that all of these entities are variable interest entities and that an external member is the primary beneficiary. Upon acquisition of the original interests in Oak Hill, there was a difference between the Company's carrying value of its equity investments and the underlying equity in the net assets of Oak Hill of $200.2 million. The Company allocated this value to identifiable intangible assets of $81.8 million and goodwill of $118.4 million. The unamortized balance related to intangible assets for these investments was $45.3 million and $51.2 million as of December 31, 2009 and 2008, respectively.</w:t>
      </w:r>
    </w:p>
    <w:p>
      <w:pPr>
        <w:spacing w:after="0" w:line="167" w:lineRule="exact"/>
        <w:rPr>
          <w:sz w:val="20"/>
          <w:szCs w:val="20"/>
          <w:color w:val="auto"/>
        </w:rPr>
      </w:pPr>
    </w:p>
    <w:p>
      <w:pPr>
        <w:jc w:val="both"/>
        <w:ind w:firstLine="387"/>
        <w:spacing w:after="0" w:line="275" w:lineRule="auto"/>
        <w:rPr>
          <w:sz w:val="20"/>
          <w:szCs w:val="20"/>
          <w:color w:val="auto"/>
        </w:rPr>
      </w:pPr>
      <w:r>
        <w:rPr>
          <w:rFonts w:ascii="Arial" w:cs="Arial" w:eastAsia="Arial" w:hAnsi="Arial"/>
          <w:sz w:val="18"/>
          <w:szCs w:val="18"/>
          <w:b w:val="1"/>
          <w:bCs w:val="1"/>
          <w:color w:val="auto"/>
        </w:rPr>
        <w:t>Madison Funds</w:t>
      </w:r>
      <w:r>
        <w:rPr>
          <w:rFonts w:ascii="Arial" w:cs="Arial" w:eastAsia="Arial" w:hAnsi="Arial"/>
          <w:sz w:val="18"/>
          <w:szCs w:val="18"/>
          <w:color w:val="auto"/>
        </w:rPr>
        <w:t>—As of December 31, 2009, the Company owned a 29.52% interest in Madison International Real Estate Fund II, LP, a 32.92%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Madison International Real Estate Fund III, LP</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a 29.52% interest in Madison GP1 Investors, LP (collectively, the "Madison Funds"). The Madison Funds invest in illiquid ownership positions of entities that own real estate assets.</w:t>
      </w:r>
    </w:p>
    <w:p>
      <w:pPr>
        <w:spacing w:after="0" w:line="180" w:lineRule="exact"/>
        <w:rPr>
          <w:sz w:val="20"/>
          <w:szCs w:val="20"/>
          <w:color w:val="auto"/>
        </w:rPr>
      </w:pPr>
    </w:p>
    <w:p>
      <w:pPr>
        <w:jc w:val="both"/>
        <w:ind w:firstLine="400"/>
        <w:spacing w:after="0" w:line="262" w:lineRule="auto"/>
        <w:rPr>
          <w:sz w:val="20"/>
          <w:szCs w:val="20"/>
          <w:color w:val="auto"/>
        </w:rPr>
      </w:pPr>
      <w:r>
        <w:rPr>
          <w:rFonts w:ascii="Arial" w:cs="Arial" w:eastAsia="Arial" w:hAnsi="Arial"/>
          <w:sz w:val="18"/>
          <w:szCs w:val="18"/>
          <w:b w:val="1"/>
          <w:bCs w:val="1"/>
          <w:color w:val="auto"/>
        </w:rPr>
        <w:t>Other equity method investments</w:t>
      </w:r>
      <w:r>
        <w:rPr>
          <w:rFonts w:ascii="Arial" w:cs="Arial" w:eastAsia="Arial" w:hAnsi="Arial"/>
          <w:sz w:val="18"/>
          <w:szCs w:val="18"/>
          <w:color w:val="auto"/>
        </w:rPr>
        <w:t>—The Company also had smaller investments in several other entities that were accounted for under the equity method</w:t>
      </w:r>
      <w:r>
        <w:rPr>
          <w:rFonts w:ascii="Arial" w:cs="Arial" w:eastAsia="Arial" w:hAnsi="Arial"/>
          <w:sz w:val="18"/>
          <w:szCs w:val="18"/>
          <w:b w:val="1"/>
          <w:bCs w:val="1"/>
          <w:color w:val="auto"/>
        </w:rPr>
        <w:t xml:space="preserve"> </w:t>
      </w:r>
      <w:r>
        <w:rPr>
          <w:rFonts w:ascii="Arial" w:cs="Arial" w:eastAsia="Arial" w:hAnsi="Arial"/>
          <w:sz w:val="18"/>
          <w:szCs w:val="18"/>
          <w:color w:val="auto"/>
        </w:rPr>
        <w:t>where the Company has ownership interests up to 50.0%. Several of these investments are in real estate related funds or other strategic investment opportunities within niche markets.</w:t>
      </w:r>
    </w:p>
    <w:p>
      <w:pPr>
        <w:spacing w:after="0" w:line="192"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auto"/>
        </w:rPr>
        <w:t>During the year ended December 31, 2009, the Company recorded a non-cash out-of-period charge of $9.4 million to recognize additional losses from an equity method investment as a result of additional depreciation expense that should have been recorded at the equity method entity. This adjustment was recorded as a reduction to "Other investments" on the Company's Consolidated Balance Sheets and a decrease to "Earnings from equity method investments," on the Company's Consolidated Statements of Operations. The Company concluded that the amount of losses that should have been recorded in periods beginning in July 2007 were not material to any of its previously issued financial statements. The Company also concluded that the cumulative out-of-period charge was not material to the fiscal year in which it has been recorded. As such, the charge was recorded in the Company's Consolidated Statements of Operations for the year ended December 31, 2009, rather than restating prior periods.</w:t>
      </w:r>
    </w:p>
    <w:p>
      <w:pPr>
        <w:spacing w:after="0" w:line="166" w:lineRule="exact"/>
        <w:rPr>
          <w:sz w:val="20"/>
          <w:szCs w:val="20"/>
          <w:color w:val="auto"/>
        </w:rPr>
      </w:pPr>
    </w:p>
    <w:p>
      <w:pPr>
        <w:jc w:val="both"/>
        <w:ind w:firstLine="348"/>
        <w:spacing w:after="0" w:line="293" w:lineRule="auto"/>
        <w:rPr>
          <w:sz w:val="20"/>
          <w:szCs w:val="20"/>
          <w:color w:val="auto"/>
        </w:rPr>
      </w:pPr>
      <w:r>
        <w:rPr>
          <w:rFonts w:ascii="Arial" w:cs="Arial" w:eastAsia="Arial" w:hAnsi="Arial"/>
          <w:sz w:val="16"/>
          <w:szCs w:val="16"/>
          <w:b w:val="1"/>
          <w:bCs w:val="1"/>
          <w:color w:val="auto"/>
        </w:rPr>
        <w:t>TimberStar Southwest</w:t>
      </w:r>
      <w:r>
        <w:rPr>
          <w:rFonts w:ascii="Arial" w:cs="Arial" w:eastAsia="Arial" w:hAnsi="Arial"/>
          <w:sz w:val="16"/>
          <w:szCs w:val="16"/>
          <w:color w:val="auto"/>
        </w:rPr>
        <w:t>—Prior to selling its interest, the Company owned a 46.7% interest in TimberStar Southwest Holdco LLC ("TimberStar Southwest"),</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its majority owned subsidiary TimberStar. The Company accounted for this investment under the equity method due to the venture's external partners having certain participating rights giving them shared control. In April 2008, the Company closed on the sale of TimberStar Southwest for a gross sales price of $1.71 billion, including the assumption of debt. The Company received net proceeds of $417.0 million for its interest in the venture and recorded a gain of $280.2 million, which includes $18.6 million attributable to noncontrolling interests. The amounts were recorded in "Gain on sale of joint venture interest" and "Gain on sale of joint venture interest attributable to noncontrolling interests" on the Company's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CTL in-place lease intangible assets, net</w:t>
      </w:r>
    </w:p>
    <w:p>
      <w:pPr>
        <w:spacing w:after="0" w:line="231"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As of December 31, 2009 and 2008, the Company had $48.8 million and $58.5 million, respectively, of unamortized finite lived intangible assets primarily related to the prior acquisition of CTL facilities. Amortization expense for these intangible assets was $9.6 million, $8.9 million and $7.5 million for the years ended December 31, 2009, 2008 and 2007,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at fair value</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As of December 31, 2009 and 2008, marketable securities included trading securities with a fair market value of $38.2 million and $7.9 million, respectively. Trading securities are recorded at their fair market value with gains and losses included in "Other income" on the Company's Consolidated Statements of Operations. For the years ended December 31, 2009 and 2008, the Company recognized gains (losses) of $15.5 million, and $(0.9) million, respectively, from trading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 investments</w:t>
      </w:r>
    </w:p>
    <w:p>
      <w:pPr>
        <w:spacing w:after="0" w:line="231" w:lineRule="exact"/>
        <w:rPr>
          <w:sz w:val="20"/>
          <w:szCs w:val="20"/>
          <w:color w:val="auto"/>
        </w:rPr>
      </w:pPr>
    </w:p>
    <w:p>
      <w:pPr>
        <w:jc w:val="both"/>
        <w:ind w:firstLine="413"/>
        <w:spacing w:after="0" w:line="306" w:lineRule="auto"/>
        <w:rPr>
          <w:sz w:val="20"/>
          <w:szCs w:val="20"/>
          <w:color w:val="auto"/>
        </w:rPr>
      </w:pPr>
      <w:r>
        <w:rPr>
          <w:rFonts w:ascii="Arial" w:cs="Arial" w:eastAsia="Arial" w:hAnsi="Arial"/>
          <w:sz w:val="16"/>
          <w:szCs w:val="16"/>
          <w:color w:val="auto"/>
        </w:rPr>
        <w:t>The Company has investments in several real estate related funds or other strategic investment opportunities that are accounted for under the cost method. During the years ended December 31, 2009, 2008 and 2007, the Company determined that unrealized losses on certain of its cost method investments were other-than-temporary and recorded impairment charges of $7.5 million, $87.0 million and $9.3 million, respectively.</w:t>
      </w:r>
    </w:p>
    <w:p>
      <w:pPr>
        <w:spacing w:after="0" w:line="161" w:lineRule="exact"/>
        <w:rPr>
          <w:sz w:val="20"/>
          <w:szCs w:val="20"/>
          <w:color w:val="auto"/>
        </w:rPr>
      </w:pPr>
    </w:p>
    <w:p>
      <w:pPr>
        <w:jc w:val="both"/>
        <w:ind w:firstLine="361"/>
        <w:spacing w:after="0" w:line="294" w:lineRule="auto"/>
        <w:rPr>
          <w:sz w:val="20"/>
          <w:szCs w:val="20"/>
          <w:color w:val="auto"/>
        </w:rPr>
      </w:pPr>
      <w:r>
        <w:rPr>
          <w:rFonts w:ascii="Arial" w:cs="Arial" w:eastAsia="Arial" w:hAnsi="Arial"/>
          <w:sz w:val="16"/>
          <w:szCs w:val="16"/>
          <w:color w:val="auto"/>
        </w:rPr>
        <w:t>During the year ended December 31, 2008, the Company redeemed its interest in a profits participation that was originally received as part of a prior lending investment and carried as a cost method investment prior to redemption. As a result of the transaction, the Company received cash of $44.2 million and recorded an equal amount of income in "Other income" on the Company's Consolidated Statements of Operations. In addition, during 2008, the Company also exchanged an investment with a carrying value of $97.4 million, net of noncontrolling interest, for a $109.0 million loan receivable, which resulted in a net gain of $12.0 million. The gain was recorded in "Other income" on the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Timber and timberlands</w:t>
      </w:r>
    </w:p>
    <w:p>
      <w:pPr>
        <w:spacing w:after="0" w:line="231"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8"/>
          <w:szCs w:val="18"/>
          <w:color w:val="auto"/>
        </w:rPr>
        <w:t>On June 30, 2008, the Company closed on the sale of its Maine timber property for net proceeds of $152.7 million, resulting in a total gain of $27.0 million, which includes $3.7 million attributable to noncontrolling interests. These gains are included in "Gain from discontinued operations" and "Gain from discontinued operations attributable to noncontrolling interests" on the Company's Consolidated Statements of Operations. The Company reflected net income from the operations of its Maine timber property of $2.3 million and $3.3 million in "Income (loss) from discontinued operations" for the years ended December 31, 2008 and 2007,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expenses and other assets, net, consist of the following items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 net(1)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25,387</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15,235</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29,036</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Leasing costs, net(2)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16,072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Corporate furniture, fixtures and equipment, net(3)</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14,550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16,640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4,186</w:t>
            </w: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22,632</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27,703</w:t>
            </w:r>
          </w:p>
        </w:tc>
      </w:tr>
      <w:tr>
        <w:trPr>
          <w:trHeight w:val="21"/>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109,206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119,024</w:t>
            </w:r>
          </w:p>
        </w:tc>
      </w:tr>
      <w:tr>
        <w:trPr>
          <w:trHeight w:val="27"/>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15265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840" w:hanging="550"/>
        <w:spacing w:after="0"/>
        <w:tabs>
          <w:tab w:leader="none" w:pos="28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$30.3 million and $24.1 million as of December 31, 2009 and 2008, respectively.</w:t>
      </w:r>
    </w:p>
    <w:p>
      <w:pPr>
        <w:spacing w:after="0" w:line="122" w:lineRule="exact"/>
        <w:rPr>
          <w:rFonts w:ascii="Arial" w:cs="Arial" w:eastAsia="Arial" w:hAnsi="Arial"/>
          <w:sz w:val="14"/>
          <w:szCs w:val="14"/>
          <w:color w:val="auto"/>
        </w:rPr>
      </w:pPr>
    </w:p>
    <w:p>
      <w:pPr>
        <w:ind w:left="2840" w:hanging="550"/>
        <w:spacing w:after="0"/>
        <w:tabs>
          <w:tab w:leader="none" w:pos="28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Accumulated amortization on leasing costs was $11.2 million and $8.7 million as of December 31, 2009 and 2008, respectively.</w:t>
      </w:r>
    </w:p>
    <w:p>
      <w:pPr>
        <w:spacing w:after="0" w:line="122" w:lineRule="exact"/>
        <w:rPr>
          <w:rFonts w:ascii="Arial" w:cs="Arial" w:eastAsia="Arial" w:hAnsi="Arial"/>
          <w:sz w:val="14"/>
          <w:szCs w:val="14"/>
          <w:color w:val="auto"/>
        </w:rPr>
      </w:pPr>
    </w:p>
    <w:p>
      <w:pPr>
        <w:ind w:left="2840" w:hanging="550"/>
        <w:spacing w:after="0"/>
        <w:tabs>
          <w:tab w:leader="none" w:pos="28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Accumulated depreciation on corporate furniture, fixture and equipment was $9.4 million and $7.2 million as of December 31, 2009 and 2008, respectively.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accrued expenses and other liabilities consist of the following items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20" w:type="dxa"/>
            <w:vAlign w:val="bottom"/>
            <w:gridSpan w:val="6"/>
          </w:tcPr>
          <w:p>
            <w:pPr>
              <w:ind w:left="1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Fremont Participation payable (see Note 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141,717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49,697</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87,057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37,388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41,745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Security deposits from customers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24,763</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17,550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Unearned operating lease income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17,153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21,659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9,336</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 payable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40,851</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32,677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252,110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354,492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40" w:type="dxa"/>
            <w:vAlign w:val="bottom"/>
            <w:gridSpan w:val="2"/>
            <w:vMerge w:val="restart"/>
          </w:tcPr>
          <w:p>
            <w:pPr>
              <w:jc w:val="right"/>
              <w:ind w:right="1352"/>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2009 and 2008, the Company's debt obligations were as follows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Carrying Value as of</w:t>
            </w: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Stated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4"/>
              </w:rPr>
              <w:t>Scheduled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6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Interest Rates</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Maturity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Secured revolving credit facilities: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Line of credit(1)</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306,867</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Line of credit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LIBOR + 1.50%(2)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Line of credit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w w:val="92"/>
              </w:rPr>
              <w:t>LIBOR + 1.50%(2)</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June 2012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Unsecured revolving credit facilities:</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Line of credit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504,305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2,122,904</w:t>
            </w:r>
          </w:p>
        </w:tc>
        <w:tc>
          <w:tcPr>
            <w:tcW w:w="18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w w:val="92"/>
              </w:rPr>
              <w:t>LIBOR + 0.85%(2)</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June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Line of credit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1,158,369</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LIBOR + 0.85%(2)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vMerge w:val="restart"/>
          </w:tcPr>
          <w:p>
            <w:pPr>
              <w:ind w:left="120"/>
              <w:spacing w:after="0"/>
              <w:rPr>
                <w:sz w:val="20"/>
                <w:szCs w:val="20"/>
                <w:color w:val="auto"/>
              </w:rPr>
            </w:pPr>
            <w:r>
              <w:rPr>
                <w:rFonts w:ascii="Arial" w:cs="Arial" w:eastAsia="Arial" w:hAnsi="Arial"/>
                <w:sz w:val="18"/>
                <w:szCs w:val="18"/>
                <w:color w:val="auto"/>
              </w:rPr>
              <w:t>Total revolving credit facilities</w:t>
            </w: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1,708,027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3,588,140</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Secured term loans:</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w w:val="98"/>
              </w:rPr>
              <w:t>Collateralized by investments in corporate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Greater of 6.25% or</w:t>
            </w: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Collateralized by CTLs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947,862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947,862</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LIBOR + 3.40%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w w:val="97"/>
              </w:rPr>
              <w:t>Collateralized by loans, CTLs, REHI and OREO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w w:val="92"/>
              </w:rPr>
              <w:t>LIBOR + 1.50%(2)</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June 2011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Collateralized by loans, CTLs, REHI and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OREO(4)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621,221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LIBOR + 1.50%(2)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w w:val="97"/>
              </w:rPr>
              <w:t>Collateralized by loans, CTLs, REHI and OREO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LIBOR + 2.50%</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June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Collateralized by CTLs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117,371</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LIBOR + 1.65%</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Collateralized by CTLs and OREO(3)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260,980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241,094</w:t>
            </w:r>
          </w:p>
        </w:tc>
        <w:tc>
          <w:tcPr>
            <w:tcW w:w="18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6.4%–8.4%</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Various through 2029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secured term loans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3,999,342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1,606,327</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Secured notes: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8.0% senior notes(4)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10.0% senior notes(4)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479,548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June 2014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secured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Unsecured notes: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4.875% senior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249,627</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LIBOR + 0.55% senior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176,550</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LIBOR + 0.34% senior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LIBOR + 0.35% senior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480,000</w:t>
            </w:r>
          </w:p>
        </w:tc>
        <w:tc>
          <w:tcPr>
            <w:tcW w:w="18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LIBOR + 0.35%</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March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5.375% senior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6.0% senior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251,086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334,820</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December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5.80% senior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239,500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5.125% senior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175,168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241,150</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5.125%</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April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5.650% senior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461,595</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5.15% senior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603,768</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March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5.500% senior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230,700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LIBOR + 0.50% senior convertible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787,750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787,750</w:t>
            </w:r>
          </w:p>
        </w:tc>
        <w:tc>
          <w:tcPr>
            <w:tcW w:w="18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LIBOR + 0.50%</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October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8.625% senior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697,293</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5.95% senior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459,453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795,227</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October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6.5% senior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128,715</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5.70% senior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206,601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295,099</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March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6.05% senior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201,880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5.875% senior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261,403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407,748</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5.875%</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March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5.850% senior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189,530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vMerge w:val="restart"/>
          </w:tcPr>
          <w:p>
            <w:pPr>
              <w:ind w:left="240"/>
              <w:spacing w:after="0"/>
              <w:rPr>
                <w:sz w:val="20"/>
                <w:szCs w:val="20"/>
                <w:color w:val="auto"/>
              </w:rPr>
            </w:pPr>
            <w:r>
              <w:rPr>
                <w:rFonts w:ascii="Arial" w:cs="Arial" w:eastAsia="Arial" w:hAnsi="Arial"/>
                <w:sz w:val="18"/>
                <w:szCs w:val="18"/>
                <w:color w:val="auto"/>
              </w:rPr>
              <w:t>Total unsecured notes</w:t>
            </w: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4,266,635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7,230,952</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debt obligations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LIBOR + 1.5%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2035</w:t>
            </w:r>
          </w:p>
        </w:tc>
        <w:tc>
          <w:tcPr>
            <w:tcW w:w="0" w:type="dxa"/>
            <w:vAlign w:val="bottom"/>
          </w:tcPr>
          <w:p>
            <w:pPr>
              <w:spacing w:after="0"/>
              <w:rPr>
                <w:sz w:val="1"/>
                <w:szCs w:val="1"/>
                <w:color w:val="auto"/>
              </w:rPr>
            </w:pPr>
          </w:p>
        </w:tc>
      </w:tr>
      <w:tr>
        <w:trPr>
          <w:trHeight w:val="27"/>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debt obligations</w:t>
            </w: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10,708,805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12,525,419</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Debt premiums/(discounts), net(4)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(39,015)</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debt obligations, net</w:t>
            </w:r>
          </w:p>
        </w:tc>
        <w:tc>
          <w:tcPr>
            <w:tcW w:w="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10,894,903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12,486,404</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20"/>
          </w:cols>
          <w:pgMar w:left="240" w:top="131" w:right="1339" w:bottom="1440" w:gutter="0" w:footer="0" w:header="0"/>
        </w:sectPr>
      </w:pPr>
    </w:p>
    <w:p>
      <w:pPr>
        <w:spacing w:after="0" w:line="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 (Continued)</w:t>
      </w:r>
    </w:p>
    <w:p>
      <w:pPr>
        <w:spacing w:after="0" w:line="227"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credit line was fully repaid and terminated in 2009.</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revolving and term loan commitments have an annual commitment fee of 0.20%.</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the balance of a $35.2 million non-recourse senior secured term loan which the Company recorded in 2009 in conjunction with taking ownership of a property that was previously financed by a mezzanine loan funded by the Company and by a senior secured term loan of a third party lender.</w:t>
      </w:r>
    </w:p>
    <w:p>
      <w:pPr>
        <w:spacing w:after="0" w:line="111"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of Decembr 31, 2009, debt premiums/(discounts), net includes debt premiums of $221.3 million associated with the secured notes and resulted from the unsecured/secured note exchange transactions completed in May 2009 (see below). In addition, amount includes debt discounts related to unsecured convertible notes of $32.7 million and other premiums and discounts on other debt obligations.</w:t>
      </w:r>
    </w:p>
    <w:p>
      <w:pPr>
        <w:spacing w:after="0" w:line="189" w:lineRule="exact"/>
        <w:rPr>
          <w:sz w:val="20"/>
          <w:szCs w:val="20"/>
          <w:color w:val="auto"/>
        </w:rPr>
      </w:pPr>
    </w:p>
    <w:p>
      <w:pPr>
        <w:ind w:firstLine="459"/>
        <w:spacing w:after="0" w:line="275" w:lineRule="auto"/>
        <w:rPr>
          <w:sz w:val="20"/>
          <w:szCs w:val="20"/>
          <w:color w:val="auto"/>
        </w:rPr>
      </w:pPr>
      <w:r>
        <w:rPr>
          <w:rFonts w:ascii="Arial" w:cs="Arial" w:eastAsia="Arial" w:hAnsi="Arial"/>
          <w:sz w:val="18"/>
          <w:szCs w:val="18"/>
          <w:b w:val="1"/>
          <w:bCs w:val="1"/>
          <w:color w:val="auto"/>
        </w:rPr>
        <w:t>Future Scheduled Maturities</w:t>
      </w:r>
      <w:r>
        <w:rPr>
          <w:rFonts w:ascii="Arial" w:cs="Arial" w:eastAsia="Arial" w:hAnsi="Arial"/>
          <w:sz w:val="18"/>
          <w:szCs w:val="18"/>
          <w:color w:val="auto"/>
        </w:rPr>
        <w:t>—As of December 31, 2009, future scheduled maturities of outstanding long-term debt obligations, net are as follows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586,772</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4,022,349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2012(1)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3,540,912</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1,099,730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686,149</w:t>
            </w: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772,893</w:t>
            </w:r>
          </w:p>
        </w:tc>
        <w:tc>
          <w:tcPr>
            <w:tcW w:w="0" w:type="dxa"/>
            <w:vAlign w:val="bottom"/>
          </w:tcPr>
          <w:p>
            <w:pPr>
              <w:spacing w:after="0"/>
              <w:rPr>
                <w:sz w:val="1"/>
                <w:szCs w:val="1"/>
                <w:color w:val="auto"/>
              </w:rPr>
            </w:pPr>
          </w:p>
        </w:tc>
      </w:tr>
      <w:tr>
        <w:trPr>
          <w:trHeight w:val="29"/>
        </w:trPr>
        <w:tc>
          <w:tcPr>
            <w:tcW w:w="5660" w:type="dxa"/>
            <w:vAlign w:val="bottom"/>
            <w:vMerge w:val="restart"/>
          </w:tcPr>
          <w:p>
            <w:pPr>
              <w:spacing w:after="0"/>
              <w:rPr>
                <w:sz w:val="20"/>
                <w:szCs w:val="20"/>
                <w:color w:val="auto"/>
              </w:rPr>
            </w:pPr>
            <w:r>
              <w:rPr>
                <w:rFonts w:ascii="Arial" w:cs="Arial" w:eastAsia="Arial" w:hAnsi="Arial"/>
                <w:sz w:val="18"/>
                <w:szCs w:val="18"/>
                <w:color w:val="auto"/>
              </w:rPr>
              <w:t>Total principal maturities</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w w:val="93"/>
              </w:rPr>
              <w:t>10,708,805</w:t>
            </w: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Unamortized debt premiums, net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186,098</w:t>
            </w:r>
          </w:p>
        </w:tc>
        <w:tc>
          <w:tcPr>
            <w:tcW w:w="0" w:type="dxa"/>
            <w:vAlign w:val="bottom"/>
          </w:tcPr>
          <w:p>
            <w:pPr>
              <w:spacing w:after="0"/>
              <w:rPr>
                <w:sz w:val="1"/>
                <w:szCs w:val="1"/>
                <w:color w:val="auto"/>
              </w:rPr>
            </w:pPr>
          </w:p>
        </w:tc>
      </w:tr>
      <w:tr>
        <w:trPr>
          <w:trHeight w:val="29"/>
        </w:trPr>
        <w:tc>
          <w:tcPr>
            <w:tcW w:w="5660" w:type="dxa"/>
            <w:vAlign w:val="bottom"/>
            <w:vMerge w:val="restart"/>
          </w:tcPr>
          <w:p>
            <w:pPr>
              <w:spacing w:after="0"/>
              <w:rPr>
                <w:sz w:val="20"/>
                <w:szCs w:val="20"/>
                <w:color w:val="auto"/>
              </w:rPr>
            </w:pPr>
            <w:r>
              <w:rPr>
                <w:rFonts w:ascii="Arial" w:cs="Arial" w:eastAsia="Arial" w:hAnsi="Arial"/>
                <w:sz w:val="18"/>
                <w:szCs w:val="18"/>
                <w:color w:val="auto"/>
              </w:rPr>
              <w:t>Total long-term debt obligations, net</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10,894,903</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15265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2840" w:hanging="550"/>
        <w:spacing w:after="0" w:line="230" w:lineRule="auto"/>
        <w:tabs>
          <w:tab w:leader="none" w:pos="28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further discussed in Debt Covenants below, although due in 2012, as presented above, if the Company does not pay down the outstanding balance of its $1.00 billion First Priority Credit Agreement by $500 million by September 30, 2010, payments of principal and net sale proceeds received by the Company in respect of assets constituting collateral for its obligation under this agreement must be applied towards the mandatory prepayment of the loan and commitment reductions under the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debt transactions in 2009:</w:t>
      </w:r>
    </w:p>
    <w:p>
      <w:pPr>
        <w:spacing w:after="0" w:line="225" w:lineRule="exact"/>
        <w:rPr>
          <w:sz w:val="20"/>
          <w:szCs w:val="20"/>
          <w:color w:val="auto"/>
        </w:rPr>
      </w:pPr>
    </w:p>
    <w:p>
      <w:pPr>
        <w:jc w:val="both"/>
        <w:ind w:firstLine="394"/>
        <w:spacing w:after="0" w:line="255" w:lineRule="auto"/>
        <w:rPr>
          <w:sz w:val="20"/>
          <w:szCs w:val="20"/>
          <w:color w:val="auto"/>
        </w:rPr>
      </w:pPr>
      <w:r>
        <w:rPr>
          <w:rFonts w:ascii="Arial" w:cs="Arial" w:eastAsia="Arial" w:hAnsi="Arial"/>
          <w:sz w:val="18"/>
          <w:szCs w:val="18"/>
          <w:b w:val="1"/>
          <w:bCs w:val="1"/>
          <w:color w:val="auto"/>
        </w:rPr>
        <w:t>Credit Facilities Restructuring</w:t>
      </w:r>
      <w:r>
        <w:rPr>
          <w:rFonts w:ascii="Arial" w:cs="Arial" w:eastAsia="Arial" w:hAnsi="Arial"/>
          <w:sz w:val="18"/>
          <w:szCs w:val="18"/>
          <w:color w:val="auto"/>
        </w:rPr>
        <w:t>—In March 2009, the Company entered into a $1.00 billion First Priority Credit Agreement with participating members of</w:t>
      </w:r>
      <w:r>
        <w:rPr>
          <w:rFonts w:ascii="Arial" w:cs="Arial" w:eastAsia="Arial" w:hAnsi="Arial"/>
          <w:sz w:val="18"/>
          <w:szCs w:val="18"/>
          <w:b w:val="1"/>
          <w:bCs w:val="1"/>
          <w:color w:val="auto"/>
        </w:rPr>
        <w:t xml:space="preserve"> </w:t>
      </w:r>
      <w:r>
        <w:rPr>
          <w:rFonts w:ascii="Arial" w:cs="Arial" w:eastAsia="Arial" w:hAnsi="Arial"/>
          <w:sz w:val="18"/>
          <w:szCs w:val="18"/>
          <w:color w:val="auto"/>
        </w:rPr>
        <w:t>its existing bank lending group. The First Priority Credit Agreement will mature in June 2012. Borrowings bear interest at the rate of LIBOR + 2.50% per year, subject to adjustment based upon the Company's corporate credit ratings (see Ratings Triggers below) and are collateralized by a first-priority lien on a pool of collateral consisting of loans, debt securities, corporate tenant lease assets and other assets pledged under the First and Second Priority Credit Agreements and the Second Priority Secured Exchange Notes (see below). As of December 31, 2009, the First Priority Credit Agreement was fully drawn with $1.00 billion of secured term loans outstanding.</w:t>
      </w:r>
    </w:p>
    <w:p>
      <w:pPr>
        <w:spacing w:after="0" w:line="199" w:lineRule="exact"/>
        <w:rPr>
          <w:sz w:val="20"/>
          <w:szCs w:val="20"/>
          <w:color w:val="auto"/>
        </w:rPr>
      </w:pPr>
    </w:p>
    <w:p>
      <w:pPr>
        <w:jc w:val="both"/>
        <w:ind w:firstLine="511"/>
        <w:spacing w:after="0" w:line="259" w:lineRule="auto"/>
        <w:rPr>
          <w:sz w:val="20"/>
          <w:szCs w:val="20"/>
          <w:color w:val="auto"/>
        </w:rPr>
      </w:pPr>
      <w:r>
        <w:rPr>
          <w:rFonts w:ascii="Arial" w:cs="Arial" w:eastAsia="Arial" w:hAnsi="Arial"/>
          <w:sz w:val="18"/>
          <w:szCs w:val="18"/>
          <w:color w:val="auto"/>
        </w:rPr>
        <w:t>Also in March 2009, the Company restructured its two unsecured revolving credit facilities by entering into Second Priority Credit Agreements, with $1.70 billion maturing in 2011 and $950.0 million maturing in 2012, with the same lenders participating in the First Priority Credit Agreement. Such lenders' commitments under the Company's unsecured facilities have been terminated and replaced by their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commitments under the Second Priority Credit Agreements. Under these agreements, the participating lenders have a second priority lien on the same collateral pool securing the First Priority Credit Agreement and the Second Priority Secured Exchange Notes (see Unsecured/Secured Note Exchange below). As of December 31, 2009, outstanding borrowings under the Second Priority Credit Agreements include $625.2 million and $334.2 million of revolving loans as well as $1.06 billion and $621.2 million of term loans due in June 2011 and June 2012, respectively. Borrowings bear interest at the rate of LIBOR + 1.50% per year, subject to adjustment based upon the Company's corporate credit ratings (see Ratings Triggers below). As of December 31, 2009, there was approximately $2.1 million that was immediately available to draw under the Second Priority Credit Agreement.</w:t>
      </w:r>
    </w:p>
    <w:p>
      <w:pPr>
        <w:spacing w:after="0" w:line="174" w:lineRule="exact"/>
        <w:rPr>
          <w:sz w:val="20"/>
          <w:szCs w:val="20"/>
          <w:color w:val="auto"/>
        </w:rPr>
      </w:pPr>
    </w:p>
    <w:p>
      <w:pPr>
        <w:jc w:val="both"/>
        <w:ind w:right="20" w:firstLine="352"/>
        <w:spacing w:after="0" w:line="268" w:lineRule="auto"/>
        <w:rPr>
          <w:sz w:val="20"/>
          <w:szCs w:val="20"/>
          <w:color w:val="auto"/>
        </w:rPr>
      </w:pPr>
      <w:r>
        <w:rPr>
          <w:rFonts w:ascii="Arial" w:cs="Arial" w:eastAsia="Arial" w:hAnsi="Arial"/>
          <w:sz w:val="18"/>
          <w:szCs w:val="18"/>
          <w:color w:val="auto"/>
        </w:rPr>
        <w:t>At December 31, 2009, the total carrying value of assets pledged as collateral under the First and Second Priority Credit Agreements and the Second Priority Secured Exchange Notes was $5.73 billion.</w:t>
      </w:r>
    </w:p>
    <w:p>
      <w:pPr>
        <w:spacing w:after="0" w:line="186" w:lineRule="exact"/>
        <w:rPr>
          <w:sz w:val="20"/>
          <w:szCs w:val="20"/>
          <w:color w:val="auto"/>
        </w:rPr>
      </w:pPr>
    </w:p>
    <w:p>
      <w:pPr>
        <w:jc w:val="both"/>
        <w:ind w:firstLine="617"/>
        <w:spacing w:after="0" w:line="294" w:lineRule="auto"/>
        <w:rPr>
          <w:sz w:val="20"/>
          <w:szCs w:val="20"/>
          <w:color w:val="auto"/>
        </w:rPr>
      </w:pPr>
      <w:r>
        <w:rPr>
          <w:rFonts w:ascii="Arial" w:cs="Arial" w:eastAsia="Arial" w:hAnsi="Arial"/>
          <w:sz w:val="16"/>
          <w:szCs w:val="16"/>
          <w:color w:val="auto"/>
        </w:rPr>
        <w:t>Concurrently with entering into the First and Second Priority Credit Agreements, the Company entered into amendments to its $2.22 billion and $1.20 billion unsecured revolving credit facilities. As of December 31, 2009, after giving effect to the amendments, outstanding balances on the unsecured credit facilities were $504.3 million, which will expire in June 2011, and $244.3 million, which will expire in June 2012. The amendments eliminated certain covenants and events of default. The unsecured revolving credit facilities may not be repaid prior to maturity while the First and Second Priority Credit Agreements remain outstanding. These facilities remain unsecured and no changes were made to the pricing terms of these facilities in connection with these amendments.</w:t>
      </w:r>
    </w:p>
    <w:p>
      <w:pPr>
        <w:spacing w:after="0" w:line="164" w:lineRule="exact"/>
        <w:rPr>
          <w:sz w:val="20"/>
          <w:szCs w:val="20"/>
          <w:color w:val="auto"/>
        </w:rPr>
      </w:pPr>
    </w:p>
    <w:p>
      <w:pPr>
        <w:jc w:val="both"/>
        <w:ind w:firstLine="438"/>
        <w:spacing w:after="0" w:line="293" w:lineRule="auto"/>
        <w:rPr>
          <w:sz w:val="20"/>
          <w:szCs w:val="20"/>
          <w:color w:val="auto"/>
        </w:rPr>
      </w:pPr>
      <w:r>
        <w:rPr>
          <w:rFonts w:ascii="Arial" w:cs="Arial" w:eastAsia="Arial" w:hAnsi="Arial"/>
          <w:sz w:val="16"/>
          <w:szCs w:val="16"/>
          <w:b w:val="1"/>
          <w:bCs w:val="1"/>
          <w:color w:val="auto"/>
        </w:rPr>
        <w:t>Unsecured/Secured Notes Exchange</w:t>
      </w:r>
      <w:r>
        <w:rPr>
          <w:rFonts w:ascii="Arial" w:cs="Arial" w:eastAsia="Arial" w:hAnsi="Arial"/>
          <w:sz w:val="16"/>
          <w:szCs w:val="16"/>
          <w:color w:val="auto"/>
        </w:rPr>
        <w:t>—On May 8, 2009, the Company completed a series of private offers in which the Company issued $155.3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principal amount of its 8.0% second priority senior secured guaranteed notes due 2011 ("2011 Notes") and $479.5 million aggregate principal amounts of its 10.0% second priority senior secured guaranteed notes due 2014 ("2014 Notes" and together with the 2011 Notes, the "Second Priority Secured Exchange Notes") in exchange for $1.01 billion aggregate principal amount of its senior unsecured notes of various series. The Second Priority Secured Exchange Notes are collateralized by a second priority lien on the same pool of collateral pledged under the First and Second Priority Credit Agreements. In conjunction with the exchange, the Company also purchased $12.5 million par value of its outstanding senior floating rate notes due September 2009 in a cash tender offer.</w:t>
      </w:r>
    </w:p>
    <w:p>
      <w:pPr>
        <w:spacing w:after="0" w:line="171" w:lineRule="exact"/>
        <w:rPr>
          <w:sz w:val="20"/>
          <w:szCs w:val="20"/>
          <w:color w:val="auto"/>
        </w:rPr>
      </w:pPr>
    </w:p>
    <w:p>
      <w:pPr>
        <w:jc w:val="both"/>
        <w:ind w:firstLine="371"/>
        <w:spacing w:after="0" w:line="287" w:lineRule="auto"/>
        <w:rPr>
          <w:sz w:val="20"/>
          <w:szCs w:val="20"/>
          <w:color w:val="auto"/>
        </w:rPr>
      </w:pPr>
      <w:r>
        <w:rPr>
          <w:rFonts w:ascii="Arial" w:cs="Arial" w:eastAsia="Arial" w:hAnsi="Arial"/>
          <w:sz w:val="16"/>
          <w:szCs w:val="16"/>
          <w:color w:val="auto"/>
        </w:rPr>
        <w:t>The Company has accounted for the issuance of the 2014 Notes in exchange for various series of senior unsecured notes as a troubled debt restructuring. As such, the Company recognized a gain on the exchange to the extent that the prior carrying value of the senior unsecured notes exceeded the total future contractual cash payments of the 2014 Notes, consisting of both principal and interest. The issuance of the 2011 Notes in exchange for senior unsecured notes was considered a modification of the original debt resulting in adjustments to the carrying amounts for any new premiums or discounts. As a result of these transactions, including the purchase of $12.5 million of outstanding senior floating notes due September 2009 in a cash tender offer, the Company recognized a $107.9 million gain on early extinguishment of debt, net of closing costs of $11.8 million, and recorded a deferred gain of $262.7 million which is reflected as premiums to the par value of the new debt. These premiums are being amortized over the terms of the 2011 Notes and the 2014 Notes as a reduction to interest expense. As of December 31, 2009, the remaining premiums to be amortized are $215.8 million for the 2014 Notes and $5.5 million for the 2011 Notes. In addition, in connection with the exchange for the 2011 Notes, the Company incurred $4.3 million of direct costs which were recorded in "Other expense" on its Consolidated Statements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 (Continued)</w:t>
      </w:r>
    </w:p>
    <w:p>
      <w:pPr>
        <w:spacing w:after="0" w:line="225" w:lineRule="exact"/>
        <w:rPr>
          <w:sz w:val="20"/>
          <w:szCs w:val="20"/>
          <w:color w:val="auto"/>
        </w:rPr>
      </w:pPr>
    </w:p>
    <w:p>
      <w:pPr>
        <w:jc w:val="both"/>
        <w:ind w:firstLine="375"/>
        <w:spacing w:after="0" w:line="310" w:lineRule="auto"/>
        <w:rPr>
          <w:sz w:val="20"/>
          <w:szCs w:val="20"/>
          <w:color w:val="auto"/>
        </w:rPr>
      </w:pPr>
      <w:r>
        <w:rPr>
          <w:rFonts w:ascii="Arial" w:cs="Arial" w:eastAsia="Arial" w:hAnsi="Arial"/>
          <w:sz w:val="16"/>
          <w:szCs w:val="16"/>
          <w:b w:val="1"/>
          <w:bCs w:val="1"/>
          <w:color w:val="auto"/>
        </w:rPr>
        <w:t>Note Repurchases</w:t>
      </w:r>
      <w:r>
        <w:rPr>
          <w:rFonts w:ascii="Arial" w:cs="Arial" w:eastAsia="Arial" w:hAnsi="Arial"/>
          <w:sz w:val="16"/>
          <w:szCs w:val="16"/>
          <w:color w:val="auto"/>
        </w:rPr>
        <w:t>—During the year ended December 31, 2009, the Company repurchased, through open market and private transactions, $1.31 billion par</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its senior unsecured notes with various maturities ranging from January 2009 to March 2017. In connection with these repurchases, the Company recorded an aggregate net gain on early extinguishment of debt of $439.4 million for the year ended December 31, 2009.</w:t>
      </w:r>
    </w:p>
    <w:p>
      <w:pPr>
        <w:spacing w:after="0" w:line="151"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b w:val="1"/>
          <w:bCs w:val="1"/>
          <w:color w:val="auto"/>
        </w:rPr>
        <w:t>Convertible Notes</w:t>
      </w:r>
      <w:r>
        <w:rPr>
          <w:rFonts w:ascii="Arial" w:cs="Arial" w:eastAsia="Arial" w:hAnsi="Arial"/>
          <w:sz w:val="16"/>
          <w:szCs w:val="16"/>
          <w:color w:val="auto"/>
        </w:rPr>
        <w:t>—As discussed in Note 3, the Company adopted the provisions of ASC 470-20-65-1 on January 1, 2009, as required. ASC 470-20-65-1</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the Company to account for proceeds from the issuance of convertible notes separately between the liability component and the conversion option (or the equity component). This standard is applicable to the Company's $800.0 million aggregate principal amount of convertible senior floating rate notes due October 2012 ("Convertible Notes"). The Convertible Notes are convertible at the option of the holders, into 22.2 shares per $1,000 principal amount of Convertible Notes, on or after August 15, 2012, or prior to that date if (1) the price of the Company's Common Stock trades above 130% of the conversion price for a specified duration, (2) the trading price of the Convertible Notes is below a certain threshold, subject to specified exceptions, (3) the Convertible Notes have been called for redemption, or (4) specified corporate transactions have occurred. None of the conversion triggers have been met as of December 31, 2009.</w:t>
      </w:r>
    </w:p>
    <w:p>
      <w:pPr>
        <w:spacing w:after="0" w:line="173" w:lineRule="exact"/>
        <w:rPr>
          <w:sz w:val="20"/>
          <w:szCs w:val="20"/>
          <w:color w:val="auto"/>
        </w:rPr>
      </w:pPr>
    </w:p>
    <w:p>
      <w:pPr>
        <w:jc w:val="both"/>
        <w:ind w:firstLine="470"/>
        <w:spacing w:after="0" w:line="291" w:lineRule="auto"/>
        <w:rPr>
          <w:sz w:val="20"/>
          <w:szCs w:val="20"/>
          <w:color w:val="auto"/>
        </w:rPr>
      </w:pPr>
      <w:r>
        <w:rPr>
          <w:rFonts w:ascii="Arial" w:cs="Arial" w:eastAsia="Arial" w:hAnsi="Arial"/>
          <w:sz w:val="16"/>
          <w:szCs w:val="16"/>
          <w:color w:val="auto"/>
        </w:rPr>
        <w:t>As of December 31, 2009, the carrying value of the additional paid-in-capital, or equity component of the Convertible Notes, was $37.4 million. As of December 31, 2009, the principal outstanding of the Convertible Notes was $787.8 million, the unamortized discount was $32.7 million and the net carrying amount of the liability was $755.1 million. As required, the adoption was applied retrospectively to all periods presented for fiscal years beginning before December 31, 2008. For the years ended December 31, 2009, 2008 and 2007, the Company recognized interest on the Convertible Notes of $21.0 million, $42.3 million and $12.1 million, respectively, in "Interest expense" on its Consolidated Statements of Operations, of which $10.0 million, $9.5 million and $2.3 million, respectively, related to the amortization of the debt discount (see Note 14 for details on the impact of earnings per share due to the adoption).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debt transactions in 2008:</w:t>
      </w:r>
    </w:p>
    <w:p>
      <w:pPr>
        <w:spacing w:after="0" w:line="225" w:lineRule="exact"/>
        <w:rPr>
          <w:sz w:val="20"/>
          <w:szCs w:val="20"/>
          <w:color w:val="auto"/>
        </w:rPr>
      </w:pPr>
    </w:p>
    <w:p>
      <w:pPr>
        <w:jc w:val="both"/>
        <w:ind w:firstLine="610"/>
        <w:spacing w:after="0" w:line="339" w:lineRule="auto"/>
        <w:rPr>
          <w:sz w:val="20"/>
          <w:szCs w:val="20"/>
          <w:color w:val="auto"/>
        </w:rPr>
      </w:pPr>
      <w:r>
        <w:rPr>
          <w:rFonts w:ascii="Arial" w:cs="Arial" w:eastAsia="Arial" w:hAnsi="Arial"/>
          <w:sz w:val="16"/>
          <w:szCs w:val="16"/>
          <w:b w:val="1"/>
          <w:bCs w:val="1"/>
          <w:color w:val="auto"/>
        </w:rPr>
        <w:t>Secured Term Loans</w:t>
      </w:r>
      <w:r>
        <w:rPr>
          <w:rFonts w:ascii="Arial" w:cs="Arial" w:eastAsia="Arial" w:hAnsi="Arial"/>
          <w:sz w:val="16"/>
          <w:szCs w:val="16"/>
          <w:color w:val="auto"/>
        </w:rPr>
        <w:t>—During 2008, the Company closed on a $947.9 million secured term financing maturing in April 2011. This financing is</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collateralized by 34 properties in the Company's Corporate Tenant Lease portfolio and bears interest at the greater of 6.25% or LIBOR + 3.40%.</w:t>
      </w:r>
    </w:p>
    <w:p>
      <w:pPr>
        <w:spacing w:after="0" w:line="128" w:lineRule="exact"/>
        <w:rPr>
          <w:sz w:val="20"/>
          <w:szCs w:val="20"/>
          <w:color w:val="auto"/>
        </w:rPr>
      </w:pPr>
    </w:p>
    <w:p>
      <w:pPr>
        <w:jc w:val="both"/>
        <w:ind w:firstLine="351"/>
        <w:spacing w:after="0" w:line="310" w:lineRule="auto"/>
        <w:rPr>
          <w:sz w:val="20"/>
          <w:szCs w:val="20"/>
          <w:color w:val="auto"/>
        </w:rPr>
      </w:pPr>
      <w:r>
        <w:rPr>
          <w:rFonts w:ascii="Arial" w:cs="Arial" w:eastAsia="Arial" w:hAnsi="Arial"/>
          <w:sz w:val="16"/>
          <w:szCs w:val="16"/>
          <w:b w:val="1"/>
          <w:bCs w:val="1"/>
          <w:color w:val="auto"/>
        </w:rPr>
        <w:t>Note Repurchases</w:t>
      </w:r>
      <w:r>
        <w:rPr>
          <w:rFonts w:ascii="Arial" w:cs="Arial" w:eastAsia="Arial" w:hAnsi="Arial"/>
          <w:sz w:val="16"/>
          <w:szCs w:val="16"/>
          <w:color w:val="auto"/>
        </w:rPr>
        <w:t>—During the year ended December 31, 2008, the Company repurchased, through open market and private transactions $900.7 million par</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its senior unsecured notes with various maturities ranging from January 2009 to March 2017. In connection with these repurchases, the Company recorded an aggregate net gain on early extinguishment of debt $393.1 million for the year ended December 31, 2008.</w:t>
      </w:r>
    </w:p>
    <w:p>
      <w:pPr>
        <w:spacing w:after="0" w:line="151" w:lineRule="exact"/>
        <w:rPr>
          <w:sz w:val="20"/>
          <w:szCs w:val="20"/>
          <w:color w:val="auto"/>
        </w:rPr>
      </w:pPr>
    </w:p>
    <w:p>
      <w:pPr>
        <w:jc w:val="both"/>
        <w:ind w:firstLine="470"/>
        <w:spacing w:after="0" w:line="296" w:lineRule="auto"/>
        <w:rPr>
          <w:sz w:val="20"/>
          <w:szCs w:val="20"/>
          <w:color w:val="auto"/>
        </w:rPr>
      </w:pPr>
      <w:r>
        <w:rPr>
          <w:rFonts w:ascii="Arial" w:cs="Arial" w:eastAsia="Arial" w:hAnsi="Arial"/>
          <w:sz w:val="16"/>
          <w:szCs w:val="16"/>
          <w:b w:val="1"/>
          <w:bCs w:val="1"/>
          <w:color w:val="auto"/>
        </w:rPr>
        <w:t>Senior Note Issuances</w:t>
      </w:r>
      <w:r>
        <w:rPr>
          <w:rFonts w:ascii="Arial" w:cs="Arial" w:eastAsia="Arial" w:hAnsi="Arial"/>
          <w:sz w:val="16"/>
          <w:szCs w:val="16"/>
          <w:color w:val="auto"/>
        </w:rPr>
        <w:t>—In May 2008, the Company issued $750.0 million aggregate principal amount of senior unsecured notes bearing interest at an</w:t>
      </w:r>
      <w:r>
        <w:rPr>
          <w:rFonts w:ascii="Arial" w:cs="Arial" w:eastAsia="Arial" w:hAnsi="Arial"/>
          <w:sz w:val="16"/>
          <w:szCs w:val="16"/>
          <w:b w:val="1"/>
          <w:bCs w:val="1"/>
          <w:color w:val="auto"/>
        </w:rPr>
        <w:t xml:space="preserve"> </w:t>
      </w:r>
      <w:r>
        <w:rPr>
          <w:rFonts w:ascii="Arial" w:cs="Arial" w:eastAsia="Arial" w:hAnsi="Arial"/>
          <w:sz w:val="16"/>
          <w:szCs w:val="16"/>
          <w:color w:val="auto"/>
        </w:rPr>
        <w:t>annual rate of 8.625% and maturing in June 2013. The Company used the proceeds from the issuance of these securities primarily to repay outstanding indebtedness under its unsecured revolving credit facility. Simultaneous with the issuance of this debt, the Company also entered into interest rate swap agreements to swap the fixed interest rate on the $750.0 million senior unsecured notes for a variable interest rate. During the year ended December 31, 2008, the Company terminated the swaps associated with these notes (see Note 12 for further details).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31" w:lineRule="exact"/>
        <w:rPr>
          <w:sz w:val="20"/>
          <w:szCs w:val="20"/>
          <w:color w:val="auto"/>
        </w:rPr>
      </w:pPr>
    </w:p>
    <w:p>
      <w:pPr>
        <w:jc w:val="both"/>
        <w:ind w:firstLine="516"/>
        <w:spacing w:after="0" w:line="289" w:lineRule="auto"/>
        <w:rPr>
          <w:sz w:val="20"/>
          <w:szCs w:val="20"/>
          <w:color w:val="auto"/>
        </w:rPr>
      </w:pPr>
      <w:r>
        <w:rPr>
          <w:rFonts w:ascii="Arial" w:cs="Arial" w:eastAsia="Arial" w:hAnsi="Arial"/>
          <w:sz w:val="16"/>
          <w:szCs w:val="16"/>
          <w:color w:val="auto"/>
        </w:rPr>
        <w:t>The Company's ability to borrow under its secured credit facilities depends on maintaining compliance with various covenants, including a minimum tangible net worth covenant and specified financial ratios, such as fixed charge coverage, unencumbered assets to unsecured indebtedness, eligible collateral coverage and leverage ratios. All of these covenants on the facilities are maintenance covenants and, if breached could result in an acceleration of the Company's facilities if a waiver or modification is not agreed upon with the requisite percentage of the unsecured lending group and lenders on the other facilities. (see Business Risks and Uncertainties in Note 10). The Company's secured credit facilities also impose limitations on repayments, repurchases, refinancings and optional redemptions of its existing unsecured notes or secured exchange notes issued pursuant to the Company's exchange offer, as well as limitations on repurchases of its Common Stock. For so long as the Company maintains its qualification as a REIT, the secured credit facilities permit the Company to distribute 100% of its REIT taxable income on an annual basis. The Company may not pay common dividends if it ceases to qualify as a REIT.</w:t>
      </w:r>
    </w:p>
    <w:p>
      <w:pPr>
        <w:spacing w:after="0" w:line="172" w:lineRule="exact"/>
        <w:rPr>
          <w:sz w:val="20"/>
          <w:szCs w:val="20"/>
          <w:color w:val="auto"/>
        </w:rPr>
      </w:pPr>
    </w:p>
    <w:p>
      <w:pPr>
        <w:jc w:val="both"/>
        <w:ind w:firstLine="388"/>
        <w:spacing w:after="0" w:line="290" w:lineRule="auto"/>
        <w:rPr>
          <w:sz w:val="20"/>
          <w:szCs w:val="20"/>
          <w:color w:val="auto"/>
        </w:rPr>
      </w:pPr>
      <w:r>
        <w:rPr>
          <w:rFonts w:ascii="Arial" w:cs="Arial" w:eastAsia="Arial" w:hAnsi="Arial"/>
          <w:sz w:val="16"/>
          <w:szCs w:val="16"/>
          <w:color w:val="auto"/>
        </w:rPr>
        <w:t>The Company's publicly held debt securities also contain covenants that include fixed charge coverage and unencumbered assets to unsecured indebtedness ratios and its secured debt securities have an eligible collateral coverage requirement. The fixed charge coverage ratio is an incurrence test. If the Company does not meet the fixed charge coverage ratio, its ability to incur additional indebtedness will be restricted. The unencumbered assets to unsecured indebtedness covenant and the eligible collateral coverage covenant are maintenance covenants and, if breached and not cured within applicable cure periods, could result in acceleration of the Company's publicly held debt unless a waiver or modification is agreed upon with the requisite percentage of the bondholders. Based on the Company's unsecured credit ratings at December 31, 2009, the financial covenants in its publicly held debt securities, including the fixed charge coverage ratio and maintenance of unencumbered assets to unsecured indebtedness ratio, are operative.</w:t>
      </w:r>
    </w:p>
    <w:p>
      <w:pPr>
        <w:spacing w:after="0" w:line="172" w:lineRule="exact"/>
        <w:rPr>
          <w:sz w:val="20"/>
          <w:szCs w:val="20"/>
          <w:color w:val="auto"/>
        </w:rPr>
      </w:pPr>
    </w:p>
    <w:p>
      <w:pPr>
        <w:jc w:val="both"/>
        <w:ind w:firstLine="424"/>
        <w:spacing w:after="0" w:line="314" w:lineRule="auto"/>
        <w:rPr>
          <w:sz w:val="20"/>
          <w:szCs w:val="20"/>
          <w:color w:val="auto"/>
        </w:rPr>
      </w:pPr>
      <w:r>
        <w:rPr>
          <w:rFonts w:ascii="Arial" w:cs="Arial" w:eastAsia="Arial" w:hAnsi="Arial"/>
          <w:sz w:val="15"/>
          <w:szCs w:val="15"/>
          <w:color w:val="auto"/>
        </w:rPr>
        <w:t>The Company's secured credit facilities and its public debt securities contain cross default provisions that would allow the lenders and the bondholders to declare an event of default and accelerate the Company's indebtedness to them if the Company fails to pay amounts due in respect of its other recourse indebtedness in excess of specified thresholds. In addition, the Company's secured credit facilities, unsecured credit facilities and the indentures governing its public debt securities provide that the lenders and bondholders may declare an event of default and accelerate its indebtedness to them if there is a non payment default under the Company's other recourse indebtedness in excess of specified thresholds and, if the holders of the other indebtedness are permitted to accelerate, in the case of the secured credit facilities, or accelerate, in the case of its unsecured credit facilities and the bond indentures, the other recourse indebtedness.</w:t>
      </w:r>
    </w:p>
    <w:p>
      <w:pPr>
        <w:spacing w:after="0" w:line="159" w:lineRule="exact"/>
        <w:rPr>
          <w:sz w:val="20"/>
          <w:szCs w:val="20"/>
          <w:color w:val="auto"/>
        </w:rPr>
      </w:pPr>
    </w:p>
    <w:p>
      <w:pPr>
        <w:jc w:val="both"/>
        <w:ind w:firstLine="489"/>
        <w:spacing w:after="0" w:line="289" w:lineRule="auto"/>
        <w:rPr>
          <w:sz w:val="20"/>
          <w:szCs w:val="20"/>
          <w:color w:val="auto"/>
        </w:rPr>
      </w:pPr>
      <w:r>
        <w:rPr>
          <w:rFonts w:ascii="Arial" w:cs="Arial" w:eastAsia="Arial" w:hAnsi="Arial"/>
          <w:sz w:val="16"/>
          <w:szCs w:val="16"/>
          <w:color w:val="auto"/>
        </w:rPr>
        <w:t>Under certain circumstances, the First and Second Priority Credit Agreements require that payments of principal and net sale proceeds received by the Company in respect of assets constituting collateral for the Company's obligations under these agreements be applied toward the mandatory prepayment of loans and commitment reductions under them. The Company would be required to make such prepayments (i) during any time that the ratio of its EBITDA to fixed charges, as defined under the agreements, is less than 1.25 to 1.00, (ii) if, after receiving a payment of principal or net sale proceeds in respect of collateral, the Company has insufficient eligible assets available to pledge as replacement collateral or (iii) if, and for so long as, the aggregate principal amount of loans outstanding under the First Priority Credit Agreement exceeds $500 million at any time on or after September 30, 2010, or zero at any time on or after March 31, 2011. The First and Second Priority Credit Agreements and indentures governing the Second Priority Secured Exchange Notes contain a number of covenants, including that the Company maintain collateral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coverage of at least 1.3x the aggregate borrowings and letters of credit outstanding under the First Priority Credit Agreement, the Second Priority Credit Agreements and the Second Priority Secured Exchange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believes it is in full compliance with all the covenants in its debt obligations as of December 31,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 Triggers</w:t>
      </w:r>
    </w:p>
    <w:p>
      <w:pPr>
        <w:spacing w:after="0" w:line="231"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color w:val="auto"/>
        </w:rPr>
        <w:t>The Company's First and Second Priority Secured Credit Agreements and unsecured credit agreements bear interest at LIBOR based rates plus an applicable margin which varies between the Credit Agreements and is determined based on the Company's corporate credit ratings. The Company's ability to borrow under its credit facilities is not dependent on the level of its credit ratings. Based on the Company's current credit ratings, further downgrades in the Company's credit ratings will have no effect on its borrowing rates under these facilities.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5" w:lineRule="exact"/>
        <w:rPr>
          <w:sz w:val="20"/>
          <w:szCs w:val="20"/>
          <w:color w:val="auto"/>
        </w:rPr>
      </w:pPr>
    </w:p>
    <w:p>
      <w:pPr>
        <w:jc w:val="both"/>
        <w:ind w:firstLine="469"/>
        <w:spacing w:after="0" w:line="289" w:lineRule="auto"/>
        <w:rPr>
          <w:sz w:val="20"/>
          <w:szCs w:val="20"/>
          <w:color w:val="auto"/>
        </w:rPr>
      </w:pPr>
      <w:r>
        <w:rPr>
          <w:rFonts w:ascii="Arial" w:cs="Arial" w:eastAsia="Arial" w:hAnsi="Arial"/>
          <w:sz w:val="16"/>
          <w:szCs w:val="16"/>
          <w:b w:val="1"/>
          <w:bCs w:val="1"/>
          <w:color w:val="auto"/>
        </w:rPr>
        <w:t>Business Risks and Uncertainties</w:t>
      </w:r>
      <w:r>
        <w:rPr>
          <w:rFonts w:ascii="Arial" w:cs="Arial" w:eastAsia="Arial" w:hAnsi="Arial"/>
          <w:sz w:val="16"/>
          <w:szCs w:val="16"/>
          <w:color w:val="auto"/>
        </w:rPr>
        <w:t>—The financial market conditions that began in late 2007, including the economic recession and tightening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continued to significantly impact the commercial real estate market and financial services industry in 2009. The severe economic downturn led to a decline in commercial real estate values, which combined with a lack of available debt financing for commercial and residential real estate assets, limited borrowers' ability to repay or refinance their loans. Further, the ability of many of the Company's borrowers to sell units in residential projects has been adversely impacted by current economic conditions and the lack of end loan financing available to residential unit purchasers. The combination of these factors adversely affected our business, financial condition and operating performance, resulting in significant additions to non-performing assets, increases in the related provision for loan losses and a reduction in the level of liquidity available to finance our operations. These economic factors and their effect on our operations have resulted in increases in our financing costs, a continuing inability to access the unsecured debt markets, depressed prices for our Common Stock, the continued suspension of quarterly Common Stock dividends and has narrowed the Company's margin of compliance with debt covenants.</w:t>
      </w:r>
    </w:p>
    <w:p>
      <w:pPr>
        <w:spacing w:after="0" w:line="173" w:lineRule="exact"/>
        <w:rPr>
          <w:sz w:val="20"/>
          <w:szCs w:val="20"/>
          <w:color w:val="auto"/>
        </w:rPr>
      </w:pPr>
    </w:p>
    <w:p>
      <w:pPr>
        <w:jc w:val="both"/>
        <w:ind w:firstLine="537"/>
        <w:spacing w:after="0" w:line="288" w:lineRule="auto"/>
        <w:rPr>
          <w:sz w:val="20"/>
          <w:szCs w:val="20"/>
          <w:color w:val="auto"/>
        </w:rPr>
      </w:pPr>
      <w:r>
        <w:rPr>
          <w:rFonts w:ascii="Arial" w:cs="Arial" w:eastAsia="Arial" w:hAnsi="Arial"/>
          <w:sz w:val="16"/>
          <w:szCs w:val="16"/>
          <w:color w:val="auto"/>
        </w:rPr>
        <w:t>The Company's primary recourse debt instruments include its secured and unsecured bank credit facilities and its secured and unsecured public debt securities. The Company believes it is in full compliance with all the covenants in those debt instruments as of December 31, 2009, however, the Company's recent financial results have put pressure on the Company's ability to maintain compliance with certain of the debt covenants in its secured bank credit facilities. In particular, the Company's tangible net worth at December 31, 2009 was approximately $1.7 billion, which is not significantly above the financial covenant minimum requirement in the Company's secured credit facilities of $1.5 billion. The Company intends to operate its business in order to remain in compliance with the covenants in its debt instruments; however, it is possible that the Company will not be able to do so. A failure by the Company to satisfy a financial covenant in a debt instrument could trigger a default under that debt instrument and could give the lenders the ability to accelerate the debt if the default is not waived or cured. Most of the Company's recourse debt instruments contain cross default and/or cross-acceleration provisions which may be triggered by defaults or accelerations of the Company's recourse debt above specified thresholds.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 (Continued)</w:t>
      </w:r>
    </w:p>
    <w:p>
      <w:pPr>
        <w:spacing w:after="0" w:line="231" w:lineRule="exact"/>
        <w:rPr>
          <w:sz w:val="20"/>
          <w:szCs w:val="20"/>
          <w:color w:val="auto"/>
        </w:rPr>
      </w:pPr>
    </w:p>
    <w:p>
      <w:pPr>
        <w:jc w:val="both"/>
        <w:ind w:firstLine="355"/>
        <w:spacing w:after="0" w:line="307" w:lineRule="auto"/>
        <w:rPr>
          <w:sz w:val="20"/>
          <w:szCs w:val="20"/>
          <w:color w:val="auto"/>
        </w:rPr>
      </w:pPr>
      <w:r>
        <w:rPr>
          <w:rFonts w:ascii="Arial" w:cs="Arial" w:eastAsia="Arial" w:hAnsi="Arial"/>
          <w:sz w:val="15"/>
          <w:szCs w:val="15"/>
          <w:color w:val="auto"/>
        </w:rPr>
        <w:t>From a liquidity perspective, the Company expects to continue to experience significant uncertainty with respect to its sources of funds. The Company's cash flow may be affected by a variety of factors, many of which are outside of its control, including volatility in the financial markets, the Company's borrowers' ability to repay their obligations and other general business conditions. As of December 31, 2009, the Company had $224.6 million of unrestricted cash. The Company expects to need additional liquidity over the coming year to supplement expected loan repayments and cash generated from operations in order to meet its debt maturities and funding obligations. During 2009, the Company utilized its unencumbered assets to generate additional liquidity through secured financing transactions and a secured note exchange transaction, and also sold various assets. In addition, the Company has significantly curtailed its asset origination activities, reducing operating expenses and focused on asset management in order to maximize recoveries from existing asset resolutions. The Company intends to utilize all available sources of funds in today's financing environment, which could include additional financings secured by its assets, increased levels of asset sales, joint ventures and other third party capital to meet its liquidity requirements. There can be no assurance that the company will possess sufficient liquidity to meet all of its debt service requirements in 2010. The failure to execute such alternatives successfully prior to debt maturity would have material adverse consequences on the Company. In addition the Company is exploring various alternatives to enable it to meet its significant 2011 debt maturities.</w:t>
      </w:r>
    </w:p>
    <w:p>
      <w:pPr>
        <w:spacing w:after="0" w:line="166"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auto"/>
        </w:rPr>
        <w:t>The Company has reacted to the adverse market conditions and liquidity and debt covenant pressures by implementing various initiatives, including the sale of assets and repurchases of its debt at a discount to par, which it believes will guide it through the difficult business conditions the Company expects to persist through 2010. The Company's public debt securities continue to trade at significant discounts to par. The Company has been able to partially mitigate the impact of the decline in operating results through the recognition of gains associated with the repurchase and retirement of debt at a discount, which has enabled it to maintain compliance with its debt covenants and to reduce outstanding indebtedness at discounts to par. The Company expects to continue to use available funds and other strategies to seek to retire its debt at a discount; however, there can be no assurance that the Company's efforts in this regard will be successful.</w:t>
      </w:r>
    </w:p>
    <w:p>
      <w:pPr>
        <w:spacing w:after="0" w:line="174" w:lineRule="exact"/>
        <w:rPr>
          <w:sz w:val="20"/>
          <w:szCs w:val="20"/>
          <w:color w:val="auto"/>
        </w:rPr>
      </w:pPr>
    </w:p>
    <w:p>
      <w:pPr>
        <w:jc w:val="both"/>
        <w:ind w:firstLine="443"/>
        <w:spacing w:after="0" w:line="268" w:lineRule="auto"/>
        <w:rPr>
          <w:sz w:val="20"/>
          <w:szCs w:val="20"/>
          <w:color w:val="auto"/>
        </w:rPr>
      </w:pPr>
      <w:r>
        <w:rPr>
          <w:rFonts w:ascii="Arial" w:cs="Arial" w:eastAsia="Arial" w:hAnsi="Arial"/>
          <w:sz w:val="18"/>
          <w:szCs w:val="18"/>
          <w:color w:val="auto"/>
        </w:rPr>
        <w:t>The Company's plans are dynamic and it expects to adjust its plans as market conditions change. If the Company is unable to successfully implement its plans, this would have material adverse consequences on the Company.</w:t>
      </w:r>
    </w:p>
    <w:p>
      <w:pPr>
        <w:spacing w:after="0" w:line="180" w:lineRule="exact"/>
        <w:rPr>
          <w:sz w:val="20"/>
          <w:szCs w:val="20"/>
          <w:color w:val="auto"/>
        </w:rPr>
      </w:pPr>
    </w:p>
    <w:p>
      <w:pPr>
        <w:jc w:val="both"/>
        <w:ind w:firstLine="651"/>
        <w:spacing w:after="0" w:line="290" w:lineRule="auto"/>
        <w:rPr>
          <w:sz w:val="20"/>
          <w:szCs w:val="20"/>
          <w:color w:val="auto"/>
        </w:rPr>
      </w:pPr>
      <w:r>
        <w:rPr>
          <w:rFonts w:ascii="Arial" w:cs="Arial" w:eastAsia="Arial" w:hAnsi="Arial"/>
          <w:sz w:val="16"/>
          <w:szCs w:val="16"/>
          <w:b w:val="1"/>
          <w:bCs w:val="1"/>
          <w:color w:val="auto"/>
        </w:rPr>
        <w:t>Unfunded Commitments</w:t>
      </w:r>
      <w:r>
        <w:rPr>
          <w:rFonts w:ascii="Arial" w:cs="Arial" w:eastAsia="Arial" w:hAnsi="Arial"/>
          <w:sz w:val="16"/>
          <w:szCs w:val="16"/>
          <w:color w:val="auto"/>
        </w:rPr>
        <w:t>—The Company has certain off-balance sheet unfunded commitments. The Company generally funds construction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loans and build outs of CTL space over a period of time if and when the borrowers and tenants meet established milestones and other performance criteria. The Company refers to these arrangements as Performance-Based Commitments. In addition, the Company will sometimes establish a maximum amount of additional fundings which it will make available to a borrower or tenant for an expansion or addition to a project if it approves of the expansion or addition at its sole discretion. The Company refers to these arrangements as Discretionary Fundings. Finally, the Company has committed to invest capital in several real estate funds and other ventures. These arrangements are referred to as Strategic Investments. As of December 31, 2009, the maximum amounts of the fundings the Company may make under each category, assuming all performance hurdles and milestones are met under Performance-Based Commitments, that it will approve all Discretionary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Fundings and that 100% of its capital committed to Strategic Investments is drawn down are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Loans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CTL</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Commitments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616,400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629,474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Discretionary Fundings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137,685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137,685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Strategic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754,085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13,074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840,298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7"/>
        <w:spacing w:after="0" w:line="296" w:lineRule="auto"/>
        <w:rPr>
          <w:sz w:val="20"/>
          <w:szCs w:val="20"/>
          <w:color w:val="auto"/>
        </w:rPr>
      </w:pPr>
      <w:r>
        <w:rPr>
          <w:rFonts w:ascii="Arial" w:cs="Arial" w:eastAsia="Arial" w:hAnsi="Arial"/>
          <w:sz w:val="16"/>
          <w:szCs w:val="16"/>
          <w:b w:val="1"/>
          <w:bCs w:val="1"/>
          <w:color w:val="auto"/>
        </w:rPr>
        <w:t>Other Commitments</w:t>
      </w:r>
      <w:r>
        <w:rPr>
          <w:rFonts w:ascii="Arial" w:cs="Arial" w:eastAsia="Arial" w:hAnsi="Arial"/>
          <w:sz w:val="16"/>
          <w:szCs w:val="16"/>
          <w:color w:val="auto"/>
        </w:rPr>
        <w:t>—As a result of the Company's decision to remain in its current space that is leased through 2021, the Company entered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agreement with a landlord regarding a separate long-term lease for new headquarters space dated May 22, 2007 (as amended and restated, the "Lease"). Under the settlement, the Company agreed to pay the landlord a $42.4 million settlement payment in order to settle all disputes between the Company and the landlord relating to the Lease and the landlord agreed among other things, to terminate the Lease. For the year ended December 31, 2009, the Company recognized a $42.4 million lease termination expense in "Other expense" on the Company's Consolidated Statements of Operations.</w:t>
      </w:r>
    </w:p>
    <w:p>
      <w:pPr>
        <w:spacing w:after="0" w:line="168"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Total operating lease expense for the years ended December 31, 2009, 2008 and 2007 were $13.3 million, $7.9 million and $7.1 million, respectively. Future minimum lease obligations under non-cancelable operating leases are as follows (in thousands):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6,095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2011</w:t>
            </w:r>
          </w:p>
        </w:tc>
        <w:tc>
          <w:tcPr>
            <w:tcW w:w="3480" w:type="dxa"/>
            <w:vAlign w:val="bottom"/>
          </w:tcPr>
          <w:p>
            <w:pPr>
              <w:jc w:val="right"/>
              <w:ind w:right="72"/>
              <w:spacing w:after="0"/>
              <w:rPr>
                <w:sz w:val="20"/>
                <w:szCs w:val="20"/>
                <w:color w:val="auto"/>
              </w:rPr>
            </w:pPr>
            <w:r>
              <w:rPr>
                <w:rFonts w:ascii="Arial" w:cs="Arial" w:eastAsia="Arial" w:hAnsi="Arial"/>
                <w:sz w:val="18"/>
                <w:szCs w:val="18"/>
                <w:color w:val="auto"/>
              </w:rPr>
              <w:t>5,945</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5,152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2013</w:t>
            </w:r>
          </w:p>
        </w:tc>
        <w:tc>
          <w:tcPr>
            <w:tcW w:w="3480" w:type="dxa"/>
            <w:vAlign w:val="bottom"/>
          </w:tcPr>
          <w:p>
            <w:pPr>
              <w:jc w:val="right"/>
              <w:ind w:right="72"/>
              <w:spacing w:after="0"/>
              <w:rPr>
                <w:sz w:val="20"/>
                <w:szCs w:val="20"/>
                <w:color w:val="auto"/>
              </w:rPr>
            </w:pPr>
            <w:r>
              <w:rPr>
                <w:rFonts w:ascii="Arial" w:cs="Arial" w:eastAsia="Arial" w:hAnsi="Arial"/>
                <w:sz w:val="18"/>
                <w:szCs w:val="18"/>
                <w:color w:val="auto"/>
              </w:rPr>
              <w:t>4,558</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4,186</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Thereafter</w:t>
            </w:r>
          </w:p>
        </w:tc>
        <w:tc>
          <w:tcPr>
            <w:tcW w:w="3480" w:type="dxa"/>
            <w:vAlign w:val="bottom"/>
          </w:tcPr>
          <w:p>
            <w:pPr>
              <w:jc w:val="right"/>
              <w:ind w:right="72"/>
              <w:spacing w:after="0"/>
              <w:rPr>
                <w:sz w:val="20"/>
                <w:szCs w:val="20"/>
                <w:color w:val="auto"/>
              </w:rPr>
            </w:pPr>
            <w:r>
              <w:rPr>
                <w:rFonts w:ascii="Arial" w:cs="Arial" w:eastAsia="Arial" w:hAnsi="Arial"/>
                <w:sz w:val="18"/>
                <w:szCs w:val="18"/>
                <w:color w:val="auto"/>
              </w:rPr>
              <w:t>21,343</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w:t>
      </w:r>
    </w:p>
    <w:p>
      <w:pPr>
        <w:spacing w:after="0" w:line="231" w:lineRule="exact"/>
        <w:rPr>
          <w:sz w:val="20"/>
          <w:szCs w:val="20"/>
          <w:color w:val="auto"/>
        </w:rPr>
      </w:pPr>
    </w:p>
    <w:p>
      <w:pPr>
        <w:ind w:firstLine="449"/>
        <w:spacing w:after="0" w:line="332" w:lineRule="auto"/>
        <w:rPr>
          <w:sz w:val="20"/>
          <w:szCs w:val="20"/>
          <w:color w:val="auto"/>
        </w:rPr>
      </w:pPr>
      <w:r>
        <w:rPr>
          <w:rFonts w:ascii="Arial" w:cs="Arial" w:eastAsia="Arial" w:hAnsi="Arial"/>
          <w:sz w:val="16"/>
          <w:szCs w:val="16"/>
          <w:color w:val="auto"/>
        </w:rPr>
        <w:t>The Company's charter provides for the issuance of up to 200.0 million shares of Common Stock, par value $0.001 per share and 30.0 million shares of preferred stock. As of December 31, 2009, 137.9 million common shares were issued and 94.2 million common shares were outstanding.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had the following series of Cumulative Redeemable Preferred Stock outstanding as of December 31, 2009 and 2008:</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Cumulative Preferential Cash Dividends(1)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Rate per Annum of</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Authorized,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the $25.00</w:t>
            </w:r>
          </w:p>
        </w:tc>
        <w:tc>
          <w:tcPr>
            <w:tcW w:w="8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Equivalent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Issued and Outstanding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Liquidation</w:t>
            </w:r>
          </w:p>
        </w:tc>
        <w:tc>
          <w:tcPr>
            <w:tcW w:w="8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Fixed Annual</w:t>
            </w:r>
          </w:p>
        </w:tc>
        <w:tc>
          <w:tcPr>
            <w:tcW w:w="0" w:type="dxa"/>
            <w:vAlign w:val="bottom"/>
          </w:tcPr>
          <w:p>
            <w:pPr>
              <w:spacing w:after="0"/>
              <w:rPr>
                <w:sz w:val="1"/>
                <w:szCs w:val="1"/>
                <w:color w:val="auto"/>
              </w:rPr>
            </w:pPr>
          </w:p>
        </w:tc>
      </w:tr>
      <w:tr>
        <w:trPr>
          <w:trHeight w:val="161"/>
        </w:trPr>
        <w:tc>
          <w:tcPr>
            <w:tcW w:w="400" w:type="dxa"/>
            <w:vAlign w:val="bottom"/>
            <w:gridSpan w:val="2"/>
          </w:tcPr>
          <w:p>
            <w:pPr>
              <w:spacing w:after="0"/>
              <w:rPr>
                <w:sz w:val="20"/>
                <w:szCs w:val="20"/>
                <w:color w:val="auto"/>
              </w:rPr>
            </w:pPr>
            <w:r>
              <w:rPr>
                <w:rFonts w:ascii="Arial" w:cs="Arial" w:eastAsia="Arial" w:hAnsi="Arial"/>
                <w:sz w:val="14"/>
                <w:szCs w:val="14"/>
                <w:b w:val="1"/>
                <w:bCs w:val="1"/>
                <w:color w:val="auto"/>
                <w:w w:val="90"/>
              </w:rPr>
              <w:t>Series</w:t>
            </w:r>
          </w:p>
        </w:tc>
        <w:tc>
          <w:tcPr>
            <w:tcW w:w="33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Par Value</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Preference</w:t>
            </w:r>
          </w:p>
        </w:tc>
        <w:tc>
          <w:tcPr>
            <w:tcW w:w="8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Rate (per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3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E</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5,600</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0.001</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7.875%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F</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G</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3,200</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0.001</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1680" w:hanging="531"/>
        <w:spacing w:after="0" w:line="270" w:lineRule="auto"/>
        <w:tabs>
          <w:tab w:leader="none" w:pos="16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Holders of shares of the Series D, E, F, G and I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ten days prior to the dividend payment date.</w:t>
      </w:r>
    </w:p>
    <w:p>
      <w:pPr>
        <w:spacing w:after="0" w:line="94" w:lineRule="exact"/>
        <w:rPr>
          <w:rFonts w:ascii="Arial" w:cs="Arial" w:eastAsia="Arial" w:hAnsi="Arial"/>
          <w:sz w:val="12"/>
          <w:szCs w:val="12"/>
          <w:color w:val="auto"/>
        </w:rPr>
      </w:pPr>
    </w:p>
    <w:p>
      <w:pPr>
        <w:ind w:left="1680" w:hanging="531"/>
        <w:spacing w:after="0"/>
        <w:tabs>
          <w:tab w:leader="none" w:pos="16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There are no dividend arrearages on any of the preferred shares currently outstanding.</w:t>
      </w:r>
    </w:p>
    <w:p>
      <w:pPr>
        <w:spacing w:after="0" w:line="206" w:lineRule="exact"/>
        <w:rPr>
          <w:sz w:val="20"/>
          <w:szCs w:val="20"/>
          <w:color w:val="auto"/>
        </w:rPr>
      </w:pPr>
    </w:p>
    <w:p>
      <w:pPr>
        <w:jc w:val="both"/>
        <w:ind w:firstLine="459"/>
        <w:spacing w:after="0" w:line="332" w:lineRule="auto"/>
        <w:rPr>
          <w:sz w:val="20"/>
          <w:szCs w:val="20"/>
          <w:color w:val="auto"/>
        </w:rPr>
      </w:pPr>
      <w:r>
        <w:rPr>
          <w:rFonts w:ascii="Arial" w:cs="Arial" w:eastAsia="Arial" w:hAnsi="Arial"/>
          <w:sz w:val="16"/>
          <w:szCs w:val="16"/>
          <w:color w:val="auto"/>
        </w:rPr>
        <w:t>The Series D, E, F, G, and I Cumulative Redeemable Preferred Stock are redeemable without premium at the option of the Company at their respective liquidation preferences beginning on October 8, 2002, July 18, 2008, September 29, 2008, December 19, 2008 and March 1, 2009,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Unit Program</w:t>
      </w:r>
    </w:p>
    <w:p>
      <w:pPr>
        <w:spacing w:after="0" w:line="231" w:lineRule="exact"/>
        <w:rPr>
          <w:sz w:val="20"/>
          <w:szCs w:val="20"/>
          <w:color w:val="auto"/>
        </w:rPr>
      </w:pPr>
    </w:p>
    <w:p>
      <w:pPr>
        <w:jc w:val="both"/>
        <w:ind w:firstLine="588"/>
        <w:spacing w:after="0" w:line="291" w:lineRule="auto"/>
        <w:rPr>
          <w:sz w:val="20"/>
          <w:szCs w:val="20"/>
          <w:color w:val="auto"/>
        </w:rPr>
      </w:pPr>
      <w:r>
        <w:rPr>
          <w:rFonts w:ascii="Arial" w:cs="Arial" w:eastAsia="Arial" w:hAnsi="Arial"/>
          <w:sz w:val="16"/>
          <w:szCs w:val="16"/>
          <w:color w:val="auto"/>
        </w:rPr>
        <w:t>In May 2002, the Company's shareholders approved the iStar Financial High Performance Unit ("HPU") Program. The program entitled employee participants ("HPU Holders") to receive distributions if the total rate of return on the Company's Common Stock (share price appreciation plus dividends) exceeded certain performance thresholds over a specified valuation period. The Company established seven HPU plans that had valuation periods ending between 2002 and 2008 and the Company has not established any new HPU plans since 2005. HPU Holders purchased their interests in High Performance Common Stock for aggregate initial purchase prices of approximately $2.8 million, $1.8 million, $1.4 million, $0.6 million, $0.7 million, $0.6 million and $0.8 million for the 2002, 2003, 2004, 2005, 2006, 2007 and 2008 plans, respectively.</w:t>
      </w:r>
    </w:p>
    <w:p>
      <w:pPr>
        <w:spacing w:after="0" w:line="174" w:lineRule="exact"/>
        <w:rPr>
          <w:sz w:val="20"/>
          <w:szCs w:val="20"/>
          <w:color w:val="auto"/>
        </w:rPr>
      </w:pPr>
    </w:p>
    <w:p>
      <w:pPr>
        <w:jc w:val="both"/>
        <w:ind w:firstLine="452"/>
        <w:spacing w:after="0" w:line="256" w:lineRule="auto"/>
        <w:rPr>
          <w:sz w:val="20"/>
          <w:szCs w:val="20"/>
          <w:color w:val="auto"/>
        </w:rPr>
      </w:pPr>
      <w:r>
        <w:rPr>
          <w:rFonts w:ascii="Arial" w:cs="Arial" w:eastAsia="Arial" w:hAnsi="Arial"/>
          <w:sz w:val="18"/>
          <w:szCs w:val="18"/>
          <w:color w:val="auto"/>
        </w:rPr>
        <w:t>The 2002, 2003 and 2004 plans all exceeded their performance thresholds and are entitled to receive distributions equivalent to the amount of dividends payable on 819,254 shares, 987,149 shares and 1,031,875 shares, respectively, of the Company's Common Stock as and when such dividends are paid on the Company's Common Stock. Each of these three plans has 5,000 shares of High Performance Common Stock associated with it, which is recorded as a separate class of stock within shareholders' equity on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Company's Consolidated Balance Sheets. High Performance Common Stock carries 0.25 votes per share. Net income allocable to common shareholders is reduced by the HPU holders' share of earnings.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remaining four plans that had valuation periods which ended in 2005, 2006, 2007 and 2008, did not meet their required performance thresholds and none of the plans were funded. As a result, the Company redeemed the participants' units for approximately $1,700 resulting in the unit holders losing $2.4 million of aggregate contributions.</w:t>
      </w:r>
    </w:p>
    <w:p>
      <w:pPr>
        <w:spacing w:after="0" w:line="194" w:lineRule="exact"/>
        <w:rPr>
          <w:sz w:val="20"/>
          <w:szCs w:val="20"/>
          <w:color w:val="auto"/>
        </w:rPr>
      </w:pPr>
    </w:p>
    <w:p>
      <w:pPr>
        <w:jc w:val="both"/>
        <w:ind w:firstLine="467"/>
        <w:spacing w:after="0" w:line="318" w:lineRule="auto"/>
        <w:rPr>
          <w:sz w:val="20"/>
          <w:szCs w:val="20"/>
          <w:color w:val="auto"/>
        </w:rPr>
      </w:pPr>
      <w:r>
        <w:rPr>
          <w:rFonts w:ascii="Arial" w:cs="Arial" w:eastAsia="Arial" w:hAnsi="Arial"/>
          <w:sz w:val="15"/>
          <w:szCs w:val="15"/>
          <w:color w:val="auto"/>
        </w:rPr>
        <w:t>In addition to these plans, a high performance unit program for executive officers was established with plans having three-year valuation periods which ended December 31, 2005, 2006, 2007 and 2008. The provisions of these plans were substantially the same as the high performance unit programs for employees. The Chief Executive Officer and former President collectively purchased 100% interests in the Company's 2005, 2006, 2007 and 2008 high performance unit program for senior executive officers for an aggregate purchase price of $1.5 million. These plans did not meet the required performance thresholds and were not funded, resulting in the Chief Executive Officer and former President losing $0.9 million and $0.6 million in total contributions, respectively.</w:t>
      </w:r>
    </w:p>
    <w:p>
      <w:pPr>
        <w:spacing w:after="0" w:line="148"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—In order to maintain its election to qualify as a REIT, the Company must currently distribute, at a minimum, an amount equal to 90% of its</w:t>
      </w:r>
      <w:r>
        <w:rPr>
          <w:rFonts w:ascii="Arial" w:cs="Arial" w:eastAsia="Arial" w:hAnsi="Arial"/>
          <w:sz w:val="16"/>
          <w:szCs w:val="16"/>
          <w:b w:val="1"/>
          <w:bCs w:val="1"/>
          <w:color w:val="auto"/>
        </w:rPr>
        <w:t xml:space="preserve"> </w:t>
      </w:r>
      <w:r>
        <w:rPr>
          <w:rFonts w:ascii="Arial" w:cs="Arial" w:eastAsia="Arial" w:hAnsi="Arial"/>
          <w:sz w:val="16"/>
          <w:szCs w:val="16"/>
          <w:color w:val="auto"/>
        </w:rPr>
        <w:t>taxable income and must distribute 100% of its taxable income to avoid paying corporate federal income taxes. The Company has recorded net operating losses and may record significant net operating losses in the future, which may reduce its taxable income in future periods and lower or eliminate entirely the Company's obligation to pay dividends for such periods in order to maintain its REIT qualification. Because taxable income differs from cash flow from operations due to non-cash revenues and expenses (such as depreciation and certain asset impairments), in certain circumstances, the Company may generate operating cash flow in excess of its dividends or, alternatively, may be required to borrow to make sufficient dividend payments. The Company's secured credit facilities permits the Company to distribute 100% of its REIT taxable income on an annual basis, for so long as the Company maintains its qualification as a REIT. The secured credit facilities restrict the Company from paying any common dividends if it ceases to qualify as a REIT. The Company did not declare or pay any Common Stock dividends for the year ended December 31, 2009.</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tax reporting purposes: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6"/>
              </w:rPr>
              <w:t>25% Section 1250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85"/>
              </w:rPr>
              <w:t>Total dividends</w:t>
            </w:r>
          </w:p>
        </w:tc>
        <w:tc>
          <w:tcPr>
            <w:tcW w:w="160" w:type="dxa"/>
            <w:vAlign w:val="bottom"/>
          </w:tcPr>
          <w:p>
            <w:pPr>
              <w:spacing w:after="0"/>
              <w:rPr>
                <w:sz w:val="14"/>
                <w:szCs w:val="14"/>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6"/>
              </w:rPr>
              <w:t>Dividends</w:t>
            </w:r>
          </w:p>
        </w:tc>
        <w:tc>
          <w:tcPr>
            <w:tcW w:w="160" w:type="dxa"/>
            <w:vAlign w:val="bottom"/>
          </w:tcPr>
          <w:p>
            <w:pPr>
              <w:spacing w:after="0"/>
              <w:rPr>
                <w:sz w:val="14"/>
                <w:szCs w:val="14"/>
                <w:color w:val="auto"/>
              </w:rPr>
            </w:pPr>
          </w:p>
        </w:tc>
        <w:tc>
          <w:tcPr>
            <w:tcW w:w="1600" w:type="dxa"/>
            <w:vAlign w:val="bottom"/>
            <w:gridSpan w:val="3"/>
          </w:tcPr>
          <w:p>
            <w:pPr>
              <w:jc w:val="right"/>
              <w:ind w:right="267"/>
              <w:spacing w:after="0"/>
              <w:rPr>
                <w:sz w:val="20"/>
                <w:szCs w:val="20"/>
                <w:color w:val="auto"/>
              </w:rPr>
            </w:pPr>
            <w:r>
              <w:rPr>
                <w:rFonts w:ascii="Arial" w:cs="Arial" w:eastAsia="Arial" w:hAnsi="Arial"/>
                <w:sz w:val="14"/>
                <w:szCs w:val="14"/>
                <w:b w:val="1"/>
                <w:bCs w:val="1"/>
                <w:color w:val="auto"/>
              </w:rPr>
              <w:t>Ordinary Dividend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jc w:val="right"/>
              <w:ind w:right="287"/>
              <w:spacing w:after="0"/>
              <w:rPr>
                <w:sz w:val="20"/>
                <w:szCs w:val="20"/>
                <w:color w:val="auto"/>
              </w:rPr>
            </w:pPr>
            <w:r>
              <w:rPr>
                <w:rFonts w:ascii="Arial" w:cs="Arial" w:eastAsia="Arial" w:hAnsi="Arial"/>
                <w:sz w:val="14"/>
                <w:szCs w:val="14"/>
                <w:b w:val="1"/>
                <w:bCs w:val="1"/>
                <w:color w:val="auto"/>
              </w:rPr>
              <w:t>15% Capital Gain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Capital Gains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3"/>
              </w:rPr>
              <w:t>declared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per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dividends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dividends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of dividends</w:t>
            </w:r>
          </w:p>
        </w:tc>
        <w:tc>
          <w:tcPr>
            <w:tcW w:w="0" w:type="dxa"/>
            <w:vAlign w:val="bottom"/>
          </w:tcPr>
          <w:p>
            <w:pPr>
              <w:spacing w:after="0"/>
              <w:rPr>
                <w:sz w:val="1"/>
                <w:szCs w:val="1"/>
                <w:color w:val="auto"/>
              </w:rPr>
            </w:pPr>
          </w:p>
        </w:tc>
      </w:tr>
      <w:tr>
        <w:trPr>
          <w:trHeight w:val="161"/>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1100" w:type="dxa"/>
            <w:vAlign w:val="bottom"/>
          </w:tcPr>
          <w:p>
            <w:pPr>
              <w:jc w:val="center"/>
              <w:ind w:right="42"/>
              <w:spacing w:after="0"/>
              <w:rPr>
                <w:sz w:val="20"/>
                <w:szCs w:val="20"/>
                <w:color w:val="auto"/>
              </w:rPr>
            </w:pPr>
            <w:r>
              <w:rPr>
                <w:rFonts w:ascii="Arial" w:cs="Arial" w:eastAsia="Arial" w:hAnsi="Arial"/>
                <w:sz w:val="14"/>
                <w:szCs w:val="14"/>
                <w:b w:val="1"/>
                <w:bCs w:val="1"/>
                <w:color w:val="auto"/>
                <w:w w:val="86"/>
              </w:rPr>
              <w:t>(in thousands)(1)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share</w:t>
            </w:r>
          </w:p>
        </w:tc>
        <w:tc>
          <w:tcPr>
            <w:tcW w:w="72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93"/>
              </w:rPr>
              <w:t>Per share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c>
          <w:tcPr>
            <w:tcW w:w="72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93"/>
              </w:rPr>
              <w:t>Per share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Per share</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2008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236,052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0.1886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1.3244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0.2270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0.2875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0.0453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right="20" w:hanging="531"/>
        <w:spacing w:after="0" w:line="239" w:lineRule="auto"/>
        <w:tabs>
          <w:tab w:leader="none" w:pos="16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the years ended December 31, 2008 and 2007, 25.6% ($0.0483) and 2.6% ($0.0850), respectively of the ordinary dividend qualify as a qualifying dividend for those shareholders who held shares for the Company for the entire year,</w:t>
      </w:r>
    </w:p>
    <w:p>
      <w:pPr>
        <w:spacing w:after="0" w:line="189"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—On March 13, 2009, the Company's Board of Directors authorized the repurchase of up to $50 million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in open market and privately negotiated purchases, including pursuant to one or more trading plans.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 (Continued)</w:t>
      </w:r>
    </w:p>
    <w:p>
      <w:pPr>
        <w:spacing w:after="0" w:line="231"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auto"/>
        </w:rPr>
        <w:t>During the year ended December 31, 2009, the Company repurchased 11.8 million shares of its outstanding Common Stock for approximately $29.9 million, at an average cost of $2.54 per share, and the repurchases were recorded at cost. As of December 31, 2009, the Company had $21.5 million of Common Stock available to repurchase under authorized stock repurchase programs.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Noncontrolling Interest</w:t>
      </w:r>
      <w:r>
        <w:rPr>
          <w:rFonts w:ascii="Arial" w:cs="Arial" w:eastAsia="Arial" w:hAnsi="Arial"/>
          <w:sz w:val="16"/>
          <w:szCs w:val="16"/>
          <w:color w:val="auto"/>
        </w:rPr>
        <w:t>—The following table presents amounts attributable to iStar Financial Inc. and allocable to common shareholders, HPU holders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Participating Security holders (in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w w:val="96"/>
              </w:rPr>
              <w:t>For the Years Ended December 31,</w:t>
            </w: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61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Amounts attributable to iStar Financial Inc. and allocable to common</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 HPU holders and Participating Security holders</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(769,531)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(294,649)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199,616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(11,671)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Gain from discontinued operations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12,426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87,769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7,832</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(768,776)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(203,025)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237,418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120"/>
              <w:spacing w:after="0"/>
              <w:rPr>
                <w:sz w:val="20"/>
                <w:szCs w:val="20"/>
                <w:color w:val="auto"/>
              </w:rPr>
            </w:pPr>
            <w:r>
              <w:rPr>
                <w:rFonts w:ascii="Arial" w:cs="Arial" w:eastAsia="Arial" w:hAnsi="Arial"/>
                <w:sz w:val="18"/>
                <w:szCs w:val="18"/>
                <w:color w:val="auto"/>
              </w:rPr>
              <w:t>Preferred dividends</w:t>
            </w: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(42,320)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(42,320)</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(42,320)</w:t>
            </w: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Net income (loss) allocable to common shareholders, HPU holders and Participating</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(811,096)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(245,345)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195,098</w:t>
            </w:r>
          </w:p>
        </w:tc>
        <w:tc>
          <w:tcPr>
            <w:tcW w:w="160" w:type="dxa"/>
            <w:vAlign w:val="bottom"/>
            <w:shd w:val="clear" w:color="auto" w:fill="CCEEFF"/>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12—Risk Management and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In the normal course of its on-going business operations, the Company encounters economic risk. There are three main components of 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that result from a borrower's or corporate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CTL facilities held by the Company and changes in foreign currency exchange rates.</w:t>
      </w:r>
    </w:p>
    <w:p>
      <w:pPr>
        <w:spacing w:after="0" w:line="168" w:lineRule="exact"/>
        <w:rPr>
          <w:sz w:val="20"/>
          <w:szCs w:val="20"/>
          <w:color w:val="auto"/>
        </w:rPr>
      </w:pPr>
    </w:p>
    <w:p>
      <w:pPr>
        <w:jc w:val="both"/>
        <w:ind w:firstLine="502"/>
        <w:spacing w:after="0" w:line="256" w:lineRule="auto"/>
        <w:rPr>
          <w:sz w:val="20"/>
          <w:szCs w:val="20"/>
          <w:color w:val="auto"/>
        </w:rPr>
      </w:pPr>
      <w:r>
        <w:rPr>
          <w:rFonts w:ascii="Arial" w:cs="Arial" w:eastAsia="Arial" w:hAnsi="Arial"/>
          <w:sz w:val="18"/>
          <w:szCs w:val="18"/>
          <w:b w:val="1"/>
          <w:bCs w:val="1"/>
          <w:color w:val="auto"/>
        </w:rPr>
        <w:t>Credit risk concentrations</w:t>
      </w:r>
      <w:r>
        <w:rPr>
          <w:rFonts w:ascii="Arial" w:cs="Arial" w:eastAsia="Arial" w:hAnsi="Arial"/>
          <w:sz w:val="18"/>
          <w:szCs w:val="18"/>
          <w:color w:val="auto"/>
        </w:rPr>
        <w:t>—Concentrations of credit risks arise when a number of borrowers or customers related to the Company's investments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similar business activities, or activities in the same geographic region, or have similar economic features that would cause their ability to meet contractual obligations, including those to the Company, to be similarly affected by changes in economic conditions. The Company monitors various segments of its portfolio to assess potential concentrations of credit risks. Management believes the current portfolio is reasonably well diversified and does not contain any unusual concentration of credit risks.</w:t>
      </w:r>
    </w:p>
    <w:p>
      <w:pPr>
        <w:spacing w:after="0" w:line="199"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Substantially all of the Company's CTL assets and assets collateralizing its loans and other lending investments are located in the United States, with California 15.3%, New York 11.7%, and Florida 11.6% representing the only significant concentrations (greater than 10.0%) as of December 31, 2009. These assets also contain significant concentrations in the following asset types as of December 31, 2009:</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12—Risk Management and Derivatives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apartment/residential 27.1%, land 15.4% and office 13.3%. Additionally, 10.6% of the Company's asset base is comprised of loans collateralized by in-progress condo construction assets. These percentages are based on the gross carrying value of the assets in proportion to the total gross carrying value of the Company's total investment portfolio.</w:t>
      </w:r>
    </w:p>
    <w:p>
      <w:pPr>
        <w:spacing w:after="0" w:line="194"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Company underwrites the credit of prospective borrowers and customers and often requires them to provide some form of credit support such as corporate guarantees, letters of credit and/or cash security deposits. Although the Company's loans and other lending investments and CTL assets are geographically diverse and the borrowers and customers operate in a variety of industries, to the extent the Company has a significant concentration of interest or operating lease revenues from any single borrower or customer, the inability of that borrower or customer to make its payment could have an adverse effect on the Company. As of December 31, 2009, the Company's five largest borrowers or CTL tenants collectively accounted for approximately 14.8% of the Company's aggregate annualized interest and operating lease revenue, of which no single customer accounts for more than 5.0%.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31" w:lineRule="exact"/>
        <w:rPr>
          <w:sz w:val="20"/>
          <w:szCs w:val="20"/>
          <w:color w:val="auto"/>
        </w:rPr>
      </w:pPr>
    </w:p>
    <w:p>
      <w:pPr>
        <w:jc w:val="both"/>
        <w:ind w:firstLine="416"/>
        <w:spacing w:after="0" w:line="294" w:lineRule="auto"/>
        <w:rPr>
          <w:sz w:val="20"/>
          <w:szCs w:val="20"/>
          <w:color w:val="auto"/>
        </w:rPr>
      </w:pPr>
      <w:r>
        <w:rPr>
          <w:rFonts w:ascii="Arial" w:cs="Arial" w:eastAsia="Arial" w:hAnsi="Arial"/>
          <w:sz w:val="16"/>
          <w:szCs w:val="16"/>
          <w:color w:val="auto"/>
        </w:rPr>
        <w:t>The Company's use of derivative financial instruments is primarily limited to the utilization of interest rate hedges or other instruments to manage interest rate risk exposure and foreign exchange hedges to manage market risk exposure. The principal objective of such hedges are to minimize the risks and/or costs associated with the Company's operating and financial structure as well as to hedge specific anticipated debt issuances and to manage its exposure to foreign exchange rate movements.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70" w:lineRule="exact"/>
        <w:rPr>
          <w:sz w:val="20"/>
          <w:szCs w:val="20"/>
          <w:color w:val="auto"/>
        </w:rPr>
      </w:pPr>
    </w:p>
    <w:p>
      <w:pPr>
        <w:jc w:val="both"/>
        <w:ind w:firstLine="496"/>
        <w:spacing w:after="0" w:line="298" w:lineRule="auto"/>
        <w:rPr>
          <w:sz w:val="20"/>
          <w:szCs w:val="20"/>
          <w:color w:val="auto"/>
        </w:rPr>
      </w:pPr>
      <w:r>
        <w:rPr>
          <w:rFonts w:ascii="Arial" w:cs="Arial" w:eastAsia="Arial" w:hAnsi="Arial"/>
          <w:sz w:val="16"/>
          <w:szCs w:val="16"/>
          <w:color w:val="auto"/>
        </w:rPr>
        <w:t>At December 31, 2009 and 2008, respectively, derivatives with a fair value of $0.8 million and $3.9 million, respectively, were included in "Deferred expenses and other assets, net" and derivatives with a fair value of $0.3 million and $0.1 million, respectively, were included in "Accounts payable, accrued expenses and other liabilities" on the Company's Consolidated Balance Sheets. During the years ended December 31, 2008 and 2007, the Company recorded a net loss of $16.7 million and net gains of $0.2 million, respectively, related to ineffectiveness of interest rate swaps.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2009 hedging activity</w:t>
      </w:r>
      <w:r>
        <w:rPr>
          <w:rFonts w:ascii="Arial" w:cs="Arial" w:eastAsia="Arial" w:hAnsi="Arial"/>
          <w:sz w:val="18"/>
          <w:szCs w:val="18"/>
          <w:color w:val="auto"/>
        </w:rPr>
        <w:t>—During the year ended December 31, 2009, the Company did not have any significant hedging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2008 hedging activity</w:t>
      </w:r>
      <w:r>
        <w:rPr>
          <w:rFonts w:ascii="Arial" w:cs="Arial" w:eastAsia="Arial" w:hAnsi="Arial"/>
          <w:sz w:val="18"/>
          <w:szCs w:val="18"/>
          <w:color w:val="auto"/>
        </w:rPr>
        <w:t>—During the year ended December 31, 2008, the Company had the following significant hedging activity:</w:t>
      </w:r>
    </w:p>
    <w:p>
      <w:pPr>
        <w:spacing w:after="0" w:line="245" w:lineRule="exact"/>
        <w:rPr>
          <w:sz w:val="20"/>
          <w:szCs w:val="20"/>
          <w:color w:val="auto"/>
        </w:rPr>
      </w:pPr>
    </w:p>
    <w:p>
      <w:pPr>
        <w:jc w:val="both"/>
        <w:ind w:left="10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paid $11.1 million to terminate forward starting swap agreements with a notional amount of $250.0 million. The Company determined the forecasted transaction was not probable of occurring and recorded $8.2 million of losses that are recorded in "Other expense" on the Company's Consolidated Statements of Operations for the year ended December 31, 2008.</w:t>
      </w:r>
    </w:p>
    <w:p>
      <w:pPr>
        <w:spacing w:after="0" w:line="221"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entered into two pay floating interest rate swap agreements, designated as fair value hedges, with notional amounts totaling $750.0 million. These swap agreements were entered into in order to exchange the 8.625% fixed-rate interest payments on the Company's $750.0 million senior notes due in 2013 for variable-rate interest payments based on three-month LIBOR + 3.84%. These swaps were terminated in 2008, as described in the following paragraph.</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terminated $1.76 billion of pay floating interest rate swaps that were designated as fair value hedges of certain unsecured notes. As a result of the terminations, the Company received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12—Risk Management and Derivatives (Continued)</w:t>
      </w:r>
    </w:p>
    <w:p>
      <w:pPr>
        <w:spacing w:after="0" w:line="231" w:lineRule="exact"/>
        <w:rPr>
          <w:sz w:val="20"/>
          <w:szCs w:val="20"/>
          <w:color w:val="auto"/>
        </w:rPr>
      </w:pPr>
    </w:p>
    <w:p>
      <w:pPr>
        <w:jc w:val="both"/>
        <w:ind w:left="1080"/>
        <w:spacing w:after="0" w:line="254" w:lineRule="auto"/>
        <w:rPr>
          <w:sz w:val="20"/>
          <w:szCs w:val="20"/>
          <w:color w:val="auto"/>
        </w:rPr>
      </w:pPr>
      <w:r>
        <w:rPr>
          <w:rFonts w:ascii="Arial" w:cs="Arial" w:eastAsia="Arial" w:hAnsi="Arial"/>
          <w:sz w:val="18"/>
          <w:szCs w:val="18"/>
          <w:color w:val="auto"/>
        </w:rPr>
        <w:t>$51.1 million of cash, recorded a receivable of $19.0 million and recorded premiums to the respective unsecured notes of $65.7 million. The premiums amortize over the lives of the respective debt as an offset to "Interest expense" on the Company's Consolidated Statements of Operations. During the years ended December 31, 2008 and 2007, the Company recorded a net loss of $16.7 million and net gains of $0.2 million, respectively, related to ineffectiveness on interest rate swaps. In addition, for the year ended December 31, 2008, the Company recognized a net loss of $1.4 million for interest rate swaps not designated as hedges. All of these amounts were recorded in "Other expense" on the Company's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w:t>
      </w:r>
    </w:p>
    <w:p>
      <w:pPr>
        <w:spacing w:after="0" w:line="231" w:lineRule="exact"/>
        <w:rPr>
          <w:sz w:val="20"/>
          <w:szCs w:val="20"/>
          <w:color w:val="auto"/>
        </w:rPr>
      </w:pPr>
    </w:p>
    <w:p>
      <w:pPr>
        <w:jc w:val="both"/>
        <w:ind w:firstLine="437"/>
        <w:spacing w:after="0" w:line="289" w:lineRule="auto"/>
        <w:rPr>
          <w:sz w:val="20"/>
          <w:szCs w:val="20"/>
          <w:color w:val="auto"/>
        </w:rPr>
      </w:pPr>
      <w:r>
        <w:rPr>
          <w:rFonts w:ascii="Arial" w:cs="Arial" w:eastAsia="Arial" w:hAnsi="Arial"/>
          <w:sz w:val="16"/>
          <w:szCs w:val="16"/>
          <w:color w:val="auto"/>
        </w:rPr>
        <w:t>On May 27, 2009, the Company's shareholders approved the Company's 2009 Long-Term Incentive Plan (the "2009 LTIP") which is designed to provide incentive compensation for officers, key employees, directors and advisors of the Company. The 2009 LTIP provides for awards of stock options, shares of restricted stock, phantom shares, restricted stock units, dividend equivalent rights and other share-based performance awards. A maximum of 8,000,000 shares of Common Stock may be awarded under the 2009 LTIP, plus up to an additional 500,000 shares to the extent that a corresponding number of equity awards previously granted under the Company's 1996 Long-Term Incentive Plan expire or are cancelled or forfeited. All awards under the 2009 LTIP are made at the discretion of the Board of Directors or a committee of the Board of Directors. The awards of the 10.2 million restricted stock units granted on December 19, 2008 are required to be settled on a net, after-tax basis (after deducting shares for minimum required statutory withholdings); therefore, the actual number of shares issued will be less than the gross amount of the awards. As of December 31, 2009, 2.1 million shares remain available for awards under the 2009 LTIP.</w:t>
      </w:r>
    </w:p>
    <w:p>
      <w:pPr>
        <w:spacing w:after="0" w:line="172"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The Company's 2006 Long-Term Incentive Plan (the "2006 LTIP") is designed to provide equity-based incentive compensation for officers, key employees, directors, consultants and advisers of the Company. The 2006 LTIP provides for awards of stock options, shares of restricted stock, phantom shares, dividend equivalent rights and other share-based performance awards. A maximum of 4,550,000 shares of Common Stock may be subject to awards under the 2006 LTIP provided that the number of shares of Common Stock reserved for grants of options designated as incentive stock options is 1.0 million, subject to certain anti-dilution provisions in the 2006 LTIP. All awards under this Plan are at the discretion of the Board of Directors or a committee of the Board of Directors. As of December 31, 2009, 1.4 million shares remain available for awards under the 2006 LTIP.</w:t>
      </w:r>
    </w:p>
    <w:p>
      <w:pPr>
        <w:spacing w:after="0" w:line="174"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The Company's 2007 Incentive Compensation Plan ("Incentive Plan") was approved and adopted by the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may be made under the Incentive Plan, subject to the terms of the Company's equity incentive plans.</w:t>
      </w:r>
    </w:p>
    <w:p>
      <w:pPr>
        <w:spacing w:after="0" w:line="197" w:lineRule="exact"/>
        <w:rPr>
          <w:sz w:val="20"/>
          <w:szCs w:val="20"/>
          <w:color w:val="auto"/>
        </w:rPr>
      </w:pPr>
    </w:p>
    <w:p>
      <w:pPr>
        <w:jc w:val="both"/>
        <w:ind w:firstLine="540"/>
        <w:spacing w:after="0" w:line="332" w:lineRule="auto"/>
        <w:rPr>
          <w:sz w:val="20"/>
          <w:szCs w:val="20"/>
          <w:color w:val="auto"/>
        </w:rPr>
      </w:pPr>
      <w:r>
        <w:rPr>
          <w:rFonts w:ascii="Arial" w:cs="Arial" w:eastAsia="Arial" w:hAnsi="Arial"/>
          <w:sz w:val="16"/>
          <w:szCs w:val="16"/>
          <w:color w:val="auto"/>
        </w:rPr>
        <w:t>The Company recorded $23.6 million, $23.4 million and $18.2 million of stock-based compensation expense in "General and administrative" on the Company's Consolidated Statements of Operations for the years ended December 31, 2009, 2008 and 2007,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 (Continued)</w:t>
      </w:r>
    </w:p>
    <w:p>
      <w:pPr>
        <w:spacing w:after="0" w:line="225" w:lineRule="exact"/>
        <w:rPr>
          <w:sz w:val="20"/>
          <w:szCs w:val="20"/>
          <w:color w:val="auto"/>
        </w:rPr>
      </w:pPr>
    </w:p>
    <w:p>
      <w:pPr>
        <w:jc w:val="both"/>
        <w:ind w:firstLine="471"/>
        <w:spacing w:after="0" w:line="275" w:lineRule="auto"/>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—Changes in options outstanding during the year ended December 31, 2009, are as follows (amounts in thousands, except for weighted</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strike price):</w:t>
      </w: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Number of Shares</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Non-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1"/>
                <w:szCs w:val="11"/>
                <w:color w:val="auto"/>
              </w:rPr>
            </w:pPr>
          </w:p>
        </w:tc>
        <w:tc>
          <w:tcPr>
            <w:tcW w:w="8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Employee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Strike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Employees</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Directors</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60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December 31, 2008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Forfeited in 2009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December 31,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information concerning outstanding and exercisable options as of December 31, 2009 (options, in thousands):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Remaining</w:t>
            </w: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Exercise Price</w:t>
            </w:r>
          </w:p>
        </w:tc>
        <w:tc>
          <w:tcPr>
            <w:tcW w:w="3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and Exercisable</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Life (Years)</w:t>
            </w: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$16.88</w:t>
            </w:r>
          </w:p>
        </w:tc>
        <w:tc>
          <w:tcPr>
            <w:tcW w:w="36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$17.38</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0.21</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$19.69</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$24.94</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1.38</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$27.00</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$29.82</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2.41</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not issued any options since 2003. During the year ended December 31, 2009, no options were exercised. Cash received from option exercises during the years ended December 31, 2008 and 2007 was $5.2 million and $2.9 million, respectively. The intrinsic value of options exercised during the years ended December 31, 2008 and 2007 was $2.0 million and $3.5 million, respectively.</w:t>
      </w:r>
    </w:p>
    <w:p>
      <w:pPr>
        <w:spacing w:after="0" w:line="188" w:lineRule="exact"/>
        <w:rPr>
          <w:sz w:val="20"/>
          <w:szCs w:val="20"/>
          <w:color w:val="auto"/>
        </w:rPr>
      </w:pPr>
    </w:p>
    <w:p>
      <w:pPr>
        <w:jc w:val="both"/>
        <w:ind w:firstLine="427"/>
        <w:spacing w:after="0" w:line="275" w:lineRule="auto"/>
        <w:rPr>
          <w:sz w:val="20"/>
          <w:szCs w:val="20"/>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—Changes in non-vested restricted stock units during the year ended December 31, 2009 are as follows (in thousands, except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amounts):</w:t>
      </w:r>
    </w:p>
    <w:p>
      <w:pPr>
        <w:spacing w:after="0" w:line="16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Non-Vested Shares</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of Shares</w:t>
            </w:r>
          </w:p>
        </w:tc>
        <w:tc>
          <w:tcPr>
            <w:tcW w:w="1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Per Share</w:t>
            </w: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2008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(2,279)</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2009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5"/>
        <w:spacing w:after="0" w:line="256" w:lineRule="auto"/>
        <w:rPr>
          <w:sz w:val="20"/>
          <w:szCs w:val="20"/>
          <w:color w:val="auto"/>
        </w:rPr>
      </w:pPr>
      <w:r>
        <w:rPr>
          <w:rFonts w:ascii="Arial" w:cs="Arial" w:eastAsia="Arial" w:hAnsi="Arial"/>
          <w:sz w:val="18"/>
          <w:szCs w:val="18"/>
          <w:color w:val="auto"/>
        </w:rPr>
        <w:t>On May 27, 2009, the Company's shareholders approved the grant of 2,000,000 market-condition based restricted stock units which were contingently awarded, subject to shareholder approval, to its Chairman and Chief Executive Officer as a special retention award on October 9, 2008. These units will cliff vest in one installment on October 9, 2011 only if the total shareholder return on the Company's Common Stock is at least 25% per year (compounded at the end of the three year vesting period, including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dividends). Total shareholder return will be based on the average NYSE closing prices for the Company's Common Stock for the 20 days prior to: (a) the date of the award on October 9, 2008 (which was $3.38); and (b) the vesting date (which must be at least $6.58 if no dividends are paid). No dividends will be paid on these units prior to vesting. These units are required to be settled on a net, after-tax basis (after deducting shares for minimum required statutory withholdings); therefore the actual number of shares issued will be less than the gross amount of the award. The Company measured the fair value of the grant on May 27, 2009 and will record compensation expense based on this fair value ratably over the remaining vesting period.</w:t>
      </w:r>
    </w:p>
    <w:p>
      <w:pPr>
        <w:spacing w:after="0" w:line="170" w:lineRule="exact"/>
        <w:rPr>
          <w:sz w:val="20"/>
          <w:szCs w:val="20"/>
          <w:color w:val="auto"/>
        </w:rPr>
      </w:pPr>
    </w:p>
    <w:p>
      <w:pPr>
        <w:jc w:val="both"/>
        <w:ind w:firstLine="399"/>
        <w:spacing w:after="0" w:line="285" w:lineRule="auto"/>
        <w:rPr>
          <w:sz w:val="20"/>
          <w:szCs w:val="20"/>
          <w:color w:val="auto"/>
        </w:rPr>
      </w:pPr>
      <w:r>
        <w:rPr>
          <w:rFonts w:ascii="Arial" w:cs="Arial" w:eastAsia="Arial" w:hAnsi="Arial"/>
          <w:sz w:val="16"/>
          <w:szCs w:val="16"/>
          <w:color w:val="auto"/>
        </w:rPr>
        <w:t>As of December 31, 2009, there were 9,159,000 market-condition based restricted stock units ("Units") outstanding, which were granted to executives and other officers of the Company on December 19, 2008. The Units will vest only if specified price targets for the Company's Common Stock are achieved and if the employee is thereafter employed on the vesting date, as follows: (a) if the Common Stock achieves a price of $4.00 or more (average NYSE closing price over 20 consecutive trading days) during the first year following the grant date (i.e., prior to December 19, 2009), the Units will vest in three equal installments on January 1, 2010, January 1, 2011, and January 1, 2012; (b) if the Units do not achieve the price target in the first year, but the Common Stock achieves a price of $7.00 or more (average NYSE closing price over 20 consecutive trading days) prior to December 19, 2010, the Units will vest in two equal installments on January 1, 2011 and January 1, 2012; and (c) if the Units do not achieve the price target in the first or second year, but the Common Stock achieves a price of $10.00 or more (average NYSE closing price over 20 consecutive trading days) prior to December 19, 2011, the Units will vest in one installment on January 1, 2012. The $4.00 price target for the initial period ended December 19, 2009 was not achieved, therefore only the $7.00 and $10.00 price targets remain applicable. If an applicable price target has been achieved, the Units will thereafter be entitled to dividend equivalent payments as dividends are paid on the Company's Common Stock. Upon vesting of the Units, holders will receive shares of the Company's Common Stock in the amount of the vested Units, net of statutory minimum tax withholdings. On May 27, 2009, the Company's shareholders approved the 2009 LTIP, which authorized additional shares of the Company's Common Stock to be available for awards under the Company's equity compensation plans including for settlement of the Units. The approval converted the Company's accounting for the Units from liability-based to equity-based, and accordingly, the Company reclassified its liability recorded in "Accounts Payable, accrued expenses and other liabilities" to "Additional paid-in capital" on the Consolidated Balance Sheets. The aggregate fair value of the grants on May 27, 2009 was approximately $27.0 million, which is being recognized as compensation expense ratably over the vesting period.</w:t>
      </w:r>
    </w:p>
    <w:p>
      <w:pPr>
        <w:spacing w:after="0" w:line="178" w:lineRule="exact"/>
        <w:rPr>
          <w:sz w:val="20"/>
          <w:szCs w:val="20"/>
          <w:color w:val="auto"/>
        </w:rPr>
      </w:pPr>
    </w:p>
    <w:p>
      <w:pPr>
        <w:jc w:val="both"/>
        <w:ind w:firstLine="356"/>
        <w:spacing w:after="0" w:line="255" w:lineRule="auto"/>
        <w:rPr>
          <w:sz w:val="20"/>
          <w:szCs w:val="20"/>
          <w:color w:val="auto"/>
        </w:rPr>
      </w:pPr>
      <w:r>
        <w:rPr>
          <w:rFonts w:ascii="Arial" w:cs="Arial" w:eastAsia="Arial" w:hAnsi="Arial"/>
          <w:sz w:val="18"/>
          <w:szCs w:val="18"/>
          <w:color w:val="auto"/>
        </w:rPr>
        <w:t>As of December 31, 2009, there were 389,277 market-condition based restricted stock units outstanding that were granted to employees on January 18, 2008 and cliff vest on December 31, 2010, only if the total shareholder return on the Company's Common Stock is at least 20% (compounded annually, including dividends) from the date of the award through the end of the vesting period. Total shareholder return will be based on the average NYSE closing prices for the Company's Common Stock for the 20 days prior to (a) the date of the award on January 18, 2008 (which was $25.04) and (b) the vesting date. No dividends will be paid on these units unless and until they are vested.</w:t>
      </w:r>
    </w:p>
    <w:p>
      <w:pPr>
        <w:spacing w:after="0" w:line="19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On October 9, 2008, the Company granted 2,000,000 restricted stock units as special retention incentive awards to certain officers which will cliff vest in one installment on October 9, 2011, if the RSU holders are employed on the vesting date. The unvested units are entitled to receive dividend equivalent payments as dividends are paid on shares of the Company's Common Stock. As of December 31, 2009, 1,850,000 of these restricted stock units remain outstanding. Also on October 9, 2008,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awarded 1,000,000 restricted stock units as a special retention incentive award to the Company's President which were forfeited during the year ended December 31, 2009, due to his resignation from the Company.</w:t>
      </w:r>
    </w:p>
    <w:p>
      <w:pPr>
        <w:spacing w:after="0" w:line="186" w:lineRule="exact"/>
        <w:rPr>
          <w:sz w:val="20"/>
          <w:szCs w:val="20"/>
          <w:color w:val="auto"/>
        </w:rPr>
      </w:pPr>
    </w:p>
    <w:p>
      <w:pPr>
        <w:jc w:val="both"/>
        <w:ind w:firstLine="345"/>
        <w:spacing w:after="0" w:line="259" w:lineRule="auto"/>
        <w:rPr>
          <w:sz w:val="20"/>
          <w:szCs w:val="20"/>
          <w:color w:val="auto"/>
        </w:rPr>
      </w:pPr>
      <w:r>
        <w:rPr>
          <w:rFonts w:ascii="Arial" w:cs="Arial" w:eastAsia="Arial" w:hAnsi="Arial"/>
          <w:sz w:val="18"/>
          <w:szCs w:val="18"/>
          <w:color w:val="auto"/>
        </w:rPr>
        <w:t>As of December 31, 2009, there were 672,984 unvested service-based restricted stock units outstanding that are entitled to be paid dividends as dividends are paid on shares of the Company's Common Stock and these dividends are accounted for as a reduction to retained earnings in a manner consistent with the Company's Common Stock dividends.</w:t>
      </w:r>
    </w:p>
    <w:p>
      <w:pPr>
        <w:spacing w:after="0" w:line="194"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8"/>
          <w:szCs w:val="18"/>
          <w:color w:val="auto"/>
        </w:rPr>
        <w:t>The fair values of the market-condition based restricted stock units, including the Units, were determined by utilizing a Monte Carlo model to simulate a range of possible future stock prices for the Company's Common Stock. The following assumptions were used to estimate the fair value of market-condition based awards: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2"/>
              </w:rPr>
              <w:t>Valued as of</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980" w:type="dxa"/>
            <w:vAlign w:val="bottom"/>
          </w:tcPr>
          <w:p>
            <w:pPr>
              <w:spacing w:after="0"/>
              <w:rPr>
                <w:sz w:val="11"/>
                <w:szCs w:val="11"/>
                <w:color w:val="auto"/>
              </w:rPr>
            </w:pPr>
          </w:p>
        </w:tc>
        <w:tc>
          <w:tcPr>
            <w:tcW w:w="100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January 18,</w:t>
            </w:r>
          </w:p>
        </w:tc>
        <w:tc>
          <w:tcPr>
            <w:tcW w:w="9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May 27,</w:t>
            </w:r>
          </w:p>
        </w:tc>
        <w:tc>
          <w:tcPr>
            <w:tcW w:w="780" w:type="dxa"/>
            <w:vAlign w:val="bottom"/>
          </w:tcPr>
          <w:p>
            <w:pPr>
              <w:jc w:val="right"/>
              <w:ind w:right="80"/>
              <w:spacing w:after="0" w:line="129" w:lineRule="exact"/>
              <w:rPr>
                <w:sz w:val="20"/>
                <w:szCs w:val="20"/>
                <w:color w:val="auto"/>
              </w:rPr>
            </w:pPr>
            <w:r>
              <w:rPr>
                <w:rFonts w:ascii="Arial" w:cs="Arial" w:eastAsia="Arial" w:hAnsi="Arial"/>
                <w:sz w:val="14"/>
                <w:szCs w:val="14"/>
                <w:b w:val="1"/>
                <w:bCs w:val="1"/>
                <w:color w:val="auto"/>
              </w:rPr>
              <w:t>May 27,</w:t>
            </w:r>
          </w:p>
        </w:tc>
        <w:tc>
          <w:tcPr>
            <w:tcW w:w="160" w:type="dxa"/>
            <w:vAlign w:val="bottom"/>
          </w:tcPr>
          <w:p>
            <w:pPr>
              <w:spacing w:after="0"/>
              <w:rPr>
                <w:sz w:val="11"/>
                <w:szCs w:val="11"/>
                <w:color w:val="auto"/>
              </w:rPr>
            </w:pPr>
          </w:p>
        </w:tc>
      </w:tr>
      <w:tr>
        <w:trPr>
          <w:trHeight w:val="161"/>
        </w:trPr>
        <w:tc>
          <w:tcPr>
            <w:tcW w:w="3980" w:type="dxa"/>
            <w:vAlign w:val="bottom"/>
          </w:tcPr>
          <w:p>
            <w:pPr>
              <w:spacing w:after="0"/>
              <w:rPr>
                <w:sz w:val="14"/>
                <w:szCs w:val="14"/>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2009(1)</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2009(2)</w:t>
            </w:r>
          </w:p>
        </w:tc>
        <w:tc>
          <w:tcPr>
            <w:tcW w:w="160" w:type="dxa"/>
            <w:vAlign w:val="bottom"/>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27.46%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152.03%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145.45%</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annual dividend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3"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68580</wp:posOffset>
            </wp:positionV>
            <wp:extent cx="15265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94" w:lineRule="exact"/>
        <w:rPr>
          <w:sz w:val="20"/>
          <w:szCs w:val="20"/>
          <w:color w:val="auto"/>
        </w:rPr>
      </w:pPr>
    </w:p>
    <w:p>
      <w:pPr>
        <w:ind w:left="2840" w:hanging="550"/>
        <w:spacing w:after="0" w:line="239" w:lineRule="auto"/>
        <w:tabs>
          <w:tab w:leader="none" w:pos="28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Contingent equity-based restricted stock units awarded on October 9, 2008 were measured on May 27, 2009, the date the Company's shareholders approved the grant of the award.</w:t>
      </w:r>
    </w:p>
    <w:p>
      <w:pPr>
        <w:spacing w:after="0" w:line="111" w:lineRule="exact"/>
        <w:rPr>
          <w:rFonts w:ascii="Arial" w:cs="Arial" w:eastAsia="Arial" w:hAnsi="Arial"/>
          <w:sz w:val="14"/>
          <w:szCs w:val="14"/>
          <w:color w:val="auto"/>
        </w:rPr>
      </w:pPr>
    </w:p>
    <w:p>
      <w:pPr>
        <w:ind w:left="2840" w:hanging="550"/>
        <w:spacing w:after="0" w:line="239" w:lineRule="auto"/>
        <w:tabs>
          <w:tab w:leader="none" w:pos="28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Units granted on December 19, 2008 were re-measured on May 27, 2009 when they became equity-based awards in accordance with ASC 718-20-55-135 to 138.</w:t>
      </w:r>
    </w:p>
    <w:p>
      <w:pPr>
        <w:spacing w:after="0" w:line="195"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8"/>
          <w:szCs w:val="18"/>
          <w:color w:val="auto"/>
        </w:rPr>
        <w:t>The total fair value of restricted stock units vested during the years ended December 31, 2009, 2008 and 2007 was $1.4 million, $10.1 million and $10.6 million, respectively. As of December 31, 2009, there was $28.2 million of total unrecognized compensation cost related to non-vested restricted stock units. That cost is expected to be recognized over the remaining vesting/service period for the respective grants.</w:t>
      </w:r>
    </w:p>
    <w:p>
      <w:pPr>
        <w:spacing w:after="0" w:line="188" w:lineRule="exact"/>
        <w:rPr>
          <w:sz w:val="20"/>
          <w:szCs w:val="20"/>
          <w:color w:val="auto"/>
        </w:rPr>
      </w:pPr>
    </w:p>
    <w:p>
      <w:pPr>
        <w:jc w:val="both"/>
        <w:ind w:firstLine="384"/>
        <w:spacing w:after="0" w:line="291" w:lineRule="auto"/>
        <w:rPr>
          <w:sz w:val="20"/>
          <w:szCs w:val="20"/>
          <w:color w:val="auto"/>
        </w:rPr>
      </w:pPr>
      <w:r>
        <w:rPr>
          <w:rFonts w:ascii="Arial" w:cs="Arial" w:eastAsia="Arial" w:hAnsi="Arial"/>
          <w:sz w:val="16"/>
          <w:szCs w:val="16"/>
          <w:b w:val="1"/>
          <w:bCs w:val="1"/>
          <w:color w:val="auto"/>
        </w:rPr>
        <w:t>Common Stock Equivalents</w:t>
      </w:r>
      <w:r>
        <w:rPr>
          <w:rFonts w:ascii="Arial" w:cs="Arial" w:eastAsia="Arial" w:hAnsi="Arial"/>
          <w:sz w:val="16"/>
          <w:szCs w:val="16"/>
          <w:color w:val="auto"/>
        </w:rPr>
        <w:t>—Non-employee directors are awarded common stock equivalents ("CSEs") at the time of the annual shareholders meeting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for their services on the Company's Board of Directors. The CSEs generally vest at the time of the next annual shareholders meeting and pay dividends in an amount equal to the dividends paid on an equivalent number of shares of the Company's Common Stock from the date of grant, as and when dividends are paid on the Common Stock. During the year ended December 31, 2009, the Company awarded to Directors 169,814 CSEs at a weighted average fair value per share of $3.18 at the time of grant. The CSE awards are classified as liability-based awards due to the fact that they can be settled in shares of stock or cash at the Directors' option. During the year ended December 31, 2009, the Company issued 73,147 shares of Common Stock to Directors at fair value per share of $2.23 to settle vested CSEs outstanding. At December 31, 2009, 197,385 CSEs, with an aggregate intrinsic value of $0.5 million were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The Company has a savings and retirement plan (the "401(k) Plan"), which is a voluntary, defined contribution plan. All employees are eligible to participate in the 401(k) Plan following completion of three months of continuous service with the Company. Each participant may contribute on a pretax basis up to the maximum percentage of compensation and dollar amount permissible under Section 402(g)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Internal Revenue Code not to exceed the limits of Code Sections 401(k), 404 and 415. At the discretion of the Board of Directors, the Company may make matching contributions on the participant's behalf of up to 50% of the first 10% of the participant's annual compensation. The Company made gross contributions of approximately $1.3 million, $1.5 million and $1.1 million for the years ended December 31, 2009, 2008 and 2007,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w:t>
      </w:r>
    </w:p>
    <w:p>
      <w:pPr>
        <w:spacing w:after="0" w:line="231"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EPS is calculated using the two-class method, which allocates earnings among common stock and participating securities to calculate EPS when an entity's capital structure includes either two or more classes of common stock or common stock and participating securities. HPU holders are current and former Company employees who purchased high performance common stock units under the Company's High Performance Unit (HPU) Program (see Note 12). These HPU units have been treated as a separate class of common stock. In addition, the Company adopted ASC 260-10-65-2 on January 1, 2009. Upon adoption, the Company's unvested restricted stock units which are entitled to receive dividends and CSEs issued under the Long-Term Incentive Plans are considered participating securities and have been included in the two-class method when calculating EPS. ASC 260-10-65-2 has been applied retroactively to all prior periods presented (see Note 3).</w:t>
      </w:r>
    </w:p>
    <w:p>
      <w:pPr>
        <w:spacing w:after="0" w:line="201" w:lineRule="exact"/>
        <w:rPr>
          <w:sz w:val="20"/>
          <w:szCs w:val="20"/>
          <w:color w:val="auto"/>
        </w:rPr>
      </w:pPr>
    </w:p>
    <w:p>
      <w:pPr>
        <w:jc w:val="both"/>
        <w:ind w:firstLine="482"/>
        <w:spacing w:after="0" w:line="268"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EPS calculations (in thousands, except for per share data):</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w w:val="96"/>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(770,602)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(295,640)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joint venture interest attributable to noncontrolling interests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(18,560)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Preferred dividends</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(42,320)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(42,320)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Participating Security holders(1)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7"/>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8"/>
              </w:rPr>
              <w:t>Income (loss) from continuing operations attributable to iStar Financial Inc. and</w:t>
            </w: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allocable to common shareholders and HPU 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(811,851)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(357,922)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153,751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1680" w:hanging="531"/>
        <w:spacing w:after="0" w:line="233" w:lineRule="auto"/>
        <w:tabs>
          <w:tab w:leader="none" w:pos="16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 accordance with ASC 260-10-65-1, "Application of the Two-Class Method under FASB Statement No. 128 to Master Limited Partnerships," ("ASC 260-10-65-1") the total dividends paid to Participating Security holders during the period have been deducted from income (loss) from continuing operations, because total dividends distributed by the Company exceeded earnings for the period.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9"/>
          </w:tcPr>
          <w:p>
            <w:pPr>
              <w:ind w:left="1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allocable to common shares: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i w:val="1"/>
                <w:iCs w:val="1"/>
                <w:color w:val="auto"/>
              </w:rPr>
              <w:t>Numerator for basic earnings per share: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attributable to iStar Financial Inc.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allocable to common shareholders(1)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(789,304)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(350,340)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150,385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(11,349)</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iStar Financial Inc. and allocable to common</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3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(788,570)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(242,490)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187,359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Numerator for diluted earnings per share: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(loss) from continuing operations attributable to iStar Financial Inc.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allocable to common shareholders(1)(2)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(789,304)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(350,340)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150,487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85,910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iStar Financial Inc. and allocable to common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(788,570)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(242,490)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187,466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Denominator::</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common shares outstanding for basic earnings per common share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131,153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126,801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0"/>
              </w:rPr>
              <w:t>Add: effect of assumed shares issued under treasury stock method for stock options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restricted shares.</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Add: effect of joint venture shares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 average common shares outstanding for diluted earnings per common share</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8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100,071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131,153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127,542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earnings per common share: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(loss) from continuing operations attributable to iStar Financial Inc.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allocable to common shareholders(1)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iStar Financial Inc. and allocable to common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attributable to iStar Financial Inc.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allocable to common shareholders(1)(2)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iStar Financial Inc. and allocable to common</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3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1680" w:hanging="531"/>
        <w:spacing w:after="0" w:line="288" w:lineRule="auto"/>
        <w:tabs>
          <w:tab w:leader="none" w:pos="16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Income (loss) from continuing operations attributable to iStar Financial Inc. and allocable to common shareholders has been adjusted for net (income) loss attributable to noncontrolling interests and preferred dividends. In addition, for the years ended December 31, 2008 and 2007, income (loss) from continuing operations attributable to iStar Financial Inc. and allocable to common shareholders has been adjusted to exclude dividends paid to Participating Security holders (see preceding table).</w:t>
      </w:r>
    </w:p>
    <w:p>
      <w:pPr>
        <w:spacing w:after="0" w:line="83" w:lineRule="exact"/>
        <w:rPr>
          <w:rFonts w:ascii="Arial" w:cs="Arial" w:eastAsia="Arial" w:hAnsi="Arial"/>
          <w:sz w:val="12"/>
          <w:szCs w:val="12"/>
          <w:color w:val="auto"/>
        </w:rPr>
      </w:pPr>
    </w:p>
    <w:p>
      <w:pPr>
        <w:ind w:left="1680" w:hanging="531"/>
        <w:spacing w:after="0"/>
        <w:tabs>
          <w:tab w:leader="none" w:pos="16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 the year ended December 31, 2007, amount includes the allocable portion of $85 of joint venture income.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8"/>
          </w:tcPr>
          <w:p>
            <w:pPr>
              <w:ind w:left="2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allocable to High Performance Units: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i w:val="1"/>
                <w:iCs w:val="1"/>
                <w:color w:val="auto"/>
              </w:rPr>
              <w:t>Numerator for basic earnings per HPU share:</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(loss) from continuing operations attributable to iStar Financial Inc. and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allocable to HPU holders(1)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w w:val="94"/>
              </w:rPr>
              <w:t>Net income (loss) attributable to iStar Financial Inc. and allocable to HPU holders</w:t>
            </w: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4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(22,526)</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(5,248)</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Numerator for diluted earnings per HPU share: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7"/>
              </w:rPr>
              <w:t>Income (loss) from continuing operations attributable to iStar Financial Inc. and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allocable to HPU holders(1)(2)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(22,547)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(loss) attributable to iStar Financial Inc. and allocable to HPU 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Denominator (basic and diluted):</w:t>
            </w: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High Performance Units outstanding for basic and diluted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HPU share:</w:t>
            </w: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(loss) from continuing operations attributable to iStar Financial Inc. and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allocable to HPU holders(1)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(1,503.13)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(21.47)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w w:val="94"/>
              </w:rPr>
              <w:t>Net income (loss) attributable to iStar Financial Inc. and allocable to HPU holders</w:t>
            </w: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4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(1,501.73)</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(349.87)</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earnings per HPU share: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7"/>
              </w:rPr>
              <w:t>Income (loss) from continuing operations attributable to iStar Financial Inc. and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allocable to HPU holders(1)(2)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(1,503.13)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(505.47)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223.27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123.93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(loss) attributable to iStar Financial Inc. and allocable to HPU 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(1,501.73)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1680" w:hanging="531"/>
        <w:spacing w:after="0" w:line="288" w:lineRule="auto"/>
        <w:tabs>
          <w:tab w:leader="none" w:pos="16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Income (loss) from continuing operations attributable to iStar Financial Inc. and allocable to High Performance Units has been adjusted for net (income) loss attributable to noncontrolling interests and preferred dividends. In addition, for the years ended December 31, 2008 and 2007, income (loss) from continuing operations attributable to iStar Financial Inc. and allocable to High Performance Units has been adjusted to exclude dividends paid to Participating Security holders (see preceding table).</w:t>
      </w:r>
    </w:p>
    <w:p>
      <w:pPr>
        <w:spacing w:after="0" w:line="83" w:lineRule="exact"/>
        <w:rPr>
          <w:rFonts w:ascii="Arial" w:cs="Arial" w:eastAsia="Arial" w:hAnsi="Arial"/>
          <w:sz w:val="12"/>
          <w:szCs w:val="12"/>
          <w:color w:val="auto"/>
        </w:rPr>
      </w:pPr>
    </w:p>
    <w:p>
      <w:pPr>
        <w:ind w:left="1680" w:hanging="531"/>
        <w:spacing w:after="0"/>
        <w:tabs>
          <w:tab w:leader="none" w:pos="16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the year ended December 31, 2007, amount includes the allocable portion of $85 of joint venture income.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 (Continued)</w:t>
      </w:r>
    </w:p>
    <w:p>
      <w:pPr>
        <w:spacing w:after="0" w:line="231" w:lineRule="exact"/>
        <w:rPr>
          <w:sz w:val="20"/>
          <w:szCs w:val="20"/>
          <w:color w:val="auto"/>
        </w:rPr>
      </w:pPr>
    </w:p>
    <w:p>
      <w:pPr>
        <w:jc w:val="both"/>
        <w:ind w:firstLine="529"/>
        <w:spacing w:after="0" w:line="288" w:lineRule="auto"/>
        <w:rPr>
          <w:sz w:val="20"/>
          <w:szCs w:val="20"/>
          <w:color w:val="auto"/>
        </w:rPr>
      </w:pPr>
      <w:r>
        <w:rPr>
          <w:rFonts w:ascii="Arial" w:cs="Arial" w:eastAsia="Arial" w:hAnsi="Arial"/>
          <w:sz w:val="16"/>
          <w:szCs w:val="16"/>
          <w:color w:val="auto"/>
        </w:rPr>
        <w:t>For the years ended December 31, 2008 and 2007, basic and diluted net income allocable to common shareholders and HPU holders per share were retroactively adjusted to reflect the adoption of ASC 260-10-65-2. The Company reduced its diluted weighted average common shares outstanding for each reporting period by unvested restricted stock units that are entitled to receive dividends and common stock equivalents deemed to be Participating Securities. In addition, pursuant to ASC 260-10-65-1, as a result of dividends paid in excess of earnings during the years ended December 31, 2008 and 2007, the Company allocated $2.4 million and $3.5 million, respectively, of earnings from common shares and HPU shares to Participating Securities. This adoption, along with the adoption of ASC 470-20-65-1 (see Notes 3 and 9) changed basic and diluted earnings per share as follows: (a) for the year ended December 31, 2008, basic and diluted net income allocable to common shareholders decreased by $0.07 per share, and basic and diluted net income allocable to HPU holders decreased by $13.54 per share; and (b) for the year ended December 30, 2007, basic and diluted net income allocable to common shareholders decreased by $0.04 per share, and basic and diluted net income allocable to HPU holders decreased by $8.40 and $6.93 per share, respectively.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2009, 2008 and 2007, the following shares were anti-dilutive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20" w:type="dxa"/>
            <w:vAlign w:val="bottom"/>
            <w:gridSpan w:val="5"/>
          </w:tcPr>
          <w:p>
            <w:pPr>
              <w:jc w:val="center"/>
              <w:ind w:left="302"/>
              <w:spacing w:after="0"/>
              <w:rPr>
                <w:sz w:val="20"/>
                <w:szCs w:val="20"/>
                <w:color w:val="auto"/>
              </w:rPr>
            </w:pPr>
            <w:r>
              <w:rPr>
                <w:rFonts w:ascii="Arial" w:cs="Arial" w:eastAsia="Arial" w:hAnsi="Arial"/>
                <w:sz w:val="14"/>
                <w:szCs w:val="14"/>
                <w:b w:val="1"/>
                <w:bCs w:val="1"/>
                <w:color w:val="auto"/>
                <w:w w:val="88"/>
              </w:rPr>
              <w:t>For the Years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680" w:type="dxa"/>
            <w:vAlign w:val="bottom"/>
          </w:tcPr>
          <w:p>
            <w:pPr>
              <w:spacing w:after="0"/>
              <w:rPr>
                <w:sz w:val="14"/>
                <w:szCs w:val="14"/>
                <w:color w:val="auto"/>
              </w:rPr>
            </w:pPr>
          </w:p>
        </w:tc>
        <w:tc>
          <w:tcPr>
            <w:tcW w:w="1620" w:type="dxa"/>
            <w:vAlign w:val="bottom"/>
            <w:tcBorders>
              <w:bottom w:val="single" w:sz="8" w:color="auto"/>
            </w:tcBorders>
            <w:gridSpan w:val="5"/>
          </w:tcPr>
          <w:p>
            <w:pPr>
              <w:jc w:val="center"/>
              <w:ind w:left="282"/>
              <w:spacing w:after="0"/>
              <w:rPr>
                <w:sz w:val="20"/>
                <w:szCs w:val="20"/>
                <w:color w:val="auto"/>
              </w:rPr>
            </w:pPr>
            <w:r>
              <w:rPr>
                <w:rFonts w:ascii="Arial" w:cs="Arial" w:eastAsia="Arial" w:hAnsi="Arial"/>
                <w:sz w:val="14"/>
                <w:szCs w:val="14"/>
                <w:b w:val="1"/>
                <w:bCs w:val="1"/>
                <w:color w:val="auto"/>
                <w:w w:val="85"/>
              </w:rPr>
              <w:t>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Joint venture shares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Stock options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62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11,548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15—Comprehensive Income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statement of comprehensive income (loss) attributable to iStar Financial, Inc.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88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7"/>
              </w:rPr>
              <w:t>December 31,</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(769,847)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(181,767)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$ 236,602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5"/>
              </w:rPr>
              <w:t>Reclassification of (gains)/losses on available-for-sale securities into earnings upon</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4"/>
              </w:rPr>
              <w:t>Reclassification of (gains)/losses on cash flow hedges into earnings upon realization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(4,357)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3,401</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available-for-sale securities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(5,797)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Unrealized gains/(losses) on cash flow hedges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2,986</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cumulative translation adjustment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20" w:type="dxa"/>
            <w:vAlign w:val="bottom"/>
            <w:gridSpan w:val="2"/>
            <w:vMerge w:val="restart"/>
          </w:tcPr>
          <w:p>
            <w:pPr>
              <w:ind w:left="1140"/>
              <w:spacing w:after="0"/>
              <w:rPr>
                <w:sz w:val="20"/>
                <w:szCs w:val="20"/>
                <w:color w:val="auto"/>
              </w:rPr>
            </w:pPr>
            <w:r>
              <w:rPr>
                <w:rFonts w:ascii="Arial" w:cs="Arial" w:eastAsia="Arial" w:hAnsi="Arial"/>
                <w:sz w:val="18"/>
                <w:szCs w:val="18"/>
                <w:color w:val="auto"/>
              </w:rPr>
              <w:t>Comprehensive income (loss)</w:t>
            </w:r>
          </w:p>
        </w:tc>
        <w:tc>
          <w:tcPr>
            <w:tcW w:w="860" w:type="dxa"/>
            <w:vAlign w:val="bottom"/>
            <w:gridSpan w:val="2"/>
          </w:tcPr>
          <w:p>
            <w:pPr>
              <w:spacing w:after="0"/>
              <w:rPr>
                <w:sz w:val="2"/>
                <w:szCs w:val="2"/>
                <w:color w:val="auto"/>
              </w:rPr>
            </w:pPr>
          </w:p>
        </w:tc>
        <w:tc>
          <w:tcPr>
            <w:tcW w:w="1020" w:type="dxa"/>
            <w:vAlign w:val="bottom"/>
            <w:gridSpan w:val="3"/>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(765,408)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(177,764)</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$ 217,351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attributable to noncontrolling interests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Gain on sale of joint venture interest attributable to noncontrolling interests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(18,560)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from discontinued operations attributable to noncontrolling interests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20" w:type="dxa"/>
            <w:vAlign w:val="bottom"/>
            <w:gridSpan w:val="2"/>
            <w:vMerge w:val="restart"/>
          </w:tcPr>
          <w:p>
            <w:pPr>
              <w:ind w:left="1140"/>
              <w:spacing w:after="0"/>
              <w:rPr>
                <w:sz w:val="20"/>
                <w:szCs w:val="20"/>
                <w:color w:val="auto"/>
              </w:rPr>
            </w:pPr>
            <w:r>
              <w:rPr>
                <w:rFonts w:ascii="Arial" w:cs="Arial" w:eastAsia="Arial" w:hAnsi="Arial"/>
                <w:sz w:val="18"/>
                <w:szCs w:val="18"/>
                <w:color w:val="auto"/>
              </w:rPr>
              <w:t>Comprehensive income (loss) attributable to iStar Financial Inc.</w:t>
            </w:r>
          </w:p>
        </w:tc>
        <w:tc>
          <w:tcPr>
            <w:tcW w:w="860" w:type="dxa"/>
            <w:vAlign w:val="bottom"/>
            <w:gridSpan w:val="2"/>
          </w:tcPr>
          <w:p>
            <w:pPr>
              <w:spacing w:after="0"/>
              <w:rPr>
                <w:sz w:val="2"/>
                <w:szCs w:val="2"/>
                <w:color w:val="auto"/>
              </w:rPr>
            </w:pPr>
          </w:p>
        </w:tc>
        <w:tc>
          <w:tcPr>
            <w:tcW w:w="1020" w:type="dxa"/>
            <w:vAlign w:val="bottom"/>
            <w:gridSpan w:val="3"/>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520" w:type="dxa"/>
            <w:vAlign w:val="bottom"/>
            <w:gridSpan w:val="2"/>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(764,337)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(199,022)</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$ 218,167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520" w:type="dxa"/>
            <w:vAlign w:val="bottom"/>
            <w:gridSpan w:val="2"/>
            <w:vMerge w:val="restart"/>
          </w:tcPr>
          <w:p>
            <w:pPr>
              <w:jc w:val="right"/>
              <w:ind w:right="1592"/>
              <w:spacing w:after="0"/>
              <w:rPr>
                <w:sz w:val="20"/>
                <w:szCs w:val="20"/>
                <w:color w:val="auto"/>
              </w:rPr>
            </w:pPr>
            <w:r>
              <w:rPr>
                <w:rFonts w:ascii="Arial" w:cs="Arial" w:eastAsia="Arial" w:hAnsi="Arial"/>
                <w:sz w:val="18"/>
                <w:szCs w:val="18"/>
                <w:color w:val="auto"/>
              </w:rPr>
              <w:t>102</w:t>
            </w: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5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3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15—Comprehensive Income (Loss) (Continued)</w:t>
      </w:r>
    </w:p>
    <w:p>
      <w:pPr>
        <w:spacing w:after="0" w:line="231" w:lineRule="exact"/>
        <w:rPr>
          <w:sz w:val="20"/>
          <w:szCs w:val="20"/>
          <w:color w:val="auto"/>
        </w:rPr>
      </w:pPr>
    </w:p>
    <w:p>
      <w:pPr>
        <w:jc w:val="both"/>
        <w:ind w:firstLine="494"/>
        <w:spacing w:after="0" w:line="256" w:lineRule="auto"/>
        <w:rPr>
          <w:sz w:val="20"/>
          <w:szCs w:val="20"/>
          <w:color w:val="auto"/>
        </w:rPr>
      </w:pPr>
      <w:r>
        <w:rPr>
          <w:rFonts w:ascii="Arial" w:cs="Arial" w:eastAsia="Arial" w:hAnsi="Arial"/>
          <w:sz w:val="18"/>
          <w:szCs w:val="18"/>
          <w:color w:val="auto"/>
        </w:rPr>
        <w:t>Unrealized gains/(losses) on available-for-sale securities, cash flow hedges and foreign currency translation adjustments are recorded as adjustments to shareholders' equity through "Accumulated other comprehensive income" on the Company's Consolidated Balance Sheets and are not included in net income unless realized. As of December 31, 2009 and 2008, accumulated other comprehensive income reflected in the Company's shareholders' equity is comprised of the following (in thousands):</w:t>
      </w:r>
    </w:p>
    <w:p>
      <w:pPr>
        <w:spacing w:after="0" w:line="24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9"/>
              </w:rPr>
              <w:t>As of December 31,</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available-for-sale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Unrealized gains on cash flow hedges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cumulative translation adjustment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w:t>
      </w:r>
    </w:p>
    <w:p>
      <w:pPr>
        <w:spacing w:after="0" w:line="231" w:lineRule="exact"/>
        <w:rPr>
          <w:sz w:val="20"/>
          <w:szCs w:val="20"/>
          <w:color w:val="auto"/>
        </w:rPr>
      </w:pPr>
    </w:p>
    <w:p>
      <w:pPr>
        <w:jc w:val="both"/>
        <w:ind w:firstLine="357"/>
        <w:spacing w:after="0" w:line="332" w:lineRule="auto"/>
        <w:rPr>
          <w:sz w:val="20"/>
          <w:szCs w:val="20"/>
          <w:color w:val="auto"/>
        </w:rPr>
      </w:pPr>
      <w:r>
        <w:rPr>
          <w:rFonts w:ascii="Arial" w:cs="Arial" w:eastAsia="Arial" w:hAnsi="Arial"/>
          <w:sz w:val="16"/>
          <w:szCs w:val="16"/>
          <w:color w:val="auto"/>
        </w:rPr>
        <w:t>Fair value represents the price that would be received to sell an asset or paid to transfer a liability in an orderly transaction between market participants at the measurement date. The following fair value hierarchy prioritizes the inputs used in valuation techniques to measure fair value:</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248" w:lineRule="exact"/>
        <w:rPr>
          <w:sz w:val="20"/>
          <w:szCs w:val="20"/>
          <w:color w:val="auto"/>
        </w:rPr>
      </w:pPr>
    </w:p>
    <w:p>
      <w:pPr>
        <w:ind w:left="540" w:firstLine="361"/>
        <w:spacing w:after="0" w:line="268"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spacing w:after="0" w:line="186" w:lineRule="exact"/>
        <w:rPr>
          <w:sz w:val="20"/>
          <w:szCs w:val="20"/>
          <w:color w:val="auto"/>
        </w:rPr>
      </w:pPr>
    </w:p>
    <w:p>
      <w:pPr>
        <w:ind w:left="540" w:firstLine="358"/>
        <w:spacing w:after="0" w:line="268"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6" w:lineRule="exact"/>
        <w:rPr>
          <w:sz w:val="20"/>
          <w:szCs w:val="20"/>
          <w:color w:val="auto"/>
        </w:rPr>
      </w:pPr>
    </w:p>
    <w:p>
      <w:pPr>
        <w:jc w:val="both"/>
        <w:ind w:firstLine="436"/>
        <w:spacing w:after="0" w:line="298" w:lineRule="auto"/>
        <w:rPr>
          <w:sz w:val="20"/>
          <w:szCs w:val="20"/>
          <w:color w:val="auto"/>
        </w:rPr>
      </w:pPr>
      <w:r>
        <w:rPr>
          <w:rFonts w:ascii="Arial" w:cs="Arial" w:eastAsia="Arial" w:hAnsi="Arial"/>
          <w:sz w:val="16"/>
          <w:szCs w:val="16"/>
          <w:color w:val="auto"/>
        </w:rPr>
        <w:t>Certain of the Company's assets and liabilities are recorded at fair value on a recurring or non-recurring basis as of December 31, 2009 and 2008. Assets required to be marked-to-market and reported at fair value every reporting period are classified as being valued on a recurring basis. Other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 (Continued)</w:t>
      </w:r>
    </w:p>
    <w:p>
      <w:pPr>
        <w:spacing w:after="0" w:line="231" w:lineRule="exact"/>
        <w:rPr>
          <w:sz w:val="20"/>
          <w:szCs w:val="20"/>
          <w:color w:val="auto"/>
        </w:rPr>
      </w:pPr>
    </w:p>
    <w:p>
      <w:pPr>
        <w:ind w:firstLine="362"/>
        <w:spacing w:after="0" w:line="268" w:lineRule="auto"/>
        <w:rPr>
          <w:sz w:val="20"/>
          <w:szCs w:val="20"/>
          <w:color w:val="auto"/>
        </w:rPr>
      </w:pPr>
      <w:r>
        <w:rPr>
          <w:rFonts w:ascii="Arial" w:cs="Arial" w:eastAsia="Arial" w:hAnsi="Arial"/>
          <w:sz w:val="18"/>
          <w:szCs w:val="18"/>
          <w:color w:val="auto"/>
        </w:rPr>
        <w:t>The following table summarizes the Company's assets and liabilities recorded at fair value on a recurring and non-recurring basis by the above categories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Quoted market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prices in</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active markets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2009:</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Recurring basis: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Derivative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Other lending investments—available-for-sale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Marketable securities at fair value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38,454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38,200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 basis: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Financial Assets: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Impaired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1,167,498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1,167,498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Non-financial Assets: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Impaired OREO</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Impaired assets held for sale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17,282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Impaired CTL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60" w:type="dxa"/>
            <w:vAlign w:val="bottom"/>
            <w:shd w:val="clear" w:color="auto" w:fill="CCEEFF"/>
          </w:tcPr>
          <w:p>
            <w:pPr>
              <w:spacing w:after="0"/>
              <w:rPr>
                <w:sz w:val="18"/>
                <w:szCs w:val="18"/>
                <w:color w:val="auto"/>
              </w:rPr>
            </w:pPr>
          </w:p>
        </w:tc>
      </w:tr>
      <w:tr>
        <w:trPr>
          <w:trHeight w:val="4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2008:</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basis: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Financial Assets: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Derivative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Other lending investments—available-for-sale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Financial Liabilities: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Non-recurring basis: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Impaired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1,821,012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1,821,012</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Impaired other lending investments—held-to-maturity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Impaired cost method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3,888</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right="20" w:firstLine="415"/>
        <w:spacing w:after="0" w:line="332" w:lineRule="auto"/>
        <w:rPr>
          <w:sz w:val="20"/>
          <w:szCs w:val="20"/>
          <w:color w:val="auto"/>
        </w:rPr>
      </w:pPr>
      <w:r>
        <w:rPr>
          <w:rFonts w:ascii="Arial" w:cs="Arial" w:eastAsia="Arial" w:hAnsi="Arial"/>
          <w:sz w:val="16"/>
          <w:szCs w:val="16"/>
          <w:color w:val="auto"/>
        </w:rPr>
        <w:t>In addition to the Company's disclosures regarding assets and liabilities recorded at fair value in the financial statements, it is also required to disclose the estimated fair values of all financial instruments, regardless of whether they are recorded at fair value in the financial statements.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book and estimated fair values of financial instruments were as follows (in thousands)(1):</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ind w:left="180"/>
              <w:spacing w:after="0"/>
              <w:rPr>
                <w:sz w:val="20"/>
                <w:szCs w:val="20"/>
                <w:color w:val="auto"/>
              </w:rPr>
            </w:pPr>
            <w:r>
              <w:rPr>
                <w:rFonts w:ascii="Arial" w:cs="Arial" w:eastAsia="Arial" w:hAnsi="Arial"/>
                <w:sz w:val="14"/>
                <w:szCs w:val="14"/>
                <w:b w:val="1"/>
                <w:bCs w:val="1"/>
                <w:color w:val="auto"/>
              </w:rPr>
              <w:t>As of December 31, 2009</w:t>
            </w:r>
          </w:p>
        </w:tc>
        <w:tc>
          <w:tcPr>
            <w:tcW w:w="160" w:type="dxa"/>
            <w:vAlign w:val="bottom"/>
          </w:tcPr>
          <w:p>
            <w:pPr>
              <w:spacing w:after="0"/>
              <w:rPr>
                <w:sz w:val="14"/>
                <w:szCs w:val="14"/>
                <w:color w:val="auto"/>
              </w:rPr>
            </w:pPr>
          </w:p>
        </w:tc>
        <w:tc>
          <w:tcPr>
            <w:tcW w:w="2100" w:type="dxa"/>
            <w:vAlign w:val="bottom"/>
            <w:gridSpan w:val="5"/>
          </w:tcPr>
          <w:p>
            <w:pPr>
              <w:ind w:left="180"/>
              <w:spacing w:after="0"/>
              <w:rPr>
                <w:sz w:val="20"/>
                <w:szCs w:val="20"/>
                <w:color w:val="auto"/>
              </w:rPr>
            </w:pPr>
            <w:r>
              <w:rPr>
                <w:rFonts w:ascii="Arial" w:cs="Arial" w:eastAsia="Arial" w:hAnsi="Arial"/>
                <w:sz w:val="14"/>
                <w:szCs w:val="14"/>
                <w:b w:val="1"/>
                <w:bCs w:val="1"/>
                <w:color w:val="auto"/>
              </w:rPr>
              <w:t>As of December 31, 2008</w:t>
            </w:r>
          </w:p>
        </w:tc>
      </w:tr>
      <w:tr>
        <w:trPr>
          <w:trHeight w:val="129"/>
        </w:trPr>
        <w:tc>
          <w:tcPr>
            <w:tcW w:w="2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4"/>
                <w:szCs w:val="14"/>
                <w:b w:val="1"/>
                <w:bCs w:val="1"/>
                <w:color w:val="auto"/>
              </w:rPr>
              <w:t>Book</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62"/>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Book</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82"/>
              <w:spacing w:after="0" w:line="12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1"/>
                <w:szCs w:val="11"/>
                <w:color w:val="auto"/>
              </w:rPr>
            </w:pPr>
          </w:p>
        </w:tc>
      </w:tr>
      <w:tr>
        <w:trPr>
          <w:trHeight w:val="161"/>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320" w:type="dxa"/>
            <w:vAlign w:val="bottom"/>
          </w:tcPr>
          <w:p>
            <w:pPr>
              <w:ind w:left="120"/>
              <w:spacing w:after="0"/>
              <w:rPr>
                <w:sz w:val="20"/>
                <w:szCs w:val="20"/>
                <w:color w:val="auto"/>
              </w:rPr>
            </w:pPr>
            <w:r>
              <w:rPr>
                <w:rFonts w:ascii="Arial" w:cs="Arial" w:eastAsia="Arial" w:hAnsi="Arial"/>
                <w:sz w:val="18"/>
                <w:szCs w:val="18"/>
                <w:color w:val="auto"/>
              </w:rPr>
              <w:t>Loans and other lending</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320" w:type="dxa"/>
            <w:vAlign w:val="bottom"/>
          </w:tcPr>
          <w:p>
            <w:pPr>
              <w:ind w:left="300"/>
              <w:spacing w:after="0"/>
              <w:rPr>
                <w:sz w:val="20"/>
                <w:szCs w:val="20"/>
                <w:color w:val="auto"/>
              </w:rPr>
            </w:pPr>
            <w:r>
              <w:rPr>
                <w:rFonts w:ascii="Arial" w:cs="Arial" w:eastAsia="Arial" w:hAnsi="Arial"/>
                <w:sz w:val="18"/>
                <w:szCs w:val="18"/>
                <w:color w:val="auto"/>
              </w:rPr>
              <w:t>investments,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7,661,562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6,638,840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10,586,644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9,279,946</w:t>
            </w:r>
          </w:p>
        </w:tc>
      </w:tr>
      <w:tr>
        <w:trPr>
          <w:trHeight w:val="218"/>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320" w:type="dxa"/>
            <w:vAlign w:val="bottom"/>
          </w:tcPr>
          <w:p>
            <w:pPr>
              <w:ind w:left="120"/>
              <w:spacing w:after="0"/>
              <w:rPr>
                <w:sz w:val="20"/>
                <w:szCs w:val="20"/>
                <w:color w:val="auto"/>
              </w:rPr>
            </w:pPr>
            <w:r>
              <w:rPr>
                <w:rFonts w:ascii="Arial" w:cs="Arial" w:eastAsia="Arial" w:hAnsi="Arial"/>
                <w:sz w:val="18"/>
                <w:szCs w:val="18"/>
                <w:color w:val="auto"/>
              </w:rPr>
              <w:t>Debt obligations,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10,894,903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8,115,023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12,486,404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6,277,177</w:t>
            </w:r>
          </w:p>
        </w:tc>
      </w:tr>
    </w:tbl>
    <w:p>
      <w:pPr>
        <w:spacing w:after="0" w:line="197"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15265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2840" w:hanging="550"/>
        <w:spacing w:after="0" w:line="233" w:lineRule="auto"/>
        <w:tabs>
          <w:tab w:leader="none" w:pos="28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carrying values of other financial instruments including cash and cash equivalents, restricted cash, accrued interest receivable, accounts payable, accrued expenses and other liabilities approximate the fair values of the instruments. The fair value of other financial instruments, including derivative assets and liabilities and marketable securities are included in the previous table.</w:t>
      </w:r>
    </w:p>
    <w:p>
      <w:pPr>
        <w:spacing w:after="0" w:line="195" w:lineRule="exact"/>
        <w:rPr>
          <w:sz w:val="20"/>
          <w:szCs w:val="20"/>
          <w:color w:val="auto"/>
        </w:rPr>
      </w:pPr>
    </w:p>
    <w:p>
      <w:pPr>
        <w:jc w:val="both"/>
        <w:ind w:firstLine="493"/>
        <w:spacing w:after="0" w:line="298" w:lineRule="auto"/>
        <w:rPr>
          <w:sz w:val="20"/>
          <w:szCs w:val="20"/>
          <w:color w:val="auto"/>
        </w:rPr>
      </w:pPr>
      <w:r>
        <w:rPr>
          <w:rFonts w:ascii="Arial" w:cs="Arial" w:eastAsia="Arial" w:hAnsi="Arial"/>
          <w:sz w:val="16"/>
          <w:szCs w:val="16"/>
          <w:color w:val="auto"/>
        </w:rPr>
        <w:t>Given the nature of certain assets and liabilities, clearly determinable market based valuation inputs are often not available; therefore, these assets and liabilities are valued using internal valuation techniques. Subjectivity exists with respect to these internal valuation techniques, therefore, the fair values disclosed may not equal prices the Company may ultimately realize if the assets were sold or the liabilities were settled with third parties. The methods the Company used to estimate the fair values presented in the two tables are described more fully below for each type of asset and liability.</w:t>
      </w:r>
    </w:p>
    <w:p>
      <w:pPr>
        <w:spacing w:after="0" w:line="161"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b w:val="1"/>
          <w:bCs w:val="1"/>
          <w:color w:val="auto"/>
        </w:rPr>
        <w:t>Derivatives—</w:t>
      </w:r>
      <w:r>
        <w:rPr>
          <w:rFonts w:ascii="Arial" w:cs="Arial" w:eastAsia="Arial" w:hAnsi="Arial"/>
          <w:sz w:val="16"/>
          <w:szCs w:val="16"/>
          <w:color w:val="auto"/>
        </w:rPr>
        <w:t>The Company uses interest rate swaps, interest rate caps and foreign currency derivatives to manage its interest rate and foreign currency risk.</w:t>
      </w:r>
      <w:r>
        <w:rPr>
          <w:rFonts w:ascii="Arial" w:cs="Arial" w:eastAsia="Arial" w:hAnsi="Arial"/>
          <w:sz w:val="16"/>
          <w:szCs w:val="16"/>
          <w:b w:val="1"/>
          <w:bCs w:val="1"/>
          <w:color w:val="auto"/>
        </w:rPr>
        <w:t xml:space="preserve"> </w:t>
      </w:r>
      <w:r>
        <w:rPr>
          <w:rFonts w:ascii="Arial" w:cs="Arial" w:eastAsia="Arial" w:hAnsi="Arial"/>
          <w:sz w:val="16"/>
          <w:szCs w:val="16"/>
          <w:color w:val="auto"/>
        </w:rPr>
        <w:t>The valuation of these instruments is determined using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The Company has determined that the significant inputs used to value its derivatives fall within Level 2 of the fair value hierarchy.</w:t>
      </w:r>
    </w:p>
    <w:p>
      <w:pPr>
        <w:spacing w:after="0" w:line="167" w:lineRule="exact"/>
        <w:rPr>
          <w:sz w:val="20"/>
          <w:szCs w:val="20"/>
          <w:color w:val="auto"/>
        </w:rPr>
      </w:pPr>
    </w:p>
    <w:p>
      <w:pPr>
        <w:jc w:val="both"/>
        <w:ind w:firstLine="365"/>
        <w:spacing w:after="0" w:line="262" w:lineRule="auto"/>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All of the Company's available-for-sale and impaired held-to-maturity debt and equity securities are actively traded and have been valued using</w:t>
      </w:r>
      <w:r>
        <w:rPr>
          <w:rFonts w:ascii="Arial" w:cs="Arial" w:eastAsia="Arial" w:hAnsi="Arial"/>
          <w:sz w:val="18"/>
          <w:szCs w:val="18"/>
          <w:b w:val="1"/>
          <w:bCs w:val="1"/>
          <w:color w:val="auto"/>
        </w:rPr>
        <w:t xml:space="preserve"> </w:t>
      </w:r>
      <w:r>
        <w:rPr>
          <w:rFonts w:ascii="Arial" w:cs="Arial" w:eastAsia="Arial" w:hAnsi="Arial"/>
          <w:sz w:val="18"/>
          <w:szCs w:val="18"/>
          <w:color w:val="auto"/>
        </w:rPr>
        <w:t>quoted market prices. The Company's traded marketable securities are valued using market quotes, to the extent they are available, or broker quotes that fall within Level 2 of the fair value hierarchy.</w:t>
      </w:r>
    </w:p>
    <w:p>
      <w:pPr>
        <w:spacing w:after="0" w:line="186" w:lineRule="exact"/>
        <w:rPr>
          <w:sz w:val="20"/>
          <w:szCs w:val="20"/>
          <w:color w:val="auto"/>
        </w:rPr>
      </w:pPr>
    </w:p>
    <w:p>
      <w:pPr>
        <w:jc w:val="both"/>
        <w:ind w:firstLine="473"/>
        <w:spacing w:after="0" w:line="301" w:lineRule="auto"/>
        <w:rPr>
          <w:sz w:val="20"/>
          <w:szCs w:val="20"/>
          <w:color w:val="auto"/>
        </w:rPr>
      </w:pPr>
      <w:r>
        <w:rPr>
          <w:rFonts w:ascii="Arial" w:cs="Arial" w:eastAsia="Arial" w:hAnsi="Arial"/>
          <w:sz w:val="16"/>
          <w:szCs w:val="16"/>
          <w:b w:val="1"/>
          <w:bCs w:val="1"/>
          <w:color w:val="auto"/>
        </w:rPr>
        <w:t>Impaired loans—</w:t>
      </w:r>
      <w:r>
        <w:rPr>
          <w:rFonts w:ascii="Arial" w:cs="Arial" w:eastAsia="Arial" w:hAnsi="Arial"/>
          <w:sz w:val="16"/>
          <w:szCs w:val="16"/>
          <w:color w:val="auto"/>
        </w:rPr>
        <w:t>The Company's loans identified as being impaired are collateral dependent loans and are evaluated for impairment by comparing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fair value of the underlying collateral, less costs to sell, to the carrying value of each loan. Due to the nature of the individual properties collateralizing the Company's loans, the Company generally uses the income approach through internally developed valuation models to estimate the fair value of the collateral. This approach requires the Company to make significant judgments in respect to discount rates, capitalization rates and the timing and amounts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cash flows that are all considered Level 3 inputs. These cash flows include costs of completion, operating costs, and lot and unit sale prices.</w:t>
      </w:r>
    </w:p>
    <w:p>
      <w:pPr>
        <w:spacing w:after="0" w:line="24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Impaired OREO—</w:t>
      </w:r>
      <w:r>
        <w:rPr>
          <w:rFonts w:ascii="Arial" w:cs="Arial" w:eastAsia="Arial" w:hAnsi="Arial"/>
          <w:sz w:val="16"/>
          <w:szCs w:val="16"/>
          <w:color w:val="auto"/>
        </w:rPr>
        <w:t>The Company periodically evaluates its OREO assets to determine if events or changes in circumstances have occurred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reporting period that may have a significant adverse effect on their fair value. Due to the nature of the individual properties in the OREO portfolio, the Company uses the income approach through internally developed valuation models to estimate the fair value of the assets. This approach requires the Company to make significant judgments with respect to discount rates, capitalization rates and the timing and amounts of estimated future cash flows that are all considered Level 3 inputs. These cash flows include costs of completion, operating costs, and lot and unit sale prices.</w:t>
      </w:r>
    </w:p>
    <w:p>
      <w:pPr>
        <w:spacing w:after="0" w:line="162"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8"/>
          <w:szCs w:val="18"/>
          <w:b w:val="1"/>
          <w:bCs w:val="1"/>
          <w:color w:val="auto"/>
        </w:rPr>
        <w:t>Impaired assets held for sale—</w:t>
      </w:r>
      <w:r>
        <w:rPr>
          <w:rFonts w:ascii="Arial" w:cs="Arial" w:eastAsia="Arial" w:hAnsi="Arial"/>
          <w:sz w:val="18"/>
          <w:szCs w:val="18"/>
          <w:color w:val="auto"/>
        </w:rPr>
        <w:t>The estimated fair value of impaired assets held for sale is determined using observable market information, typically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bids from prospective purchasers.</w:t>
      </w:r>
    </w:p>
    <w:p>
      <w:pPr>
        <w:spacing w:after="0" w:line="17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b w:val="1"/>
          <w:bCs w:val="1"/>
          <w:color w:val="auto"/>
        </w:rPr>
        <w:t>Impaired CTL assets—</w:t>
      </w:r>
      <w:r>
        <w:rPr>
          <w:rFonts w:ascii="Arial" w:cs="Arial" w:eastAsia="Arial" w:hAnsi="Arial"/>
          <w:sz w:val="16"/>
          <w:szCs w:val="16"/>
          <w:color w:val="auto"/>
        </w:rPr>
        <w:t>If the Company determines a CTL asset is impaired it records an impairment charge to mark the asset to its estimated fair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(see Note 3). Any such assets that have been impaired based on their estimated fair value as of the Company's reporting date are considered to be reported at fair value on a non-recurring basis and are included in the first table above. Due to the nature of the individual properties in the CTL portfolio, the Company uses the income approach through internally developed valuation models to estimate the fair value of the assets. This approach requires the Company to make significant judgments with respect to discount rates, capitalization rates and the timing and amounts of estimated future cash flows that are all considered Level 3 inputs. These cash flows are primarily based on expected future leasing rates and operating costs.</w:t>
      </w:r>
    </w:p>
    <w:p>
      <w:pPr>
        <w:spacing w:after="0" w:line="165" w:lineRule="exact"/>
        <w:rPr>
          <w:sz w:val="20"/>
          <w:szCs w:val="20"/>
          <w:color w:val="auto"/>
        </w:rPr>
      </w:pPr>
    </w:p>
    <w:p>
      <w:pPr>
        <w:jc w:val="both"/>
        <w:ind w:firstLine="486"/>
        <w:spacing w:after="0" w:line="310" w:lineRule="auto"/>
        <w:rPr>
          <w:sz w:val="20"/>
          <w:szCs w:val="20"/>
          <w:color w:val="auto"/>
        </w:rPr>
      </w:pPr>
      <w:r>
        <w:rPr>
          <w:rFonts w:ascii="Arial" w:cs="Arial" w:eastAsia="Arial" w:hAnsi="Arial"/>
          <w:sz w:val="16"/>
          <w:szCs w:val="16"/>
          <w:b w:val="1"/>
          <w:bCs w:val="1"/>
          <w:color w:val="auto"/>
        </w:rPr>
        <w:t>Cost method investments—</w:t>
      </w:r>
      <w:r>
        <w:rPr>
          <w:rFonts w:ascii="Arial" w:cs="Arial" w:eastAsia="Arial" w:hAnsi="Arial"/>
          <w:sz w:val="16"/>
          <w:szCs w:val="16"/>
          <w:color w:val="auto"/>
        </w:rPr>
        <w:t>The Company periodically evaluates its cost method investments to determine if events or changes in circumstances have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occurred in that period that may have a significant adverse effect on the fair value of an investment. Many of the Company's cost method investments are in managed funds and the Company estimates the fair value of these investments using its ratable share of the net asset value of the impaired funds.</w:t>
      </w:r>
    </w:p>
    <w:p>
      <w:pPr>
        <w:spacing w:after="0" w:line="151"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b w:val="1"/>
          <w:bCs w:val="1"/>
          <w:color w:val="auto"/>
        </w:rPr>
        <w:t>Short-term financial instruments—</w:t>
      </w:r>
      <w:r>
        <w:rPr>
          <w:rFonts w:ascii="Arial" w:cs="Arial" w:eastAsia="Arial" w:hAnsi="Arial"/>
          <w:sz w:val="18"/>
          <w:szCs w:val="18"/>
          <w:color w:val="auto"/>
        </w:rPr>
        <w:t>The carrying values of short-term financial instruments including cash and cash equivalents and short-term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 the fair values of these instruments. These financial instruments generally expose the Company to limited credit risk and have no stated maturities, or have an average maturity of less than 90 days and carry interest rates which approximate market.</w:t>
      </w:r>
    </w:p>
    <w:p>
      <w:pPr>
        <w:spacing w:after="0" w:line="186" w:lineRule="exact"/>
        <w:rPr>
          <w:sz w:val="20"/>
          <w:szCs w:val="20"/>
          <w:color w:val="auto"/>
        </w:rPr>
      </w:pPr>
    </w:p>
    <w:p>
      <w:pPr>
        <w:jc w:val="both"/>
        <w:ind w:firstLine="446"/>
        <w:spacing w:after="0" w:line="258" w:lineRule="auto"/>
        <w:rPr>
          <w:sz w:val="20"/>
          <w:szCs w:val="20"/>
          <w:color w:val="auto"/>
        </w:rPr>
      </w:pPr>
      <w:r>
        <w:rPr>
          <w:rFonts w:ascii="Arial" w:cs="Arial" w:eastAsia="Arial" w:hAnsi="Arial"/>
          <w:sz w:val="18"/>
          <w:szCs w:val="18"/>
          <w:b w:val="1"/>
          <w:bCs w:val="1"/>
          <w:color w:val="auto"/>
        </w:rPr>
        <w:t>Loans and other lending investments—</w:t>
      </w:r>
      <w:r>
        <w:rPr>
          <w:rFonts w:ascii="Arial" w:cs="Arial" w:eastAsia="Arial" w:hAnsi="Arial"/>
          <w:sz w:val="18"/>
          <w:szCs w:val="18"/>
          <w:color w:val="auto"/>
        </w:rPr>
        <w:t>For the Company's interest in performing loans and other lending investments, the fair values were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using a discounted cash flow methodology. This method discounts future estimated cash flows using rates management determined best reflect current market interest rates that would be offered for loans with similar characteristics and credit quality. The valuation of non-performing loans is discussed in impaired loans above.</w:t>
      </w:r>
    </w:p>
    <w:p>
      <w:pPr>
        <w:spacing w:after="0" w:line="190" w:lineRule="exact"/>
        <w:rPr>
          <w:sz w:val="20"/>
          <w:szCs w:val="20"/>
          <w:color w:val="auto"/>
        </w:rPr>
      </w:pPr>
    </w:p>
    <w:p>
      <w:pPr>
        <w:jc w:val="both"/>
        <w:ind w:firstLine="351"/>
        <w:spacing w:after="0" w:line="258" w:lineRule="auto"/>
        <w:rPr>
          <w:sz w:val="20"/>
          <w:szCs w:val="20"/>
          <w:color w:val="auto"/>
        </w:rPr>
      </w:pPr>
      <w:r>
        <w:rPr>
          <w:rFonts w:ascii="Arial" w:cs="Arial" w:eastAsia="Arial" w:hAnsi="Arial"/>
          <w:sz w:val="18"/>
          <w:szCs w:val="18"/>
          <w:b w:val="1"/>
          <w:bCs w:val="1"/>
          <w:color w:val="auto"/>
        </w:rPr>
        <w:t>Debt obligations, net—</w:t>
      </w:r>
      <w:r>
        <w:rPr>
          <w:rFonts w:ascii="Arial" w:cs="Arial" w:eastAsia="Arial" w:hAnsi="Arial"/>
          <w:sz w:val="18"/>
          <w:szCs w:val="18"/>
          <w:color w:val="auto"/>
        </w:rPr>
        <w:t>For debt obligations traded in secondary markets, the Company uses market quotes, to the extent they are available to determine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For debt obligations not traded in secondary markets, the Company determines fair value using the discounted cash flow methodology, whereby contractual cash flows are discounted at rates that the Company determined best reflect current market interest rates that would be charged for debt with similar characteristics and credit quality.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w:t>
      </w:r>
    </w:p>
    <w:p>
      <w:pPr>
        <w:spacing w:after="0" w:line="231" w:lineRule="exact"/>
        <w:rPr>
          <w:sz w:val="20"/>
          <w:szCs w:val="20"/>
          <w:color w:val="auto"/>
        </w:rPr>
      </w:pPr>
    </w:p>
    <w:p>
      <w:pPr>
        <w:jc w:val="both"/>
        <w:ind w:firstLine="421"/>
        <w:spacing w:after="0" w:line="255" w:lineRule="auto"/>
        <w:rPr>
          <w:sz w:val="20"/>
          <w:szCs w:val="20"/>
          <w:color w:val="auto"/>
        </w:rPr>
      </w:pPr>
      <w:r>
        <w:rPr>
          <w:rFonts w:ascii="Arial" w:cs="Arial" w:eastAsia="Arial" w:hAnsi="Arial"/>
          <w:sz w:val="18"/>
          <w:szCs w:val="18"/>
          <w:color w:val="auto"/>
        </w:rPr>
        <w:t>The Company has determined that it has two reportable operating segments: Real Estate Lending and Corporate Tenant Leasing. The reportable segments were determined based on the management approach, which looks to the Company's internal organizational structure. These two lines of business require different support infrastructures. The Real Estate Lending segment includes all of the Company's activities related to senior and mezzanine real estate debt and corporate capital investments, OREO and REHI. The Corporate Tenant Leasing segment includes all of the Company's activities related to the ownership and leasing of corporate facilities.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evaluates performance based on the following financial measures for each segment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Real Estate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Corporate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Corporate/</w:t>
            </w:r>
          </w:p>
        </w:tc>
        <w:tc>
          <w:tcPr>
            <w:tcW w:w="14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Company</w:t>
            </w: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Lending(1)</w:t>
            </w:r>
          </w:p>
        </w:tc>
        <w:tc>
          <w:tcPr>
            <w:tcW w:w="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7"/>
              </w:rPr>
              <w:t>Tenant Leasing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Other(2)</w:t>
            </w:r>
          </w:p>
        </w:tc>
        <w:tc>
          <w:tcPr>
            <w:tcW w:w="14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revenues(3)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569,670</w:t>
            </w: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306,364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17,250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893,284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equity method investments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operating and interest expense(4)</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1,392,234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232,124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592,175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2,216,533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(loss)(5)</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(822,564)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(572,127)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(1,317,951)</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long-lived assets(6)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8,923,367</w:t>
            </w: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2,903,178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11,826,545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assets(7)(8)</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8,999,558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3,149,783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12,810,575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1,024,906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312,365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1,354,254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Earnings from equity method investments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and interest expense(4)</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2,329,779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operating income (loss)(5)</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(274,926)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127,758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(821,822)</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(968,990)</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long-lived assets(6)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10,829,149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3,044,811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13,873,960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assets(7)(8)</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11,037,624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3,330,907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928,217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15,296,748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revenues(3)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1,088,323</w:t>
            </w: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307,470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8,666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1,404,459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equity method investments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operating and interest expense(4)</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123,539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777,561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1,235,510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(loss)(5)</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(746,616)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long-lived assets(6)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11,077,912</w:t>
            </w: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3,384,201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128,720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14,590,833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assets(7)(8)</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11,282,123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3,703,339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15,848,298</w:t>
            </w:r>
          </w:p>
        </w:tc>
        <w:tc>
          <w:tcPr>
            <w:tcW w:w="160" w:type="dxa"/>
            <w:vAlign w:val="bottom"/>
            <w:shd w:val="clear" w:color="auto" w:fill="CCEEFF"/>
          </w:tcPr>
          <w:p>
            <w:pPr>
              <w:spacing w:after="0"/>
              <w:rPr>
                <w:sz w:val="18"/>
                <w:szCs w:val="18"/>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tabs>
          <w:tab w:leader="none" w:pos="1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Real Estate Lending includes the Company's OREO and REHI assets and related operating revenue and expenses.</w:t>
      </w:r>
    </w:p>
    <w:p>
      <w:pPr>
        <w:spacing w:after="0" w:line="122"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Corporate/Other represents all corporate level items, including general and administrative expenses and any intercompany eliminations necessary to reconcile to the consolidated Company totals. This caption also includes the Company's timber operations, non-CTL related joint venture investments, strategic investments and marketable securities, which are not considered material separate segments.</w:t>
      </w:r>
    </w:p>
    <w:p>
      <w:pPr>
        <w:spacing w:after="0" w:line="111"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Total revenue represents all revenue earned during the period from the assets in each segment. Revenue from the Real Estate Lending segment primarily represents interest income and revenue from the Corporate Tenant Leasing segment primarily represents operating lease income.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 (Continued)</w:t>
      </w:r>
    </w:p>
    <w:p>
      <w:pPr>
        <w:spacing w:after="0" w:line="215" w:lineRule="exact"/>
        <w:rPr>
          <w:sz w:val="20"/>
          <w:szCs w:val="20"/>
          <w:color w:val="auto"/>
        </w:rPr>
      </w:pPr>
    </w:p>
    <w:p>
      <w:pPr>
        <w:jc w:val="both"/>
        <w:ind w:left="1680" w:hanging="531"/>
        <w:spacing w:after="0" w:line="278" w:lineRule="auto"/>
        <w:tabs>
          <w:tab w:leader="none" w:pos="16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Total operating and interest expense primarily includes provision for loan losses for the Real Estate Lending business and operating costs on CTL assets for the Corporate Tenant Leasing business, as well as interest expense specifically related to each segment. Interest expense on secured and unsecured notes, the interim financing facility, unsecured and secured revolving credit facilities and general and administrative expense are included in Corporate/Other for all periods. Depreciation and amortization of $97.9 million, $94.7 million and $83.7 million for the years ended December 31, 2009, 2008 and 2007 respectively, are included in the amounts presented above.</w:t>
      </w:r>
    </w:p>
    <w:p>
      <w:pPr>
        <w:spacing w:after="0" w:line="89" w:lineRule="exact"/>
        <w:rPr>
          <w:rFonts w:ascii="Arial" w:cs="Arial" w:eastAsia="Arial" w:hAnsi="Arial"/>
          <w:sz w:val="12"/>
          <w:szCs w:val="12"/>
          <w:color w:val="auto"/>
        </w:rPr>
      </w:pPr>
    </w:p>
    <w:p>
      <w:pPr>
        <w:ind w:left="1680" w:hanging="531"/>
        <w:spacing w:after="0" w:line="239" w:lineRule="auto"/>
        <w:tabs>
          <w:tab w:leader="none" w:pos="1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Net operating income (loss) represents income attributable to iStar Financial Inc. before gain on early extinguishment of debt, gain on sale of joint venture interest, income (loss) from discontinued operations and gain from discontinued operations.</w:t>
      </w:r>
    </w:p>
    <w:p>
      <w:pPr>
        <w:spacing w:after="0" w:line="111" w:lineRule="exact"/>
        <w:rPr>
          <w:rFonts w:ascii="Arial" w:cs="Arial" w:eastAsia="Arial" w:hAnsi="Arial"/>
          <w:sz w:val="14"/>
          <w:szCs w:val="14"/>
          <w:color w:val="auto"/>
        </w:rPr>
      </w:pPr>
    </w:p>
    <w:p>
      <w:pPr>
        <w:ind w:left="1680" w:hanging="531"/>
        <w:spacing w:after="0" w:line="318" w:lineRule="auto"/>
        <w:tabs>
          <w:tab w:leader="none" w:pos="16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Total long-lived assets are comprised of Loans and other lending investments, net, REHI and OREO for the Real Estate Lending segment, and Corporate tenant lease assets, net and Assets held for sale are included for the Corporate Tenant Leasing segment and timber and timberlands are included in Corporate/other.</w:t>
      </w:r>
    </w:p>
    <w:p>
      <w:pPr>
        <w:spacing w:after="0" w:line="66" w:lineRule="exact"/>
        <w:rPr>
          <w:rFonts w:ascii="Arial" w:cs="Arial" w:eastAsia="Arial" w:hAnsi="Arial"/>
          <w:sz w:val="12"/>
          <w:szCs w:val="12"/>
          <w:color w:val="auto"/>
        </w:rPr>
      </w:pPr>
    </w:p>
    <w:p>
      <w:pPr>
        <w:jc w:val="both"/>
        <w:ind w:left="1680" w:hanging="531"/>
        <w:spacing w:after="0" w:line="233" w:lineRule="auto"/>
        <w:tabs>
          <w:tab w:leader="none" w:pos="1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Intangible assets included in Real Estate Lending at December 31, 2007 were $17.4 million. Intangible assets included in Corporate Tenant Leasing at December 31, 2009, 2008 and 2007 were $48.8 million, $58.5 million and $69.9 million, respectively. Intangible assets included in Corporate/Other at December 31, 2009, 2008 and 2007 were $1.1 million, $2.7 million and $11.3 million, respectively.</w:t>
      </w:r>
    </w:p>
    <w:p>
      <w:pPr>
        <w:spacing w:after="0" w:line="111"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Goodwill included in Real Estate Lending at December 31, 2007 was $39.1 million. Goodwill included in Corporate Tenant Leasing at December 31, 2008 and 2007 was $4.2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Information (Unaudited)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selected quarterly financial data for the Company (in thousands,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w w:val="92"/>
              </w:rPr>
              <w:t>For the Quarters Ended</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2"/>
                <w:szCs w:val="12"/>
                <w:color w:val="auto"/>
              </w:rPr>
            </w:pPr>
          </w:p>
        </w:tc>
        <w:tc>
          <w:tcPr>
            <w:tcW w:w="112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3"/>
              </w:rPr>
              <w:t>September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7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March 31,</w:t>
            </w:r>
          </w:p>
        </w:tc>
        <w:tc>
          <w:tcPr>
            <w:tcW w:w="1300" w:type="dxa"/>
            <w:vAlign w:val="bottom"/>
            <w:gridSpan w:val="2"/>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2009(1):</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199,834</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210,088</w:t>
            </w:r>
          </w:p>
        </w:tc>
        <w:tc>
          <w:tcPr>
            <w:tcW w:w="1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224,282</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259,080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(153,359)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(247,442)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(281,973)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(87,072)</w:t>
            </w:r>
          </w:p>
        </w:tc>
        <w:tc>
          <w:tcPr>
            <w:tcW w:w="1140" w:type="dxa"/>
            <w:vAlign w:val="bottom"/>
          </w:tcPr>
          <w:p>
            <w:pPr>
              <w:spacing w:after="0"/>
              <w:rPr>
                <w:sz w:val="18"/>
                <w:szCs w:val="18"/>
                <w:color w:val="auto"/>
              </w:rPr>
            </w:pPr>
          </w:p>
        </w:tc>
      </w:tr>
      <w:tr>
        <w:trPr>
          <w:trHeight w:val="424"/>
        </w:trPr>
        <w:tc>
          <w:tcPr>
            <w:tcW w:w="5940" w:type="dxa"/>
            <w:vAlign w:val="bottom"/>
            <w:gridSpan w:val="2"/>
          </w:tcPr>
          <w:p>
            <w:pPr>
              <w:ind w:left="1140"/>
              <w:spacing w:after="0"/>
              <w:rPr>
                <w:sz w:val="20"/>
                <w:szCs w:val="20"/>
                <w:color w:val="auto"/>
              </w:rPr>
            </w:pPr>
            <w:r>
              <w:rPr>
                <w:rFonts w:ascii="Arial" w:cs="Arial" w:eastAsia="Arial" w:hAnsi="Arial"/>
                <w:sz w:val="18"/>
                <w:szCs w:val="18"/>
                <w:color w:val="auto"/>
              </w:rPr>
              <w:t>Net loss attributable to iStar Financial Inc. and allocable to</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common shareholders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(159,177)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(251,308)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(284,197)</w:t>
            </w:r>
          </w:p>
        </w:tc>
        <w:tc>
          <w:tcPr>
            <w:tcW w:w="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(93,886)</w:t>
            </w: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4"/>
              </w:rPr>
              <w:t>Net loss attributable to iStar Financial Inc. per common share—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3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9"/>
              </w:rPr>
              <w:t>Weighted average common shares outstanding—basic and diluted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96,354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98,674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99,769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105,606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24"/>
        </w:trPr>
        <w:tc>
          <w:tcPr>
            <w:tcW w:w="1160" w:type="dxa"/>
            <w:vAlign w:val="bottom"/>
          </w:tcPr>
          <w:p>
            <w:pPr>
              <w:spacing w:after="0"/>
              <w:rPr>
                <w:sz w:val="24"/>
                <w:szCs w:val="2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4"/>
              </w:rPr>
              <w:t>Net loss attributable to iStar Financial Inc. and allocable to HPU</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(8,085)</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w:t>
            </w:r>
          </w:p>
        </w:tc>
        <w:tc>
          <w:tcPr>
            <w:tcW w:w="114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2"/>
              </w:rPr>
              <w:t>Net loss attributable to iStar Financial Inc. per HPU share—basic</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3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(312.60)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(481.93)</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(539.00)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(168.20)</w:t>
            </w:r>
          </w:p>
        </w:tc>
        <w:tc>
          <w:tcPr>
            <w:tcW w:w="1140" w:type="dxa"/>
            <w:vAlign w:val="bottom"/>
          </w:tcPr>
          <w:p>
            <w:pPr>
              <w:spacing w:after="0"/>
              <w:rPr>
                <w:sz w:val="19"/>
                <w:szCs w:val="19"/>
                <w:color w:val="auto"/>
              </w:rPr>
            </w:pPr>
          </w:p>
        </w:tc>
      </w:tr>
      <w:tr>
        <w:trPr>
          <w:trHeight w:val="433"/>
        </w:trPr>
        <w:tc>
          <w:tcPr>
            <w:tcW w:w="1160" w:type="dxa"/>
            <w:vAlign w:val="bottom"/>
          </w:tcPr>
          <w:p>
            <w:pPr>
              <w:spacing w:after="0"/>
              <w:rPr>
                <w:sz w:val="24"/>
                <w:szCs w:val="2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HPU shares outstanding—basic and diluted</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430"/>
        </w:trPr>
        <w:tc>
          <w:tcPr>
            <w:tcW w:w="5940" w:type="dxa"/>
            <w:vAlign w:val="bottom"/>
            <w:gridSpan w:val="2"/>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Information (Unaudited)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w w:val="92"/>
              </w:rPr>
              <w:t>For the Quarters Ended</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2"/>
                <w:szCs w:val="12"/>
                <w:color w:val="auto"/>
              </w:rPr>
            </w:pPr>
          </w:p>
        </w:tc>
        <w:tc>
          <w:tcPr>
            <w:tcW w:w="112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3"/>
              </w:rPr>
              <w:t>September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7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2008(2):</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287,443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337,202</w:t>
            </w:r>
          </w:p>
        </w:tc>
        <w:tc>
          <w:tcPr>
            <w:tcW w:w="1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318,894</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410,716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(303,883)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85,029</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1"/>
              </w:rPr>
              <w:t>Net income (loss) attributable to iStar Financial Inc. and allocable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to common shareholders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(23,993)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(308,655)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71,609</w:t>
            </w:r>
          </w:p>
        </w:tc>
        <w:tc>
          <w:tcPr>
            <w:tcW w:w="160" w:type="dxa"/>
            <w:vAlign w:val="bottom"/>
          </w:tcPr>
          <w:p>
            <w:pPr>
              <w:spacing w:after="0"/>
              <w:rPr>
                <w:sz w:val="19"/>
                <w:szCs w:val="19"/>
                <w:color w:val="auto"/>
              </w:rPr>
            </w:pPr>
          </w:p>
        </w:tc>
      </w:tr>
      <w:tr>
        <w:trPr>
          <w:trHeight w:val="425"/>
        </w:trPr>
        <w:tc>
          <w:tcPr>
            <w:tcW w:w="20" w:type="dxa"/>
            <w:vAlign w:val="bottom"/>
          </w:tcPr>
          <w:p>
            <w:pPr>
              <w:spacing w:after="0"/>
              <w:rPr>
                <w:sz w:val="24"/>
                <w:szCs w:val="2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 (loss) attributable to iStar Financial Inc. per common</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share—basic and diluted</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122,809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133,199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134,399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134,262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134,843</w:t>
            </w:r>
          </w:p>
        </w:tc>
        <w:tc>
          <w:tcPr>
            <w:tcW w:w="160" w:type="dxa"/>
            <w:vAlign w:val="bottom"/>
            <w:shd w:val="clear" w:color="auto" w:fill="CCEEFF"/>
          </w:tcPr>
          <w:p>
            <w:pPr>
              <w:spacing w:after="0"/>
              <w:rPr>
                <w:sz w:val="18"/>
                <w:szCs w:val="18"/>
                <w:color w:val="auto"/>
              </w:rPr>
            </w:pPr>
          </w:p>
        </w:tc>
      </w:tr>
      <w:tr>
        <w:trPr>
          <w:trHeight w:val="424"/>
        </w:trPr>
        <w:tc>
          <w:tcPr>
            <w:tcW w:w="4780" w:type="dxa"/>
            <w:vAlign w:val="bottom"/>
            <w:gridSpan w:val="2"/>
          </w:tcPr>
          <w:p>
            <w:pPr>
              <w:spacing w:after="0"/>
              <w:rPr>
                <w:sz w:val="20"/>
                <w:szCs w:val="20"/>
                <w:color w:val="auto"/>
              </w:rPr>
            </w:pPr>
            <w:r>
              <w:rPr>
                <w:rFonts w:ascii="Arial" w:cs="Arial" w:eastAsia="Arial" w:hAnsi="Arial"/>
                <w:sz w:val="18"/>
                <w:szCs w:val="18"/>
                <w:color w:val="auto"/>
                <w:w w:val="94"/>
              </w:rPr>
              <w:t>Net income (loss) attributable to iStar Financial Inc. allocable to</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HPU holders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6,577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(1,514)</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 (loss) attributable to iStar Financial Inc. per HPU</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share—basic</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(438.47)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100.94</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1"/>
              </w:rPr>
              <w:t>Net income (loss) attributable to iStar Financial Inc. and per HPU</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share—diluted</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(438.47)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26.07</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100.47</w:t>
            </w:r>
          </w:p>
        </w:tc>
        <w:tc>
          <w:tcPr>
            <w:tcW w:w="16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HPU shares outstanding—basic and diluted</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4"/>
                <w:szCs w:val="24"/>
                <w:color w:val="auto"/>
              </w:rPr>
            </w:pPr>
          </w:p>
        </w:tc>
      </w:tr>
      <w:tr>
        <w:trPr>
          <w:trHeight w:val="378"/>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Explanatory Notes: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128905</wp:posOffset>
            </wp:positionV>
            <wp:extent cx="17068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388" w:lineRule="exact"/>
        <w:rPr>
          <w:sz w:val="20"/>
          <w:szCs w:val="20"/>
          <w:color w:val="auto"/>
        </w:rPr>
      </w:pPr>
    </w:p>
    <w:p>
      <w:pPr>
        <w:ind w:left="1680" w:hanging="531"/>
        <w:spacing w:after="0" w:line="239" w:lineRule="auto"/>
        <w:tabs>
          <w:tab w:leader="none" w:pos="16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During the quarter ended December 31, 2009, the Company recorded Provision for loan losses of $216.4 million, Impairment of other assets of $61.8 million and Gain on early extinguishment of debt of $100.4 million.</w:t>
      </w:r>
    </w:p>
    <w:p>
      <w:pPr>
        <w:spacing w:after="0" w:line="111"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During the quarter ended June 30, the Company recorded gains of $285.1 million on the sales of TimberStar Southwest and Maine timber properties. During the quarter ended December 31, 2008, the Company recorded Provision for loan losses of $252.0 million, Impairment of other assets of $150.0 million and Gain on early extinguishment of debt of $323.2 million.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Charged to</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7"/>
              </w:rPr>
              <w:t>Beginning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2"/>
              </w:rPr>
              <w:t>Costs 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0"/>
              </w:rPr>
              <w:t>End</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416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6"/>
              <w:spacing w:after="0"/>
              <w:rPr>
                <w:sz w:val="20"/>
                <w:szCs w:val="20"/>
                <w:color w:val="auto"/>
              </w:rPr>
            </w:pPr>
            <w:r>
              <w:rPr>
                <w:rFonts w:ascii="Arial" w:cs="Arial" w:eastAsia="Arial" w:hAnsi="Arial"/>
                <w:sz w:val="14"/>
                <w:szCs w:val="14"/>
                <w:b w:val="1"/>
                <w:bCs w:val="1"/>
                <w:color w:val="auto"/>
                <w:w w:val="85"/>
              </w:rPr>
              <w:t>of Period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82"/>
              </w:rPr>
              <w:t>Expenses</w:t>
            </w:r>
          </w:p>
        </w:tc>
        <w:tc>
          <w:tcPr>
            <w:tcW w:w="16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Charges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Deductions</w:t>
            </w:r>
          </w:p>
        </w:tc>
        <w:tc>
          <w:tcPr>
            <w:tcW w:w="120" w:type="dxa"/>
            <w:vAlign w:val="bottom"/>
          </w:tcPr>
          <w:p>
            <w:pPr>
              <w:spacing w:after="0"/>
              <w:rPr>
                <w:sz w:val="14"/>
                <w:szCs w:val="14"/>
                <w:color w:val="auto"/>
              </w:rPr>
            </w:pPr>
          </w:p>
        </w:tc>
        <w:tc>
          <w:tcPr>
            <w:tcW w:w="206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5"/>
              </w:rPr>
              <w:t>of Period</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ind w:left="120"/>
              <w:spacing w:after="0"/>
              <w:rPr>
                <w:sz w:val="20"/>
                <w:szCs w:val="20"/>
                <w:color w:val="auto"/>
              </w:rPr>
            </w:pPr>
            <w:r>
              <w:rPr>
                <w:rFonts w:ascii="Arial" w:cs="Arial" w:eastAsia="Arial" w:hAnsi="Arial"/>
                <w:sz w:val="18"/>
                <w:szCs w:val="18"/>
                <w:color w:val="auto"/>
              </w:rPr>
              <w:t>Reserve for loan losses(1)(2)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52,201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(19,291)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217,910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Allowance for doubtful accounts(2)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53,911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185,697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220,317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ind w:left="120"/>
              <w:spacing w:after="0"/>
              <w:rPr>
                <w:sz w:val="20"/>
                <w:szCs w:val="20"/>
                <w:color w:val="auto"/>
              </w:rPr>
            </w:pPr>
            <w:r>
              <w:rPr>
                <w:rFonts w:ascii="Arial" w:cs="Arial" w:eastAsia="Arial" w:hAnsi="Arial"/>
                <w:sz w:val="18"/>
                <w:szCs w:val="18"/>
                <w:color w:val="auto"/>
              </w:rPr>
              <w:t>Reserve for loan losses(1)(2)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217,910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1,029,322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(270,444)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976,788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Allowance for doubtful accounts(2)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220,317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1,032,250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(270,444)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982,123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ind w:left="120"/>
              <w:spacing w:after="0"/>
              <w:rPr>
                <w:sz w:val="20"/>
                <w:szCs w:val="20"/>
                <w:color w:val="auto"/>
              </w:rPr>
            </w:pPr>
            <w:r>
              <w:rPr>
                <w:rFonts w:ascii="Arial" w:cs="Arial" w:eastAsia="Arial" w:hAnsi="Arial"/>
                <w:sz w:val="18"/>
                <w:szCs w:val="18"/>
                <w:color w:val="auto"/>
              </w:rPr>
              <w:t>Reserve for loan losses(1)(2)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976,788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1,255,357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(814,196)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1,417,949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Allowance for doubtful accounts(2)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982,123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1,256,954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(817,980)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1,420,737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1140" w:type="dxa"/>
            <w:vAlign w:val="bottom"/>
          </w:tcPr>
          <w:p>
            <w:pPr>
              <w:spacing w:after="0"/>
              <w:rPr>
                <w:sz w:val="24"/>
                <w:szCs w:val="24"/>
                <w:color w:val="auto"/>
              </w:rPr>
            </w:pPr>
          </w:p>
        </w:tc>
        <w:tc>
          <w:tcPr>
            <w:tcW w:w="4160" w:type="dxa"/>
            <w:vAlign w:val="bottom"/>
            <w:gridSpan w:val="5"/>
          </w:tcPr>
          <w:p>
            <w:pPr>
              <w:spacing w:after="0"/>
              <w:rPr>
                <w:sz w:val="20"/>
                <w:szCs w:val="20"/>
                <w:color w:val="auto"/>
              </w:rPr>
            </w:pPr>
            <w:r>
              <w:rPr>
                <w:rFonts w:ascii="Arial" w:cs="Arial" w:eastAsia="Arial" w:hAnsi="Arial"/>
                <w:sz w:val="14"/>
                <w:szCs w:val="14"/>
                <w:b w:val="1"/>
                <w:bCs w:val="1"/>
                <w:color w:val="auto"/>
              </w:rPr>
              <w:t>Explanatory Notes: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17"/>
                <w:szCs w:val="17"/>
                <w:color w:val="auto"/>
              </w:rPr>
            </w:pPr>
          </w:p>
        </w:tc>
        <w:tc>
          <w:tcPr>
            <w:tcW w:w="2340" w:type="dxa"/>
            <w:vAlign w:val="bottom"/>
            <w:tcBorders>
              <w:bottom w:val="single" w:sz="8" w:color="auto"/>
            </w:tcBorders>
            <w:gridSpan w:val="2"/>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500" w:type="dxa"/>
            <w:vAlign w:val="bottom"/>
            <w:gridSpan w:val="3"/>
          </w:tcPr>
          <w:p>
            <w:pPr>
              <w:ind w:left="1140"/>
              <w:spacing w:after="0"/>
              <w:rPr>
                <w:sz w:val="20"/>
                <w:szCs w:val="20"/>
                <w:color w:val="auto"/>
              </w:rPr>
            </w:pPr>
            <w:r>
              <w:rPr>
                <w:rFonts w:ascii="Arial" w:cs="Arial" w:eastAsia="Arial" w:hAnsi="Arial"/>
                <w:sz w:val="14"/>
                <w:szCs w:val="14"/>
                <w:color w:val="auto"/>
              </w:rPr>
              <w:t>(1)</w:t>
            </w:r>
          </w:p>
        </w:tc>
        <w:tc>
          <w:tcPr>
            <w:tcW w:w="3800" w:type="dxa"/>
            <w:vAlign w:val="bottom"/>
            <w:gridSpan w:val="3"/>
          </w:tcPr>
          <w:p>
            <w:pPr>
              <w:ind w:left="180"/>
              <w:spacing w:after="0"/>
              <w:rPr>
                <w:sz w:val="20"/>
                <w:szCs w:val="20"/>
                <w:color w:val="auto"/>
              </w:rPr>
            </w:pPr>
            <w:r>
              <w:rPr>
                <w:rFonts w:ascii="Arial" w:cs="Arial" w:eastAsia="Arial" w:hAnsi="Arial"/>
                <w:sz w:val="14"/>
                <w:szCs w:val="14"/>
                <w:color w:val="auto"/>
                <w:w w:val="88"/>
              </w:rPr>
              <w:t>See Note 4 to the Company's Consolidated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00" w:type="dxa"/>
            <w:vAlign w:val="bottom"/>
            <w:gridSpan w:val="3"/>
          </w:tcPr>
          <w:p>
            <w:pPr>
              <w:ind w:left="1140"/>
              <w:spacing w:after="0"/>
              <w:rPr>
                <w:sz w:val="20"/>
                <w:szCs w:val="20"/>
                <w:color w:val="auto"/>
              </w:rPr>
            </w:pPr>
            <w:r>
              <w:rPr>
                <w:rFonts w:ascii="Arial" w:cs="Arial" w:eastAsia="Arial" w:hAnsi="Arial"/>
                <w:sz w:val="14"/>
                <w:szCs w:val="14"/>
                <w:color w:val="auto"/>
              </w:rPr>
              <w:t>(2)</w:t>
            </w:r>
          </w:p>
        </w:tc>
        <w:tc>
          <w:tcPr>
            <w:tcW w:w="3800" w:type="dxa"/>
            <w:vAlign w:val="bottom"/>
            <w:gridSpan w:val="3"/>
          </w:tcPr>
          <w:p>
            <w:pPr>
              <w:ind w:left="180"/>
              <w:spacing w:after="0"/>
              <w:rPr>
                <w:sz w:val="20"/>
                <w:szCs w:val="20"/>
                <w:color w:val="auto"/>
              </w:rPr>
            </w:pPr>
            <w:r>
              <w:rPr>
                <w:rFonts w:ascii="Arial" w:cs="Arial" w:eastAsia="Arial" w:hAnsi="Arial"/>
                <w:sz w:val="14"/>
                <w:szCs w:val="14"/>
                <w:color w:val="auto"/>
                <w:w w:val="88"/>
              </w:rPr>
              <w:t>See Note 3 to the Company's Consolidated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256"/>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As of December 31, 2009</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3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3"/>
              </w:rPr>
              <w:t>Cost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center"/>
              <w:ind w:right="52"/>
              <w:spacing w:after="0"/>
              <w:rPr>
                <w:sz w:val="20"/>
                <w:szCs w:val="20"/>
                <w:color w:val="auto"/>
              </w:rPr>
            </w:pPr>
            <w:r>
              <w:rPr>
                <w:rFonts w:ascii="Arial" w:cs="Arial" w:eastAsia="Arial" w:hAnsi="Arial"/>
                <w:sz w:val="14"/>
                <w:szCs w:val="14"/>
                <w:b w:val="1"/>
                <w:bCs w:val="1"/>
                <w:color w:val="auto"/>
                <w:w w:val="87"/>
              </w:rPr>
              <w:t>Gross Amount Carried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4"/>
          </w:tcPr>
          <w:p>
            <w:pPr>
              <w:jc w:val="right"/>
              <w:ind w:right="12"/>
              <w:spacing w:after="0" w:line="135" w:lineRule="exact"/>
              <w:rPr>
                <w:sz w:val="20"/>
                <w:szCs w:val="20"/>
                <w:color w:val="auto"/>
              </w:rPr>
            </w:pPr>
            <w:r>
              <w:rPr>
                <w:rFonts w:ascii="Arial" w:cs="Arial" w:eastAsia="Arial" w:hAnsi="Arial"/>
                <w:sz w:val="14"/>
                <w:szCs w:val="14"/>
                <w:b w:val="1"/>
                <w:bCs w:val="1"/>
                <w:color w:val="auto"/>
                <w:w w:val="86"/>
              </w:rPr>
              <w:t>Initial Cost to Company</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5"/>
          </w:tcPr>
          <w:p>
            <w:pPr>
              <w:jc w:val="center"/>
              <w:ind w:right="60"/>
              <w:spacing w:after="0" w:line="135" w:lineRule="exact"/>
              <w:rPr>
                <w:sz w:val="20"/>
                <w:szCs w:val="20"/>
                <w:color w:val="auto"/>
              </w:rPr>
            </w:pPr>
            <w:r>
              <w:rPr>
                <w:rFonts w:ascii="Arial" w:cs="Arial" w:eastAsia="Arial" w:hAnsi="Arial"/>
                <w:sz w:val="14"/>
                <w:szCs w:val="14"/>
                <w:b w:val="1"/>
                <w:bCs w:val="1"/>
                <w:color w:val="auto"/>
                <w:w w:val="85"/>
              </w:rPr>
              <w:t>at Close of Period</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Capitalized</w:t>
            </w: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Subsequent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Depreciable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1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to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7"/>
              </w:rPr>
              <w:t>Encumbrances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Land</w:t>
            </w:r>
          </w:p>
        </w:tc>
        <w:tc>
          <w:tcPr>
            <w:tcW w:w="6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7"/>
              </w:rPr>
              <w:t>Improvements</w:t>
            </w:r>
          </w:p>
        </w:tc>
        <w:tc>
          <w:tcPr>
            <w:tcW w:w="1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Acquisition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rPr>
              <w:t>Land</w:t>
            </w:r>
          </w:p>
        </w:tc>
        <w:tc>
          <w:tcPr>
            <w:tcW w:w="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Improvements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w w:val="87"/>
              </w:rPr>
              <w:t>Depreciation</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5"/>
              </w:rPr>
              <w:t>Acquired</w:t>
            </w:r>
          </w:p>
        </w:tc>
        <w:tc>
          <w:tcPr>
            <w:tcW w:w="8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OFFICE</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FACILITIES:</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Arizona</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1,512</w:t>
            </w:r>
          </w:p>
        </w:tc>
        <w:tc>
          <w:tcPr>
            <w:tcW w:w="2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9,732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524</w:t>
            </w:r>
          </w:p>
        </w:tc>
        <w:tc>
          <w:tcPr>
            <w:tcW w:w="40" w:type="dxa"/>
            <w:vAlign w:val="bottom"/>
          </w:tcPr>
          <w:p>
            <w:pPr>
              <w:spacing w:after="0"/>
              <w:rPr>
                <w:sz w:val="12"/>
                <w:szCs w:val="12"/>
                <w:color w:val="auto"/>
              </w:rPr>
            </w:pPr>
          </w:p>
        </w:tc>
        <w:tc>
          <w:tcPr>
            <w:tcW w:w="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1,512</w:t>
            </w:r>
          </w:p>
        </w:tc>
        <w:tc>
          <w:tcPr>
            <w:tcW w:w="2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10,256</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11,768</w:t>
            </w:r>
          </w:p>
        </w:tc>
        <w:tc>
          <w:tcPr>
            <w:tcW w:w="2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2,746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6,652</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Arizona</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1,033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6,652</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1,033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8,521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2,198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6,652</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Arizona</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701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4,339</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701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5,855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1,905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16,485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12,915</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3,454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16,369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3,282</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89,863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17,040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84,549</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17,040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84,549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101,589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16,664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26,215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31,974</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6,813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38,787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2,483</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4,917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7,400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5,064</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4,139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26,632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12,834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28,158</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2,043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12,834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30,201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43,035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7,927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12,532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12,720</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5,798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19,804</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27,428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4,563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24,911</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4,563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24,911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29,474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6,331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18,110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9,212</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11,810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Colorado</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1,757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16,930</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1,757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17,738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19,495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4,411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Colorado</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8,787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15,008</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2,967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20,084</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4,796</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Colorado</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31,271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8,536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27,428</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13,521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8,536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40,949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49,485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10,854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Colorado</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16,752</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Florida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30,973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7,125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23,648</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7,125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23,903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31,028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3,590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2003</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13,251</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8,450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21,701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Florida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1,920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18,435</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1,920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18,435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20,355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3,675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Georgia</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6,744</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7,966</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Georgia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41,429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5,709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49,091</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13,703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5,709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62,794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68,503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16,784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Illinois</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14,993</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(14,985)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6,153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Illinois</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8,907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1,400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12,597</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1,400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15,684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17,084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4,298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Maryland</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15,811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18,706</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1,800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20,543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Massachusetts</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16,236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21,947</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22,009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23,609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4,266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Massachusetts</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15,882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23,420</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3,562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28,492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Michigan</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5,374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114,956</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5,374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115,950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121,324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8,246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Jersey</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135,000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15,667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162,578</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15,667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163,812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179,479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25,518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New Jersey</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55,941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7,726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74,429</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7,724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74,441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82,165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13,142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Jersey</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27,574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31,758</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8,242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New Jersey</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12,580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13,763</w:t>
            </w: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14,690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2,015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Jersey</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23,131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28,955</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2,456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31,717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Ohio</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1,274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10,326</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1,274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10,391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11,665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2,138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Pennsylvania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15,025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26,098</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26,049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26,739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Tennessee</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2,702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25,129</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2,702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25,178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27,880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6,393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5,205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4,632</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1,918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Texas</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30,789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6,083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42,016</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1,765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6,083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43,781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49,864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10,710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10,628</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2,373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19,164</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Texas</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3,363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21,376</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3,363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23,629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26,992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5,433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15,160</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1,233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Texas</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2,932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31,235</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5,059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2,932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36,294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39,226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9,302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5,660</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1,230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Virginia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113,669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20,110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125,516</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20,110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125,611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145,721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23,964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17,872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22,362</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4,436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36,794</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Wisconsin</w:t>
            </w:r>
          </w:p>
        </w:tc>
        <w:tc>
          <w:tcPr>
            <w:tcW w:w="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13,914</w:t>
            </w:r>
          </w:p>
        </w:tc>
        <w:tc>
          <w:tcPr>
            <w:tcW w:w="1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13,927</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15,802</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3,548</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Subtotal</w:t>
            </w:r>
          </w:p>
        </w:tc>
        <w:tc>
          <w:tcPr>
            <w:tcW w:w="9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852,357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209,035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1,305,454</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62,236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4"/>
              </w:rPr>
              <w:t>210,042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1,366,683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1,576,725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275,508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As of December 31, 2009</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3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3"/>
              </w:rPr>
              <w:t>Cost</w:t>
            </w:r>
          </w:p>
        </w:tc>
        <w:tc>
          <w:tcPr>
            <w:tcW w:w="22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Gross Amount Carried</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w w:val="90"/>
              </w:rPr>
              <w:t>Initial Cost to Company</w:t>
            </w: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85"/>
              </w:rPr>
              <w:t>at Close of Period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Capitalized</w:t>
            </w: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Subsequent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75"/>
              </w:rPr>
              <w:t>to</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161"/>
        </w:trPr>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Encumbrances</w:t>
            </w: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Land</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Acquisition</w:t>
            </w: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Land</w:t>
            </w:r>
          </w:p>
        </w:tc>
        <w:tc>
          <w:tcPr>
            <w:tcW w:w="10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Improvements</w:t>
            </w: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7"/>
              </w:rPr>
              <w:t>Depreciation</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Acquired</w:t>
            </w: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9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INDUSTRIAL</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FACILITIES:</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Arizona</w:t>
            </w:r>
          </w:p>
        </w:tc>
        <w:tc>
          <w:tcPr>
            <w:tcW w:w="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2,519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7,481</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2,519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11,635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19,515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5,943</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11,635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37,093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3,014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11,765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16,768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654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4,591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654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5,542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1,842</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4,880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12,367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3,036</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4,880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20,283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3,355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8,378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15,578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4,095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8,323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1,586</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4,095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14,004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9,451</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12,116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6,253</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9,802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28,171</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3,727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5,051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6,170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5,051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11,580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5,034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4,119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3,044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3,716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1,196</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3,044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7,956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3,219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3,669</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(1,853)</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4,816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1,840</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12,067</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1,402</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5,617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6,877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5,501</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5,619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17,995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14,732</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23,288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5,895</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9,677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38,860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7,870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15,708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27,987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5,667</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15,708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49,362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10,242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5,411</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5,874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2,223</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8,306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629</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9,743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Colorado</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684</w:t>
            </w:r>
          </w:p>
        </w:tc>
        <w:tc>
          <w:tcPr>
            <w:tcW w:w="9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Colorado</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4,304</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3,677</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4,225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9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Florida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3,510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20,846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8,279</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3,510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32,635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2,310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Florida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8,676</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11,724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4,586</w:t>
            </w:r>
          </w:p>
        </w:tc>
        <w:tc>
          <w:tcPr>
            <w:tcW w:w="9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(1,408)</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Florida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1,476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4,198</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(4,497)</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1,177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Georgia</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24,637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2,791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27,777</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Georgia</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14,556</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14,318</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(796)</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15,422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Georgia</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18,700</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18,393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19,812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3,689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Illinois</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28,482</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28,015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561</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30,176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5,618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Illinois</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10,482</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15,363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15,882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2,402</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Indiana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462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9,224</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462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9,686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Indiana</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14,405</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22,240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1,268</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23,508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24,058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5,102</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Indiana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4,640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5,497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Kentucky</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18,018</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17,219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17,664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1,535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9,324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1,535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11,038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Massachusetts</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21,774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10,979</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7,439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40,192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Massachusetts</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15,259</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20,991</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21,825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Michigan</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9,814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Minnesota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1,147</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(344)</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1,206</w:t>
            </w:r>
          </w:p>
        </w:tc>
        <w:tc>
          <w:tcPr>
            <w:tcW w:w="8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1,206</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Minnesota</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17,690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6,225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24,395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2,231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North Carolina</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5,425</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680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6,627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Jersey</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15,376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21,141</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8,368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44,885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Nevada</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4,137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2,963</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4,137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7,100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Nevada</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color w:val="auto"/>
              </w:rPr>
              <w:t>Nevada</w:t>
            </w: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580" w:type="dxa"/>
            <w:vAlign w:val="bottom"/>
          </w:tcPr>
          <w:p>
            <w:pPr>
              <w:jc w:val="right"/>
              <w:spacing w:after="0"/>
              <w:rPr>
                <w:sz w:val="20"/>
                <w:szCs w:val="20"/>
                <w:color w:val="auto"/>
              </w:rPr>
            </w:pPr>
            <w:r>
              <w:rPr>
                <w:rFonts w:ascii="Arial" w:cs="Arial" w:eastAsia="Arial" w:hAnsi="Arial"/>
                <w:sz w:val="14"/>
                <w:szCs w:val="14"/>
                <w:color w:val="auto"/>
              </w:rPr>
              <w:t>1,796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5,108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1,796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6,908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1,300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As of December 31, 2009</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3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Cost</w:t>
            </w:r>
          </w:p>
        </w:tc>
        <w:tc>
          <w:tcPr>
            <w:tcW w:w="21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Gross Amount Carried</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w w:val="89"/>
              </w:rPr>
              <w:t>Initial Cost to Company</w:t>
            </w: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40" w:type="dxa"/>
            <w:vAlign w:val="bottom"/>
            <w:gridSpan w:val="5"/>
          </w:tcPr>
          <w:p>
            <w:pPr>
              <w:jc w:val="center"/>
              <w:ind w:left="412"/>
              <w:spacing w:after="0" w:line="135" w:lineRule="exact"/>
              <w:rPr>
                <w:sz w:val="20"/>
                <w:szCs w:val="20"/>
                <w:color w:val="auto"/>
              </w:rPr>
            </w:pPr>
            <w:r>
              <w:rPr>
                <w:rFonts w:ascii="Arial" w:cs="Arial" w:eastAsia="Arial" w:hAnsi="Arial"/>
                <w:sz w:val="14"/>
                <w:szCs w:val="14"/>
                <w:b w:val="1"/>
                <w:bCs w:val="1"/>
                <w:color w:val="auto"/>
                <w:w w:val="87"/>
              </w:rPr>
              <w:t>at Close of Period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8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Capitalized</w:t>
            </w: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Subsequent</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Depreciable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to</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Date</w:t>
            </w:r>
          </w:p>
        </w:tc>
        <w:tc>
          <w:tcPr>
            <w:tcW w:w="6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6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5"/>
              </w:rPr>
              <w:t>Encumbrances</w:t>
            </w: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Land</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Improvements</w:t>
            </w: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Acquisition</w:t>
            </w: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Land</w:t>
            </w:r>
          </w:p>
        </w:tc>
        <w:tc>
          <w:tcPr>
            <w:tcW w:w="1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Improvements</w:t>
            </w: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7"/>
              </w:rPr>
              <w:t>Depreciation</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Acquired</w:t>
            </w:r>
          </w:p>
        </w:tc>
        <w:tc>
          <w:tcPr>
            <w:tcW w:w="6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7"/>
              </w:rPr>
              <w:t>Ohio</w:t>
            </w: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17,609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17,320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(664)</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2,000</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16,656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18,656</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3,473</w:t>
            </w: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2001</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Ohio</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13,642</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2,327</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12,210</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2,327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14,537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2,510</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Pennsylvania</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31,226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30,713</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30,233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33,083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6,159</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Tennessee</w:t>
            </w:r>
          </w:p>
        </w:tc>
        <w:tc>
          <w:tcPr>
            <w:tcW w:w="2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1,486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23,279</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(4,854)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1,486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19,911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5,895</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4,114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7,327</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307</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Texas</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1,631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27,858</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(416)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1,631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29,073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1,443</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8,903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8,949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2,270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Texas</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28,802</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25,743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28,275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5,119</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8,556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11,231</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Texas</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22,533</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22,163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1,311</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23,874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4,445</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28,481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28,623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31,242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1,562</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Subtotal</w:t>
            </w: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2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278,257</w:t>
            </w:r>
          </w:p>
        </w:tc>
        <w:tc>
          <w:tcPr>
            <w:tcW w:w="8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183,877</w:t>
            </w:r>
          </w:p>
        </w:tc>
        <w:tc>
          <w:tcPr>
            <w:tcW w:w="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710,087</w:t>
            </w:r>
          </w:p>
        </w:tc>
        <w:tc>
          <w:tcPr>
            <w:tcW w:w="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86,725</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181,304</w:t>
            </w:r>
          </w:p>
        </w:tc>
        <w:tc>
          <w:tcPr>
            <w:tcW w:w="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799,385</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980,689</w:t>
            </w:r>
          </w:p>
        </w:tc>
        <w:tc>
          <w:tcPr>
            <w:tcW w:w="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134,364</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LAND:</w:t>
            </w: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87,300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88,926</w:t>
            </w: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88,926</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68,155</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(19,155)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49,000</w:t>
            </w:r>
          </w:p>
        </w:tc>
        <w:tc>
          <w:tcPr>
            <w:tcW w:w="6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49,000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7,600</w:t>
            </w: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7,600</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8,100</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8,100</w:t>
            </w:r>
          </w:p>
        </w:tc>
        <w:tc>
          <w:tcPr>
            <w:tcW w:w="6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8,100</w:t>
            </w: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25,600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25,600</w:t>
            </w: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25,600</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102,938</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102,938</w:t>
            </w:r>
          </w:p>
        </w:tc>
        <w:tc>
          <w:tcPr>
            <w:tcW w:w="6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102,938</w:t>
            </w: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Maryland</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w:t>
            </w: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New Jersey</w:t>
            </w:r>
          </w:p>
        </w:tc>
        <w:tc>
          <w:tcPr>
            <w:tcW w:w="2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43,300</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43,300</w:t>
            </w:r>
          </w:p>
        </w:tc>
        <w:tc>
          <w:tcPr>
            <w:tcW w:w="6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43,300</w:t>
            </w: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York</w:t>
            </w: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52,461</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52,461</w:t>
            </w: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52,461</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Texas</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3,375</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3,375</w:t>
            </w:r>
          </w:p>
        </w:tc>
        <w:tc>
          <w:tcPr>
            <w:tcW w:w="6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3,375</w:t>
            </w: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2005</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3,621</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3,621</w:t>
            </w: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3,621</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Virginia</w:t>
            </w:r>
          </w:p>
        </w:tc>
        <w:tc>
          <w:tcPr>
            <w:tcW w:w="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72,137</w:t>
            </w: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(3,812)</w:t>
            </w:r>
          </w:p>
        </w:tc>
        <w:tc>
          <w:tcPr>
            <w:tcW w:w="580" w:type="dxa"/>
            <w:vAlign w:val="bottom"/>
          </w:tcPr>
          <w:p>
            <w:pPr>
              <w:jc w:val="right"/>
              <w:spacing w:after="0"/>
              <w:rPr>
                <w:sz w:val="20"/>
                <w:szCs w:val="20"/>
                <w:color w:val="auto"/>
              </w:rPr>
            </w:pPr>
            <w:r>
              <w:rPr>
                <w:rFonts w:ascii="Arial" w:cs="Arial" w:eastAsia="Arial" w:hAnsi="Arial"/>
                <w:sz w:val="14"/>
                <w:szCs w:val="14"/>
                <w:color w:val="auto"/>
              </w:rPr>
              <w:t>68,325</w:t>
            </w:r>
          </w:p>
        </w:tc>
        <w:tc>
          <w:tcPr>
            <w:tcW w:w="6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68,325</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6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Subtotal</w:t>
            </w: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482,073</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(21,341)</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460,732</w:t>
            </w: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4"/>
              </w:rPr>
              <w:t>460,732</w:t>
            </w:r>
          </w:p>
        </w:tc>
        <w:tc>
          <w:tcPr>
            <w:tcW w:w="8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1,148</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ENTERTAINMENT:</w:t>
            </w:r>
          </w:p>
        </w:tc>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Alabama</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Alabama</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733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Arizona</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1,194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Arizona</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630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815</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1,445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Arizona</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616</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476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1,092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Arizona</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666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862</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1,528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1,097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1,421</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1,097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2,518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429</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761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876</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1,552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574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743</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574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1,317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464</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822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2,640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California</w:t>
            </w:r>
          </w:p>
        </w:tc>
        <w:tc>
          <w:tcPr>
            <w:tcW w:w="960" w:type="dxa"/>
            <w:vAlign w:val="bottom"/>
            <w:gridSpan w:val="3"/>
          </w:tcPr>
          <w:p>
            <w:pPr>
              <w:jc w:val="right"/>
              <w:ind w:right="40"/>
              <w:spacing w:after="0"/>
              <w:rPr>
                <w:sz w:val="20"/>
                <w:szCs w:val="20"/>
                <w:color w:val="auto"/>
              </w:rPr>
            </w:pPr>
            <w:r>
              <w:rPr>
                <w:rFonts w:ascii="Arial" w:cs="Arial" w:eastAsia="Arial" w:hAnsi="Arial"/>
                <w:sz w:val="14"/>
                <w:szCs w:val="14"/>
                <w:color w:val="auto"/>
              </w:rPr>
              <w:t>(1)</w:t>
            </w:r>
          </w:p>
        </w:tc>
        <w:tc>
          <w:tcPr>
            <w:tcW w:w="560" w:type="dxa"/>
            <w:vAlign w:val="bottom"/>
          </w:tcPr>
          <w:p>
            <w:pPr>
              <w:jc w:val="right"/>
              <w:spacing w:after="0"/>
              <w:rPr>
                <w:sz w:val="20"/>
                <w:szCs w:val="20"/>
                <w:color w:val="auto"/>
              </w:rPr>
            </w:pPr>
            <w:r>
              <w:rPr>
                <w:rFonts w:ascii="Arial" w:cs="Arial" w:eastAsia="Arial" w:hAnsi="Arial"/>
                <w:sz w:val="14"/>
                <w:szCs w:val="14"/>
                <w:color w:val="auto"/>
              </w:rPr>
              <w:t>852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1,101</w:t>
            </w: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852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1,953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Schedule III—Real Estate and Accumulated Depreciation</w:t>
      </w: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of December 31, 2009</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w w:val="93"/>
              </w:rPr>
              <w:t>Initial Cost to Company</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Capitalized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Subsequent to</w:t>
            </w:r>
          </w:p>
        </w:tc>
        <w:tc>
          <w:tcPr>
            <w:tcW w:w="0" w:type="dxa"/>
            <w:vAlign w:val="bottom"/>
          </w:tcPr>
          <w:p>
            <w:pPr>
              <w:spacing w:after="0"/>
              <w:rPr>
                <w:sz w:val="1"/>
                <w:szCs w:val="1"/>
                <w:color w:val="auto"/>
              </w:rPr>
            </w:pPr>
          </w:p>
        </w:tc>
      </w:tr>
      <w:tr>
        <w:trPr>
          <w:trHeight w:val="161"/>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Encumbrances</w:t>
            </w: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Land</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Acquisition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720" w:type="dxa"/>
            <w:vAlign w:val="bottom"/>
            <w:gridSpan w:val="2"/>
          </w:tcPr>
          <w:p>
            <w:pPr>
              <w:spacing w:after="0" w:line="131" w:lineRule="exact"/>
              <w:rPr>
                <w:sz w:val="20"/>
                <w:szCs w:val="20"/>
                <w:color w:val="auto"/>
              </w:rPr>
            </w:pPr>
            <w:r>
              <w:rPr>
                <w:rFonts w:ascii="Arial" w:cs="Arial" w:eastAsia="Arial" w:hAnsi="Arial"/>
                <w:sz w:val="14"/>
                <w:szCs w:val="14"/>
                <w:color w:val="auto"/>
              </w:rPr>
              <w:t>California</w:t>
            </w:r>
          </w:p>
        </w:tc>
        <w:tc>
          <w:tcPr>
            <w:tcW w:w="80" w:type="dxa"/>
            <w:vAlign w:val="bottom"/>
            <w:vMerge w:val="continue"/>
          </w:tcPr>
          <w:p>
            <w:pPr>
              <w:spacing w:after="0"/>
              <w:rPr>
                <w:sz w:val="11"/>
                <w:szCs w:val="11"/>
                <w:color w:val="auto"/>
              </w:rPr>
            </w:pPr>
          </w:p>
        </w:tc>
        <w:tc>
          <w:tcPr>
            <w:tcW w:w="860" w:type="dxa"/>
            <w:vAlign w:val="bottom"/>
          </w:tcPr>
          <w:p>
            <w:pPr>
              <w:ind w:left="740"/>
              <w:spacing w:after="0"/>
              <w:rPr>
                <w:sz w:val="20"/>
                <w:szCs w:val="20"/>
                <w:color w:val="auto"/>
              </w:rPr>
            </w:pPr>
            <w:r>
              <w:rPr>
                <w:rFonts w:ascii="Arial" w:cs="Arial" w:eastAsia="Arial" w:hAnsi="Arial"/>
                <w:sz w:val="11"/>
                <w:szCs w:val="11"/>
                <w:color w:val="auto"/>
                <w:w w:val="74"/>
              </w:rPr>
              <w:t>(1)</w:t>
            </w:r>
          </w:p>
        </w:tc>
        <w:tc>
          <w:tcPr>
            <w:tcW w:w="80" w:type="dxa"/>
            <w:vAlign w:val="bottom"/>
            <w:vMerge w:val="continue"/>
          </w:tcPr>
          <w:p>
            <w:pPr>
              <w:spacing w:after="0"/>
              <w:rPr>
                <w:sz w:val="11"/>
                <w:szCs w:val="11"/>
                <w:color w:val="auto"/>
              </w:rPr>
            </w:pPr>
          </w:p>
        </w:tc>
        <w:tc>
          <w:tcPr>
            <w:tcW w:w="640" w:type="dxa"/>
            <w:vAlign w:val="bottom"/>
          </w:tcPr>
          <w:p>
            <w:pPr>
              <w:jc w:val="right"/>
              <w:spacing w:after="0" w:line="131" w:lineRule="exact"/>
              <w:rPr>
                <w:sz w:val="20"/>
                <w:szCs w:val="20"/>
                <w:color w:val="auto"/>
              </w:rPr>
            </w:pPr>
            <w:r>
              <w:rPr>
                <w:rFonts w:ascii="Arial" w:cs="Arial" w:eastAsia="Arial" w:hAnsi="Arial"/>
                <w:sz w:val="14"/>
                <w:szCs w:val="14"/>
                <w:color w:val="auto"/>
              </w:rPr>
              <w:t>1,572</w:t>
            </w:r>
          </w:p>
        </w:tc>
        <w:tc>
          <w:tcPr>
            <w:tcW w:w="80" w:type="dxa"/>
            <w:vAlign w:val="bottom"/>
            <w:vMerge w:val="continue"/>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Arial" w:cs="Arial" w:eastAsia="Arial" w:hAnsi="Arial"/>
                <w:sz w:val="14"/>
                <w:szCs w:val="14"/>
                <w:color w:val="auto"/>
              </w:rPr>
              <w:t>2,034</w:t>
            </w:r>
          </w:p>
        </w:tc>
        <w:tc>
          <w:tcPr>
            <w:tcW w:w="8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California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25,772</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California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852</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California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729</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California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896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1,159</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Colorado</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602</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Colorado</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827</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Colorado</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944</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Colorado</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694</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Colorado</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533</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Colorado</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901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1,165</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Connecticut</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1,097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1,420</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Connecticut</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426</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Delaware</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1,076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1,390</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41,809</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531</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6,550</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17,118</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1,067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655</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455</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524</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567</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689</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629</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561</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643</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833</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18,272</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714</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470</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656</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19,337</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Georgia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660</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Georgia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371</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Georgia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613</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Georgia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752</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Georgia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930</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Georgia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706</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Georgia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651</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Iowa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551</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Illinois</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Illinois</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622</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Illinois</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8,803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30,479</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Illinois</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560</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Illinois</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557</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Indiana</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701</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Kentucky</w:t>
            </w:r>
          </w:p>
        </w:tc>
        <w:tc>
          <w:tcPr>
            <w:tcW w:w="10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539</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40" w:type="dxa"/>
            <w:vAlign w:val="bottom"/>
            <w:gridSpan w:val="3"/>
          </w:tcPr>
          <w:p>
            <w:pPr>
              <w:spacing w:after="0"/>
              <w:rPr>
                <w:sz w:val="20"/>
                <w:szCs w:val="20"/>
                <w:color w:val="auto"/>
              </w:rPr>
            </w:pPr>
            <w:r>
              <w:rPr>
                <w:rFonts w:ascii="Arial" w:cs="Arial" w:eastAsia="Arial" w:hAnsi="Arial"/>
                <w:sz w:val="14"/>
                <w:szCs w:val="14"/>
                <w:color w:val="auto"/>
              </w:rPr>
              <w:t>Kentucky</w:t>
            </w:r>
          </w:p>
        </w:tc>
        <w:tc>
          <w:tcPr>
            <w:tcW w:w="1020" w:type="dxa"/>
            <w:vAlign w:val="bottom"/>
            <w:gridSpan w:val="3"/>
          </w:tcPr>
          <w:p>
            <w:pPr>
              <w:ind w:left="820"/>
              <w:spacing w:after="0"/>
              <w:rPr>
                <w:sz w:val="20"/>
                <w:szCs w:val="20"/>
                <w:color w:val="auto"/>
              </w:rPr>
            </w:pPr>
            <w:r>
              <w:rPr>
                <w:rFonts w:ascii="Arial" w:cs="Arial" w:eastAsia="Arial" w:hAnsi="Arial"/>
                <w:sz w:val="14"/>
                <w:szCs w:val="14"/>
                <w:color w:val="auto"/>
              </w:rPr>
              <w:t>(1)</w:t>
            </w:r>
          </w:p>
        </w:tc>
        <w:tc>
          <w:tcPr>
            <w:tcW w:w="640" w:type="dxa"/>
            <w:vAlign w:val="bottom"/>
          </w:tcPr>
          <w:p>
            <w:pPr>
              <w:jc w:val="right"/>
              <w:spacing w:after="0"/>
              <w:rPr>
                <w:sz w:val="20"/>
                <w:szCs w:val="20"/>
                <w:color w:val="auto"/>
              </w:rPr>
            </w:pPr>
            <w:r>
              <w:rPr>
                <w:rFonts w:ascii="Arial" w:cs="Arial" w:eastAsia="Arial" w:hAnsi="Arial"/>
                <w:sz w:val="14"/>
                <w:szCs w:val="14"/>
                <w:color w:val="auto"/>
              </w:rPr>
              <w:t>365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5"/>
          </w:tcPr>
          <w:p>
            <w:pPr>
              <w:jc w:val="center"/>
              <w:ind w:left="392"/>
              <w:spacing w:after="0"/>
              <w:rPr>
                <w:sz w:val="20"/>
                <w:szCs w:val="20"/>
                <w:color w:val="auto"/>
              </w:rPr>
            </w:pPr>
            <w:r>
              <w:rPr>
                <w:rFonts w:ascii="Arial" w:cs="Arial" w:eastAsia="Arial" w:hAnsi="Arial"/>
                <w:sz w:val="14"/>
                <w:szCs w:val="14"/>
                <w:b w:val="1"/>
                <w:bCs w:val="1"/>
                <w:color w:val="auto"/>
                <w:w w:val="87"/>
              </w:rPr>
              <w:t>Gross Amount Carried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20" w:type="dxa"/>
            <w:vAlign w:val="bottom"/>
            <w:tcBorders>
              <w:bottom w:val="single" w:sz="8" w:color="auto"/>
            </w:tcBorders>
            <w:gridSpan w:val="5"/>
          </w:tcPr>
          <w:p>
            <w:pPr>
              <w:jc w:val="center"/>
              <w:ind w:left="392"/>
              <w:spacing w:after="0"/>
              <w:rPr>
                <w:sz w:val="20"/>
                <w:szCs w:val="20"/>
                <w:color w:val="auto"/>
              </w:rPr>
            </w:pPr>
            <w:r>
              <w:rPr>
                <w:rFonts w:ascii="Arial" w:cs="Arial" w:eastAsia="Arial" w:hAnsi="Arial"/>
                <w:sz w:val="14"/>
                <w:szCs w:val="14"/>
                <w:b w:val="1"/>
                <w:bCs w:val="1"/>
                <w:color w:val="auto"/>
                <w:w w:val="87"/>
              </w:rPr>
              <w:t>at Close of Period</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Depreciable</w:t>
            </w: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61"/>
        </w:trPr>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Land</w:t>
            </w: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Improvements</w:t>
            </w:r>
          </w:p>
        </w:tc>
        <w:tc>
          <w:tcPr>
            <w:tcW w:w="480" w:type="dxa"/>
            <w:vAlign w:val="bottom"/>
          </w:tcPr>
          <w:p>
            <w:pPr>
              <w:jc w:val="right"/>
              <w:ind w:right="112"/>
              <w:spacing w:after="0"/>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7"/>
              </w:rPr>
              <w:t>Depreciation</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Acquired</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0" w:type="dxa"/>
            <w:vAlign w:val="bottom"/>
          </w:tcPr>
          <w:p>
            <w:pPr>
              <w:spacing w:after="0"/>
              <w:rPr>
                <w:sz w:val="1"/>
                <w:szCs w:val="1"/>
                <w:color w:val="auto"/>
              </w:rPr>
            </w:pPr>
          </w:p>
        </w:tc>
      </w:tr>
      <w:tr>
        <w:trPr>
          <w:trHeight w:val="131"/>
        </w:trPr>
        <w:tc>
          <w:tcPr>
            <w:tcW w:w="6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1,572</w:t>
            </w:r>
          </w:p>
        </w:tc>
        <w:tc>
          <w:tcPr>
            <w:tcW w:w="80" w:type="dxa"/>
            <w:vAlign w:val="bottom"/>
          </w:tcPr>
          <w:p>
            <w:pPr>
              <w:spacing w:after="0"/>
              <w:rPr>
                <w:sz w:val="11"/>
                <w:szCs w:val="11"/>
                <w:color w:val="auto"/>
              </w:rPr>
            </w:pP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2,034</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3,606</w:t>
            </w:r>
          </w:p>
        </w:tc>
        <w:tc>
          <w:tcPr>
            <w:tcW w:w="80" w:type="dxa"/>
            <w:vAlign w:val="bottom"/>
          </w:tcPr>
          <w:p>
            <w:pPr>
              <w:spacing w:after="0"/>
              <w:rPr>
                <w:sz w:val="11"/>
                <w:szCs w:val="11"/>
                <w:color w:val="auto"/>
              </w:rPr>
            </w:pP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297</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1"/>
                <w:szCs w:val="11"/>
                <w:color w:val="auto"/>
              </w:rPr>
            </w:pPr>
          </w:p>
        </w:tc>
        <w:tc>
          <w:tcPr>
            <w:tcW w:w="7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27,725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27,725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1,511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1,291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896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2,055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1,068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1,467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1,673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1,230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945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901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2,066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1,097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2,517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1,076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2,466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41,809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41,809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7,480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943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6,533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23,668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1,067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2,449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779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921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1,162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646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807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928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1,221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869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1,115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994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1,140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1,476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22,472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1,265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1,163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19,337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19,337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1,170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1,087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1,333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1,648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1,252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1,153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976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1,103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8,803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30,536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39,339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1,764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993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1,243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956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2"/>
        </w:trPr>
        <w:tc>
          <w:tcPr>
            <w:tcW w:w="640" w:type="dxa"/>
            <w:vAlign w:val="bottom"/>
          </w:tcPr>
          <w:p>
            <w:pPr>
              <w:jc w:val="right"/>
              <w:spacing w:after="0"/>
              <w:rPr>
                <w:sz w:val="20"/>
                <w:szCs w:val="20"/>
                <w:color w:val="auto"/>
              </w:rPr>
            </w:pPr>
            <w:r>
              <w:rPr>
                <w:rFonts w:ascii="Arial" w:cs="Arial" w:eastAsia="Arial" w:hAnsi="Arial"/>
                <w:sz w:val="14"/>
                <w:szCs w:val="14"/>
                <w:color w:val="auto"/>
              </w:rPr>
              <w:t>365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838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-4912995</wp:posOffset>
            </wp:positionV>
            <wp:extent cx="5797550" cy="946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-4724400</wp:posOffset>
            </wp:positionV>
            <wp:extent cx="5797550" cy="946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-4535805</wp:posOffset>
            </wp:positionV>
            <wp:extent cx="5797550" cy="946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-4347210</wp:posOffset>
            </wp:positionV>
            <wp:extent cx="5797550" cy="946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-4158615</wp:posOffset>
            </wp:positionV>
            <wp:extent cx="5797550" cy="946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-3969385</wp:posOffset>
            </wp:positionV>
            <wp:extent cx="5797550" cy="946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-3780790</wp:posOffset>
            </wp:positionV>
            <wp:extent cx="5797550" cy="94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-3592195</wp:posOffset>
            </wp:positionV>
            <wp:extent cx="5797550" cy="946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-3403600</wp:posOffset>
            </wp:positionV>
            <wp:extent cx="5797550" cy="946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-3215005</wp:posOffset>
            </wp:positionV>
            <wp:extent cx="5797550" cy="946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-3026410</wp:posOffset>
            </wp:positionV>
            <wp:extent cx="5797550" cy="946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-2837815</wp:posOffset>
            </wp:positionV>
            <wp:extent cx="5797550" cy="946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-2649220</wp:posOffset>
            </wp:positionV>
            <wp:extent cx="5797550" cy="94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-2459990</wp:posOffset>
            </wp:positionV>
            <wp:extent cx="5797550" cy="946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-2271395</wp:posOffset>
            </wp:positionV>
            <wp:extent cx="5797550" cy="946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-2082800</wp:posOffset>
            </wp:positionV>
            <wp:extent cx="5797550" cy="946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-1894205</wp:posOffset>
            </wp:positionV>
            <wp:extent cx="5797550" cy="946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-1705610</wp:posOffset>
            </wp:positionV>
            <wp:extent cx="5797550" cy="946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-1517015</wp:posOffset>
            </wp:positionV>
            <wp:extent cx="5797550" cy="946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-1328420</wp:posOffset>
            </wp:positionV>
            <wp:extent cx="5797550" cy="946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-1139825</wp:posOffset>
            </wp:positionV>
            <wp:extent cx="5797550" cy="94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-951230</wp:posOffset>
            </wp:positionV>
            <wp:extent cx="5797550" cy="946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-762000</wp:posOffset>
            </wp:positionV>
            <wp:extent cx="5797550" cy="946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-573405</wp:posOffset>
            </wp:positionV>
            <wp:extent cx="5797550" cy="946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-384810</wp:posOffset>
            </wp:positionV>
            <wp:extent cx="5797550" cy="946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-196215</wp:posOffset>
            </wp:positionV>
            <wp:extent cx="5797550" cy="946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97550" cy="94615"/>
                    </a:xfrm>
                    <a:prstGeom prst="rect">
                      <a:avLst/>
                    </a:prstGeom>
                    <a:noFill/>
                  </pic:spPr>
                </pic:pic>
              </a:graphicData>
            </a:graphic>
          </wp:anchor>
        </w:drawing>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20" w:space="80"/>
            <w:col w:w="4719"/>
          </w:cols>
          <w:pgMar w:left="240" w:top="131" w:right="1440"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Schedule III—Real Estate and Accumulated Depreciation</w:t>
      </w: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of December 31, 2009</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2"/>
              </w:rPr>
              <w:t>Initial Cost to Company</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Capitalized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Subsequent to</w:t>
            </w:r>
          </w:p>
        </w:tc>
        <w:tc>
          <w:tcPr>
            <w:tcW w:w="0" w:type="dxa"/>
            <w:vAlign w:val="bottom"/>
          </w:tcPr>
          <w:p>
            <w:pPr>
              <w:spacing w:after="0"/>
              <w:rPr>
                <w:sz w:val="1"/>
                <w:szCs w:val="1"/>
                <w:color w:val="auto"/>
              </w:rPr>
            </w:pPr>
          </w:p>
        </w:tc>
      </w:tr>
      <w:tr>
        <w:trPr>
          <w:trHeight w:val="161"/>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Encumbrances</w:t>
            </w:r>
          </w:p>
        </w:tc>
        <w:tc>
          <w:tcPr>
            <w:tcW w:w="620" w:type="dxa"/>
            <w:vAlign w:val="bottom"/>
          </w:tcPr>
          <w:p>
            <w:pPr>
              <w:jc w:val="right"/>
              <w:ind w:right="92"/>
              <w:spacing w:after="0"/>
              <w:rPr>
                <w:sz w:val="20"/>
                <w:szCs w:val="20"/>
                <w:color w:val="auto"/>
              </w:rPr>
            </w:pPr>
            <w:r>
              <w:rPr>
                <w:rFonts w:ascii="Arial" w:cs="Arial" w:eastAsia="Arial" w:hAnsi="Arial"/>
                <w:sz w:val="14"/>
                <w:szCs w:val="14"/>
                <w:b w:val="1"/>
                <w:bCs w:val="1"/>
                <w:color w:val="auto"/>
              </w:rPr>
              <w:t>Land</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Acquisition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4"/>
                <w:szCs w:val="14"/>
                <w:color w:val="auto"/>
              </w:rPr>
              <w:t>Maryland</w:t>
            </w:r>
          </w:p>
        </w:tc>
        <w:tc>
          <w:tcPr>
            <w:tcW w:w="40" w:type="dxa"/>
            <w:vAlign w:val="bottom"/>
            <w:vMerge w:val="continue"/>
          </w:tcPr>
          <w:p>
            <w:pPr>
              <w:spacing w:after="0"/>
              <w:rPr>
                <w:sz w:val="11"/>
                <w:szCs w:val="11"/>
                <w:color w:val="auto"/>
              </w:rPr>
            </w:pPr>
          </w:p>
        </w:tc>
        <w:tc>
          <w:tcPr>
            <w:tcW w:w="880" w:type="dxa"/>
            <w:vAlign w:val="bottom"/>
          </w:tcPr>
          <w:p>
            <w:pPr>
              <w:ind w:left="760"/>
              <w:spacing w:after="0"/>
              <w:rPr>
                <w:sz w:val="20"/>
                <w:szCs w:val="20"/>
                <w:color w:val="auto"/>
              </w:rPr>
            </w:pPr>
            <w:r>
              <w:rPr>
                <w:rFonts w:ascii="Arial" w:cs="Arial" w:eastAsia="Arial" w:hAnsi="Arial"/>
                <w:sz w:val="11"/>
                <w:szCs w:val="11"/>
                <w:color w:val="auto"/>
                <w:w w:val="74"/>
              </w:rPr>
              <w:t>(1)</w:t>
            </w:r>
          </w:p>
        </w:tc>
        <w:tc>
          <w:tcPr>
            <w:tcW w:w="80" w:type="dxa"/>
            <w:vAlign w:val="bottom"/>
            <w:vMerge w:val="continue"/>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Arial" w:cs="Arial" w:eastAsia="Arial" w:hAnsi="Arial"/>
                <w:sz w:val="14"/>
                <w:szCs w:val="14"/>
                <w:color w:val="auto"/>
              </w:rPr>
              <w:t>428</w:t>
            </w:r>
          </w:p>
        </w:tc>
        <w:tc>
          <w:tcPr>
            <w:tcW w:w="80" w:type="dxa"/>
            <w:vAlign w:val="bottom"/>
            <w:vMerge w:val="continue"/>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4"/>
                <w:szCs w:val="14"/>
                <w:color w:val="auto"/>
              </w:rPr>
              <w:t>554</w:t>
            </w:r>
          </w:p>
        </w:tc>
        <w:tc>
          <w:tcPr>
            <w:tcW w:w="8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745</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1,145</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481</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839</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473</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516</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1,126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85"/>
              </w:rPr>
              <w:t>Massachusetts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85"/>
              </w:rPr>
              <w:t>Massachusetts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711</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85"/>
              </w:rPr>
              <w:t>Massachusetts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672</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85"/>
              </w:rPr>
              <w:t>Massachusetts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445</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Michigan</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Michigan</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667</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Michigan</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Michigan</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Michigan</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Michigan</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Minnesota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666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861</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Minnesota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2,962</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14,348</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Minnesota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465</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Minnesota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2,437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8,715</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Missouri</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432</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Missouri</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523</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Missouri</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597</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Missouri</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1,139</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North</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513</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North</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North</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North</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North</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1,227</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North</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North</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452</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North</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North</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531</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North</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1,249</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North</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North</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New Jersey</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2,019</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New Jersey</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830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1,075</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Nevada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440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569</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779</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442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571</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499</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453</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421</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20" w:type="dxa"/>
            <w:vAlign w:val="bottom"/>
            <w:gridSpan w:val="3"/>
          </w:tcPr>
          <w:p>
            <w:pPr>
              <w:spacing w:after="0"/>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rPr>
                <w:sz w:val="20"/>
                <w:szCs w:val="20"/>
                <w:color w:val="auto"/>
              </w:rPr>
            </w:pPr>
            <w:r>
              <w:rPr>
                <w:rFonts w:ascii="Arial" w:cs="Arial" w:eastAsia="Arial" w:hAnsi="Arial"/>
                <w:sz w:val="14"/>
                <w:szCs w:val="14"/>
                <w:color w:val="auto"/>
              </w:rPr>
              <w:t>(1)</w:t>
            </w:r>
          </w:p>
        </w:tc>
        <w:tc>
          <w:tcPr>
            <w:tcW w:w="620" w:type="dxa"/>
            <w:vAlign w:val="bottom"/>
          </w:tcPr>
          <w:p>
            <w:pPr>
              <w:jc w:val="right"/>
              <w:spacing w:after="0"/>
              <w:rPr>
                <w:sz w:val="20"/>
                <w:szCs w:val="20"/>
                <w:color w:val="auto"/>
              </w:rPr>
            </w:pPr>
            <w:r>
              <w:rPr>
                <w:rFonts w:ascii="Arial" w:cs="Arial" w:eastAsia="Arial" w:hAnsi="Arial"/>
                <w:sz w:val="14"/>
                <w:szCs w:val="14"/>
                <w:color w:val="auto"/>
              </w:rPr>
              <w:t>320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5"/>
          </w:tcPr>
          <w:p>
            <w:pPr>
              <w:jc w:val="center"/>
              <w:ind w:left="412"/>
              <w:spacing w:after="0"/>
              <w:rPr>
                <w:sz w:val="20"/>
                <w:szCs w:val="20"/>
                <w:color w:val="auto"/>
              </w:rPr>
            </w:pPr>
            <w:r>
              <w:rPr>
                <w:rFonts w:ascii="Arial" w:cs="Arial" w:eastAsia="Arial" w:hAnsi="Arial"/>
                <w:sz w:val="14"/>
                <w:szCs w:val="14"/>
                <w:b w:val="1"/>
                <w:bCs w:val="1"/>
                <w:color w:val="auto"/>
                <w:w w:val="89"/>
              </w:rPr>
              <w:t>Gross Amount Carried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5"/>
              </w:rPr>
              <w:t>at Close of Period</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Depreciable</w:t>
            </w: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61"/>
        </w:trPr>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Land</w:t>
            </w: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Improvements</w:t>
            </w:r>
          </w:p>
        </w:tc>
        <w:tc>
          <w:tcPr>
            <w:tcW w:w="480" w:type="dxa"/>
            <w:vAlign w:val="bottom"/>
          </w:tcPr>
          <w:p>
            <w:pPr>
              <w:jc w:val="right"/>
              <w:ind w:right="112"/>
              <w:spacing w:after="0"/>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7"/>
              </w:rPr>
              <w:t>Depreciation</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Acquired</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0" w:type="dxa"/>
            <w:vAlign w:val="bottom"/>
          </w:tcPr>
          <w:p>
            <w:pPr>
              <w:spacing w:after="0"/>
              <w:rPr>
                <w:sz w:val="1"/>
                <w:szCs w:val="1"/>
                <w:color w:val="auto"/>
              </w:rPr>
            </w:pPr>
          </w:p>
        </w:tc>
      </w:tr>
      <w:tr>
        <w:trPr>
          <w:trHeight w:val="131"/>
        </w:trPr>
        <w:tc>
          <w:tcPr>
            <w:tcW w:w="6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428</w:t>
            </w:r>
          </w:p>
        </w:tc>
        <w:tc>
          <w:tcPr>
            <w:tcW w:w="80" w:type="dxa"/>
            <w:vAlign w:val="bottom"/>
          </w:tcPr>
          <w:p>
            <w:pPr>
              <w:spacing w:after="0"/>
              <w:rPr>
                <w:sz w:val="11"/>
                <w:szCs w:val="11"/>
                <w:color w:val="auto"/>
              </w:rPr>
            </w:pP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554</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982</w:t>
            </w:r>
          </w:p>
        </w:tc>
        <w:tc>
          <w:tcPr>
            <w:tcW w:w="80" w:type="dxa"/>
            <w:vAlign w:val="bottom"/>
          </w:tcPr>
          <w:p>
            <w:pPr>
              <w:spacing w:after="0"/>
              <w:rPr>
                <w:sz w:val="11"/>
                <w:szCs w:val="11"/>
                <w:color w:val="auto"/>
              </w:rPr>
            </w:pP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81</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1"/>
                <w:szCs w:val="11"/>
                <w:color w:val="auto"/>
              </w:rPr>
            </w:pPr>
          </w:p>
        </w:tc>
        <w:tc>
          <w:tcPr>
            <w:tcW w:w="7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1,320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830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2,029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917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1,488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839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914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1,126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2,584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1,201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1,259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1,191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789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709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1,183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1,272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887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1,224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666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1,527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2,962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14,348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17,310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824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2,437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11,152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927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1,059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2"/>
        </w:trPr>
        <w:tc>
          <w:tcPr>
            <w:tcW w:w="640" w:type="dxa"/>
            <w:vAlign w:val="bottom"/>
          </w:tcPr>
          <w:p>
            <w:pPr>
              <w:jc w:val="right"/>
              <w:spacing w:after="0"/>
              <w:rPr>
                <w:sz w:val="20"/>
                <w:szCs w:val="20"/>
                <w:color w:val="auto"/>
              </w:rPr>
            </w:pPr>
            <w:r>
              <w:rPr>
                <w:rFonts w:ascii="Arial" w:cs="Arial" w:eastAsia="Arial" w:hAnsi="Arial"/>
                <w:sz w:val="14"/>
                <w:szCs w:val="14"/>
                <w:color w:val="auto"/>
              </w:rPr>
              <w:t>878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397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910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476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1,091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410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940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78</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402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922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948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1,227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2,175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259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595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349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801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640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1,468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409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940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965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2,214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182</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475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1,090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73"/>
        </w:trPr>
        <w:tc>
          <w:tcPr>
            <w:tcW w:w="640" w:type="dxa"/>
            <w:vAlign w:val="bottom"/>
          </w:tcPr>
          <w:p>
            <w:pPr>
              <w:jc w:val="right"/>
              <w:spacing w:after="0"/>
              <w:rPr>
                <w:sz w:val="20"/>
                <w:szCs w:val="20"/>
                <w:color w:val="auto"/>
              </w:rPr>
            </w:pPr>
            <w:r>
              <w:rPr>
                <w:rFonts w:ascii="Arial" w:cs="Arial" w:eastAsia="Arial" w:hAnsi="Arial"/>
                <w:sz w:val="14"/>
                <w:szCs w:val="14"/>
                <w:color w:val="auto"/>
              </w:rPr>
              <w:t>494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638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1,132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1,560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3,579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1,905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603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1,382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1,013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1,290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803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747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1,134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2"/>
        </w:trPr>
        <w:tc>
          <w:tcPr>
            <w:tcW w:w="640" w:type="dxa"/>
            <w:vAlign w:val="bottom"/>
          </w:tcPr>
          <w:p>
            <w:pPr>
              <w:jc w:val="right"/>
              <w:spacing w:after="0"/>
              <w:rPr>
                <w:sz w:val="20"/>
                <w:szCs w:val="20"/>
                <w:color w:val="auto"/>
              </w:rPr>
            </w:pPr>
            <w:r>
              <w:rPr>
                <w:rFonts w:ascii="Arial" w:cs="Arial" w:eastAsia="Arial" w:hAnsi="Arial"/>
                <w:sz w:val="14"/>
                <w:szCs w:val="14"/>
                <w:color w:val="auto"/>
              </w:rPr>
              <w:t>320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734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-6045200</wp:posOffset>
            </wp:positionV>
            <wp:extent cx="5797550" cy="946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-5856605</wp:posOffset>
            </wp:positionV>
            <wp:extent cx="5797550" cy="946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-5667375</wp:posOffset>
            </wp:positionV>
            <wp:extent cx="5797550" cy="946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-5478780</wp:posOffset>
            </wp:positionV>
            <wp:extent cx="5797550" cy="946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-5290185</wp:posOffset>
            </wp:positionV>
            <wp:extent cx="5797550" cy="946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-5101590</wp:posOffset>
            </wp:positionV>
            <wp:extent cx="5797550" cy="946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-4912995</wp:posOffset>
            </wp:positionV>
            <wp:extent cx="5797550" cy="946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-4724400</wp:posOffset>
            </wp:positionV>
            <wp:extent cx="5797550" cy="946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-4535805</wp:posOffset>
            </wp:positionV>
            <wp:extent cx="5797550" cy="946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-4347210</wp:posOffset>
            </wp:positionV>
            <wp:extent cx="5797550" cy="946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-4158615</wp:posOffset>
            </wp:positionV>
            <wp:extent cx="5797550" cy="946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-3969385</wp:posOffset>
            </wp:positionV>
            <wp:extent cx="5797550" cy="946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-3780790</wp:posOffset>
            </wp:positionV>
            <wp:extent cx="5797550" cy="946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-3592195</wp:posOffset>
            </wp:positionV>
            <wp:extent cx="5797550" cy="946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-3403600</wp:posOffset>
            </wp:positionV>
            <wp:extent cx="5797550" cy="946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-3120390</wp:posOffset>
            </wp:positionV>
            <wp:extent cx="579755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97550" cy="18859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-2743200</wp:posOffset>
            </wp:positionV>
            <wp:extent cx="579755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97550" cy="18859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-2366010</wp:posOffset>
            </wp:positionV>
            <wp:extent cx="579755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97550" cy="18859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-1988820</wp:posOffset>
            </wp:positionV>
            <wp:extent cx="579755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97550" cy="18859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-1610995</wp:posOffset>
            </wp:positionV>
            <wp:extent cx="579755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97550" cy="18859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-1233805</wp:posOffset>
            </wp:positionV>
            <wp:extent cx="579755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97550" cy="18859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-951230</wp:posOffset>
            </wp:positionV>
            <wp:extent cx="5797550" cy="946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-762000</wp:posOffset>
            </wp:positionV>
            <wp:extent cx="5797550" cy="946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-573405</wp:posOffset>
            </wp:positionV>
            <wp:extent cx="5797550" cy="946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-384810</wp:posOffset>
            </wp:positionV>
            <wp:extent cx="5797550" cy="946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-196215</wp:posOffset>
            </wp:positionV>
            <wp:extent cx="5797550" cy="946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97550" cy="9461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5420" w:space="80"/>
            <w:col w:w="4719"/>
          </w:cols>
          <w:pgMar w:left="240" w:top="131" w:right="1440" w:bottom="1440" w:gutter="0" w:footer="0" w:header="0"/>
          <w:type w:val="continuous"/>
        </w:sectPr>
      </w:pPr>
    </w:p>
    <w:p>
      <w:pPr>
        <w:ind w:left="5580"/>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Schedule III—Real Estate and Accumulated Depreciation</w:t>
      </w: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of December 31, 2009</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w w:val="93"/>
              </w:rPr>
              <w:t>Initial Cost to Company</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Capitalized</w:t>
            </w: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Subsequent to</w:t>
            </w:r>
          </w:p>
        </w:tc>
      </w:tr>
      <w:tr>
        <w:trPr>
          <w:trHeight w:val="161"/>
        </w:trPr>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Encumbrances</w:t>
            </w: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Land</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Acquisition</w:t>
            </w:r>
          </w:p>
        </w:tc>
      </w:tr>
      <w:tr>
        <w:trPr>
          <w:trHeight w:val="131"/>
        </w:trPr>
        <w:tc>
          <w:tcPr>
            <w:tcW w:w="20" w:type="dxa"/>
            <w:vAlign w:val="bottom"/>
          </w:tcPr>
          <w:p>
            <w:pPr>
              <w:spacing w:after="0"/>
              <w:rPr>
                <w:sz w:val="11"/>
                <w:szCs w:val="11"/>
                <w:color w:val="auto"/>
              </w:rPr>
            </w:pPr>
          </w:p>
        </w:tc>
        <w:tc>
          <w:tcPr>
            <w:tcW w:w="28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92"/>
              </w:rPr>
              <w:t>New</w:t>
            </w:r>
          </w:p>
        </w:tc>
        <w:tc>
          <w:tcPr>
            <w:tcW w:w="460" w:type="dxa"/>
            <w:vAlign w:val="bottom"/>
          </w:tcPr>
          <w:p>
            <w:pPr>
              <w:spacing w:after="0" w:line="131" w:lineRule="exact"/>
              <w:rPr>
                <w:sz w:val="20"/>
                <w:szCs w:val="20"/>
                <w:color w:val="auto"/>
              </w:rPr>
            </w:pPr>
            <w:r>
              <w:rPr>
                <w:rFonts w:ascii="Arial" w:cs="Arial" w:eastAsia="Arial" w:hAnsi="Arial"/>
                <w:sz w:val="14"/>
                <w:szCs w:val="14"/>
                <w:color w:val="auto"/>
              </w:rPr>
              <w:t>York</w:t>
            </w:r>
          </w:p>
        </w:tc>
        <w:tc>
          <w:tcPr>
            <w:tcW w:w="60" w:type="dxa"/>
            <w:vAlign w:val="bottom"/>
          </w:tcPr>
          <w:p>
            <w:pPr>
              <w:spacing w:after="0"/>
              <w:rPr>
                <w:sz w:val="11"/>
                <w:szCs w:val="11"/>
                <w:color w:val="auto"/>
              </w:rPr>
            </w:pPr>
          </w:p>
        </w:tc>
        <w:tc>
          <w:tcPr>
            <w:tcW w:w="860" w:type="dxa"/>
            <w:vAlign w:val="bottom"/>
            <w:tcBorders>
              <w:top w:val="single" w:sz="8" w:color="auto"/>
            </w:tcBorders>
          </w:tcPr>
          <w:p>
            <w:pPr>
              <w:ind w:left="740"/>
              <w:spacing w:after="0"/>
              <w:rPr>
                <w:sz w:val="20"/>
                <w:szCs w:val="20"/>
                <w:color w:val="auto"/>
              </w:rPr>
            </w:pPr>
            <w:r>
              <w:rPr>
                <w:rFonts w:ascii="Arial" w:cs="Arial" w:eastAsia="Arial" w:hAnsi="Arial"/>
                <w:sz w:val="11"/>
                <w:szCs w:val="11"/>
                <w:color w:val="auto"/>
                <w:w w:val="74"/>
              </w:rPr>
              <w:t>(1)</w:t>
            </w:r>
          </w:p>
        </w:tc>
        <w:tc>
          <w:tcPr>
            <w:tcW w:w="80" w:type="dxa"/>
            <w:vAlign w:val="bottom"/>
          </w:tcPr>
          <w:p>
            <w:pPr>
              <w:spacing w:after="0"/>
              <w:rPr>
                <w:sz w:val="11"/>
                <w:szCs w:val="11"/>
                <w:color w:val="auto"/>
              </w:rPr>
            </w:pPr>
          </w:p>
        </w:tc>
        <w:tc>
          <w:tcPr>
            <w:tcW w:w="6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399</w:t>
            </w:r>
          </w:p>
        </w:tc>
        <w:tc>
          <w:tcPr>
            <w:tcW w:w="80" w:type="dxa"/>
            <w:vAlign w:val="bottom"/>
          </w:tcPr>
          <w:p>
            <w:pPr>
              <w:spacing w:after="0"/>
              <w:rPr>
                <w:sz w:val="11"/>
                <w:szCs w:val="11"/>
                <w:color w:val="auto"/>
              </w:rPr>
            </w:pP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516</w:t>
            </w:r>
          </w:p>
        </w:tc>
        <w:tc>
          <w:tcPr>
            <w:tcW w:w="80" w:type="dxa"/>
            <w:vAlign w:val="bottom"/>
          </w:tcPr>
          <w:p>
            <w:pPr>
              <w:spacing w:after="0"/>
              <w:rPr>
                <w:sz w:val="11"/>
                <w:szCs w:val="11"/>
                <w:color w:val="auto"/>
              </w:rPr>
            </w:pPr>
          </w:p>
        </w:tc>
        <w:tc>
          <w:tcPr>
            <w:tcW w:w="860" w:type="dxa"/>
            <w:vAlign w:val="bottom"/>
            <w:tcBorders>
              <w:top w:val="single" w:sz="8" w:color="auto"/>
            </w:tcBorders>
          </w:tcPr>
          <w:p>
            <w:pPr>
              <w:ind w:left="700"/>
              <w:spacing w:after="0" w:line="131"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761</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675</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723</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747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967</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885</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1,492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1,933</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1,471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1,904</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Ohio</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562</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Ohio</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1,252</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Ohio</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Ohio</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508</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Oklahoma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557</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Oklahoma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1,235</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Oregon</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484</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Oregon</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508</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w w:val="88"/>
              </w:rPr>
              <w:t>Pennsylvania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527</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w w:val="88"/>
              </w:rPr>
              <w:t>Pennsylvania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544</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w w:val="88"/>
              </w:rPr>
              <w:t>Pennsylvania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w w:val="88"/>
              </w:rPr>
              <w:t>Pennsylvania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527</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Puerto Rico</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1,230</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w w:val="89"/>
              </w:rPr>
              <w:t>Rhode Island</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850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1,100</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South</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943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1,220</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South</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429</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South</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Carolina</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924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1,196</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Tennessee</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338</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1,045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1,353</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767</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985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1,276</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1,083</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682</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622</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1,261</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1,108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1,433</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549</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671</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981</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517</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485</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567</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369</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718</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726</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976</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675</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634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821</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766</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Utah</w:t>
            </w:r>
          </w:p>
        </w:tc>
        <w:tc>
          <w:tcPr>
            <w:tcW w:w="1000" w:type="dxa"/>
            <w:vAlign w:val="bottom"/>
            <w:gridSpan w:val="3"/>
          </w:tcPr>
          <w:p>
            <w:pPr>
              <w:ind w:left="80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w:t>
            </w:r>
          </w:p>
        </w:tc>
        <w:tc>
          <w:tcPr>
            <w:tcW w:w="80" w:type="dxa"/>
            <w:vAlign w:val="bottom"/>
          </w:tcPr>
          <w:p>
            <w:pPr>
              <w:spacing w:after="0"/>
              <w:rPr>
                <w:sz w:val="12"/>
                <w:szCs w:val="12"/>
                <w:color w:val="auto"/>
              </w:rPr>
            </w:pP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r>
      <w:tr>
        <w:trPr>
          <w:trHeight w:val="172"/>
        </w:trPr>
        <w:tc>
          <w:tcPr>
            <w:tcW w:w="760" w:type="dxa"/>
            <w:vAlign w:val="bottom"/>
            <w:gridSpan w:val="3"/>
          </w:tcPr>
          <w:p>
            <w:pPr>
              <w:spacing w:after="0"/>
              <w:rPr>
                <w:sz w:val="20"/>
                <w:szCs w:val="20"/>
                <w:color w:val="auto"/>
              </w:rPr>
            </w:pPr>
            <w:r>
              <w:rPr>
                <w:rFonts w:ascii="Arial" w:cs="Arial" w:eastAsia="Arial" w:hAnsi="Arial"/>
                <w:sz w:val="14"/>
                <w:szCs w:val="14"/>
                <w:color w:val="auto"/>
              </w:rPr>
              <w:t>Virginia</w:t>
            </w:r>
          </w:p>
        </w:tc>
        <w:tc>
          <w:tcPr>
            <w:tcW w:w="1000" w:type="dxa"/>
            <w:vAlign w:val="bottom"/>
            <w:gridSpan w:val="3"/>
          </w:tcPr>
          <w:p>
            <w:pPr>
              <w:ind w:left="800"/>
              <w:spacing w:after="0"/>
              <w:rPr>
                <w:sz w:val="20"/>
                <w:szCs w:val="20"/>
                <w:color w:val="auto"/>
              </w:rPr>
            </w:pPr>
            <w:r>
              <w:rPr>
                <w:rFonts w:ascii="Arial" w:cs="Arial" w:eastAsia="Arial" w:hAnsi="Arial"/>
                <w:sz w:val="14"/>
                <w:szCs w:val="14"/>
                <w:color w:val="auto"/>
              </w:rPr>
              <w:t>(1)</w:t>
            </w:r>
          </w:p>
        </w:tc>
        <w:tc>
          <w:tcPr>
            <w:tcW w:w="640" w:type="dxa"/>
            <w:vAlign w:val="bottom"/>
          </w:tcPr>
          <w:p>
            <w:pPr>
              <w:jc w:val="right"/>
              <w:spacing w:after="0"/>
              <w:rPr>
                <w:sz w:val="20"/>
                <w:szCs w:val="20"/>
                <w:color w:val="auto"/>
              </w:rPr>
            </w:pPr>
            <w:r>
              <w:rPr>
                <w:rFonts w:ascii="Arial" w:cs="Arial" w:eastAsia="Arial" w:hAnsi="Arial"/>
                <w:sz w:val="14"/>
                <w:szCs w:val="14"/>
                <w:color w:val="auto"/>
              </w:rPr>
              <w:t>1,134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1,467</w:t>
            </w:r>
          </w:p>
        </w:tc>
        <w:tc>
          <w:tcPr>
            <w:tcW w:w="80" w:type="dxa"/>
            <w:vAlign w:val="bottom"/>
          </w:tcPr>
          <w:p>
            <w:pPr>
              <w:spacing w:after="0"/>
              <w:rPr>
                <w:sz w:val="14"/>
                <w:szCs w:val="14"/>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5"/>
          </w:tcPr>
          <w:p>
            <w:pPr>
              <w:jc w:val="center"/>
              <w:ind w:left="392"/>
              <w:spacing w:after="0"/>
              <w:rPr>
                <w:sz w:val="20"/>
                <w:szCs w:val="20"/>
                <w:color w:val="auto"/>
              </w:rPr>
            </w:pPr>
            <w:r>
              <w:rPr>
                <w:rFonts w:ascii="Arial" w:cs="Arial" w:eastAsia="Arial" w:hAnsi="Arial"/>
                <w:sz w:val="14"/>
                <w:szCs w:val="14"/>
                <w:b w:val="1"/>
                <w:bCs w:val="1"/>
                <w:color w:val="auto"/>
                <w:w w:val="87"/>
              </w:rPr>
              <w:t>Gross Amount Carried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20" w:type="dxa"/>
            <w:vAlign w:val="bottom"/>
            <w:tcBorders>
              <w:bottom w:val="single" w:sz="8" w:color="auto"/>
            </w:tcBorders>
            <w:gridSpan w:val="5"/>
          </w:tcPr>
          <w:p>
            <w:pPr>
              <w:jc w:val="center"/>
              <w:ind w:left="392"/>
              <w:spacing w:after="0"/>
              <w:rPr>
                <w:sz w:val="20"/>
                <w:szCs w:val="20"/>
                <w:color w:val="auto"/>
              </w:rPr>
            </w:pPr>
            <w:r>
              <w:rPr>
                <w:rFonts w:ascii="Arial" w:cs="Arial" w:eastAsia="Arial" w:hAnsi="Arial"/>
                <w:sz w:val="14"/>
                <w:szCs w:val="14"/>
                <w:b w:val="1"/>
                <w:bCs w:val="1"/>
                <w:color w:val="auto"/>
                <w:w w:val="87"/>
              </w:rPr>
              <w:t>at Close of Period</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Depreciable</w:t>
            </w: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61"/>
        </w:trPr>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Land</w:t>
            </w: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Improvements</w:t>
            </w:r>
          </w:p>
        </w:tc>
        <w:tc>
          <w:tcPr>
            <w:tcW w:w="480" w:type="dxa"/>
            <w:vAlign w:val="bottom"/>
          </w:tcPr>
          <w:p>
            <w:pPr>
              <w:jc w:val="right"/>
              <w:ind w:right="112"/>
              <w:spacing w:after="0"/>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7"/>
              </w:rPr>
              <w:t>Depreciation</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Acquired</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0" w:type="dxa"/>
            <w:vAlign w:val="bottom"/>
          </w:tcPr>
          <w:p>
            <w:pPr>
              <w:spacing w:after="0"/>
              <w:rPr>
                <w:sz w:val="1"/>
                <w:szCs w:val="1"/>
                <w:color w:val="auto"/>
              </w:rPr>
            </w:pPr>
          </w:p>
        </w:tc>
      </w:tr>
      <w:tr>
        <w:trPr>
          <w:trHeight w:val="131"/>
        </w:trPr>
        <w:tc>
          <w:tcPr>
            <w:tcW w:w="6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399</w:t>
            </w:r>
          </w:p>
        </w:tc>
        <w:tc>
          <w:tcPr>
            <w:tcW w:w="80" w:type="dxa"/>
            <w:vAlign w:val="bottom"/>
          </w:tcPr>
          <w:p>
            <w:pPr>
              <w:spacing w:after="0"/>
              <w:rPr>
                <w:sz w:val="11"/>
                <w:szCs w:val="11"/>
                <w:color w:val="auto"/>
              </w:rPr>
            </w:pP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516</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915</w:t>
            </w:r>
          </w:p>
        </w:tc>
        <w:tc>
          <w:tcPr>
            <w:tcW w:w="80" w:type="dxa"/>
            <w:vAlign w:val="bottom"/>
          </w:tcPr>
          <w:p>
            <w:pPr>
              <w:spacing w:after="0"/>
              <w:rPr>
                <w:sz w:val="11"/>
                <w:szCs w:val="11"/>
                <w:color w:val="auto"/>
              </w:rPr>
            </w:pP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1"/>
                <w:szCs w:val="11"/>
                <w:color w:val="auto"/>
              </w:rPr>
            </w:pPr>
          </w:p>
        </w:tc>
        <w:tc>
          <w:tcPr>
            <w:tcW w:w="7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2,199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1,348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1,196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1,631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1,281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747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1,714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1,568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1,492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3,425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1,471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3,375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996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2,219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646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901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2,189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901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934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937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934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2,180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2"/>
        </w:trPr>
        <w:tc>
          <w:tcPr>
            <w:tcW w:w="640" w:type="dxa"/>
            <w:vAlign w:val="bottom"/>
          </w:tcPr>
          <w:p>
            <w:pPr>
              <w:jc w:val="right"/>
              <w:spacing w:after="0"/>
              <w:rPr>
                <w:sz w:val="20"/>
                <w:szCs w:val="20"/>
                <w:color w:val="auto"/>
              </w:rPr>
            </w:pPr>
            <w:r>
              <w:rPr>
                <w:rFonts w:ascii="Arial" w:cs="Arial" w:eastAsia="Arial" w:hAnsi="Arial"/>
                <w:sz w:val="14"/>
                <w:szCs w:val="14"/>
                <w:color w:val="auto"/>
              </w:rPr>
              <w:t>850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1,950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943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2,163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178</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332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761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73"/>
        </w:trPr>
        <w:tc>
          <w:tcPr>
            <w:tcW w:w="640" w:type="dxa"/>
            <w:vAlign w:val="bottom"/>
          </w:tcPr>
          <w:p>
            <w:pPr>
              <w:jc w:val="right"/>
              <w:spacing w:after="0"/>
              <w:rPr>
                <w:sz w:val="20"/>
                <w:szCs w:val="20"/>
                <w:color w:val="auto"/>
              </w:rPr>
            </w:pPr>
            <w:r>
              <w:rPr>
                <w:rFonts w:ascii="Arial" w:cs="Arial" w:eastAsia="Arial" w:hAnsi="Arial"/>
                <w:sz w:val="14"/>
                <w:szCs w:val="14"/>
                <w:color w:val="auto"/>
              </w:rPr>
              <w:t>924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1,196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2,120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1,045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2,398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1,360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985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2,261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1,921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1,210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1,102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2,236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1,108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2,541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974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1,189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1,739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916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860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1,272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1,287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1,729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1,196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634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1,455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870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1,358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1,432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2"/>
        </w:trPr>
        <w:tc>
          <w:tcPr>
            <w:tcW w:w="640" w:type="dxa"/>
            <w:vAlign w:val="bottom"/>
          </w:tcPr>
          <w:p>
            <w:pPr>
              <w:jc w:val="right"/>
              <w:spacing w:after="0"/>
              <w:rPr>
                <w:sz w:val="20"/>
                <w:szCs w:val="20"/>
                <w:color w:val="auto"/>
              </w:rPr>
            </w:pPr>
            <w:r>
              <w:rPr>
                <w:rFonts w:ascii="Arial" w:cs="Arial" w:eastAsia="Arial" w:hAnsi="Arial"/>
                <w:sz w:val="14"/>
                <w:szCs w:val="14"/>
                <w:color w:val="auto"/>
              </w:rPr>
              <w:t>1,134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2,601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214</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-5196205</wp:posOffset>
            </wp:positionV>
            <wp:extent cx="5797550" cy="946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-5007610</wp:posOffset>
            </wp:positionV>
            <wp:extent cx="5797550" cy="946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-4818380</wp:posOffset>
            </wp:positionV>
            <wp:extent cx="5797550" cy="946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-4629785</wp:posOffset>
            </wp:positionV>
            <wp:extent cx="5797550" cy="946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-4441190</wp:posOffset>
            </wp:positionV>
            <wp:extent cx="5797550" cy="946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-4252595</wp:posOffset>
            </wp:positionV>
            <wp:extent cx="5797550" cy="946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-4064000</wp:posOffset>
            </wp:positionV>
            <wp:extent cx="5797550" cy="946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-3875405</wp:posOffset>
            </wp:positionV>
            <wp:extent cx="5797550" cy="946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-3686810</wp:posOffset>
            </wp:positionV>
            <wp:extent cx="5797550" cy="94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-3498215</wp:posOffset>
            </wp:positionV>
            <wp:extent cx="5797550" cy="946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-3309620</wp:posOffset>
            </wp:positionV>
            <wp:extent cx="5797550" cy="946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-3120390</wp:posOffset>
            </wp:positionV>
            <wp:extent cx="5797550" cy="946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-2931795</wp:posOffset>
            </wp:positionV>
            <wp:extent cx="579755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97550" cy="18859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-2554605</wp:posOffset>
            </wp:positionV>
            <wp:extent cx="579755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97550" cy="18859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-2271395</wp:posOffset>
            </wp:positionV>
            <wp:extent cx="5797550" cy="946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-2082800</wp:posOffset>
            </wp:positionV>
            <wp:extent cx="5797550" cy="946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-1894205</wp:posOffset>
            </wp:positionV>
            <wp:extent cx="5797550" cy="946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-1705610</wp:posOffset>
            </wp:positionV>
            <wp:extent cx="5797550" cy="946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-1517015</wp:posOffset>
            </wp:positionV>
            <wp:extent cx="5797550" cy="946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-1328420</wp:posOffset>
            </wp:positionV>
            <wp:extent cx="5797550" cy="946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-1139825</wp:posOffset>
            </wp:positionV>
            <wp:extent cx="5797550" cy="946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-951230</wp:posOffset>
            </wp:positionV>
            <wp:extent cx="5797550" cy="946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-762000</wp:posOffset>
            </wp:positionV>
            <wp:extent cx="5797550" cy="946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-573405</wp:posOffset>
            </wp:positionV>
            <wp:extent cx="5797550" cy="946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-384810</wp:posOffset>
            </wp:positionV>
            <wp:extent cx="5797550" cy="946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97550" cy="946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-196215</wp:posOffset>
            </wp:positionV>
            <wp:extent cx="5797550" cy="946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97550" cy="94615"/>
                    </a:xfrm>
                    <a:prstGeom prst="rect">
                      <a:avLst/>
                    </a:prstGeom>
                    <a:noFill/>
                  </pic:spPr>
                </pic:pic>
              </a:graphicData>
            </a:graphic>
          </wp:anchor>
        </w:drawing>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20" w:space="80"/>
            <w:col w:w="4719"/>
          </w:cols>
          <w:pgMar w:left="240" w:top="131" w:right="1440"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As of December 31, 2009</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3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center"/>
              <w:ind w:left="392"/>
              <w:spacing w:after="0"/>
              <w:rPr>
                <w:sz w:val="20"/>
                <w:szCs w:val="20"/>
                <w:color w:val="auto"/>
              </w:rPr>
            </w:pPr>
            <w:r>
              <w:rPr>
                <w:rFonts w:ascii="Arial" w:cs="Arial" w:eastAsia="Arial" w:hAnsi="Arial"/>
                <w:sz w:val="14"/>
                <w:szCs w:val="14"/>
                <w:b w:val="1"/>
                <w:bCs w:val="1"/>
                <w:color w:val="auto"/>
                <w:w w:val="87"/>
              </w:rPr>
              <w:t>Gross Amount Carried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w w:val="93"/>
              </w:rPr>
              <w:t>Initial Cost to Company</w:t>
            </w:r>
          </w:p>
        </w:tc>
        <w:tc>
          <w:tcPr>
            <w:tcW w:w="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Cost</w:t>
            </w:r>
          </w:p>
        </w:tc>
        <w:tc>
          <w:tcPr>
            <w:tcW w:w="1820" w:type="dxa"/>
            <w:vAlign w:val="bottom"/>
            <w:tcBorders>
              <w:bottom w:val="single" w:sz="8" w:color="auto"/>
            </w:tcBorders>
            <w:gridSpan w:val="5"/>
          </w:tcPr>
          <w:p>
            <w:pPr>
              <w:jc w:val="center"/>
              <w:ind w:left="392"/>
              <w:spacing w:after="0"/>
              <w:rPr>
                <w:sz w:val="20"/>
                <w:szCs w:val="20"/>
                <w:color w:val="auto"/>
              </w:rPr>
            </w:pPr>
            <w:r>
              <w:rPr>
                <w:rFonts w:ascii="Arial" w:cs="Arial" w:eastAsia="Arial" w:hAnsi="Arial"/>
                <w:sz w:val="14"/>
                <w:szCs w:val="14"/>
                <w:b w:val="1"/>
                <w:bCs w:val="1"/>
                <w:color w:val="auto"/>
                <w:w w:val="87"/>
              </w:rPr>
              <w:t>at Close of Period</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Capitalized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Depreciable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8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Subsequent to</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61"/>
        </w:trPr>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Encumbrances</w:t>
            </w: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Land</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Land</w:t>
            </w: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Improvements</w:t>
            </w:r>
          </w:p>
        </w:tc>
        <w:tc>
          <w:tcPr>
            <w:tcW w:w="480" w:type="dxa"/>
            <w:vAlign w:val="bottom"/>
          </w:tcPr>
          <w:p>
            <w:pPr>
              <w:jc w:val="right"/>
              <w:ind w:right="112"/>
              <w:spacing w:after="0"/>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7"/>
              </w:rPr>
              <w:t>Depreciation</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Acquired</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Virginia</w:t>
            </w:r>
          </w:p>
        </w:tc>
        <w:tc>
          <w:tcPr>
            <w:tcW w:w="100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845</w:t>
            </w: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1,094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845</w:t>
            </w: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1,094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1,939</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160</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2004</w:t>
            </w: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Virginia</w:t>
            </w: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1,145</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2,029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Virginia</w:t>
            </w: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632</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1,119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Virginia</w:t>
            </w: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1,151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1,490</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1,151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2,641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Virginia</w:t>
            </w: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851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1,103</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851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1,954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Virginia</w:t>
            </w: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2,198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Virginia</w:t>
            </w: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716</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1,270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Washington</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Wisconsin</w:t>
            </w: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1,206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Wisconsin</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Wisconsin</w:t>
            </w: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702</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1,244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Wisconsin</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color w:val="auto"/>
              </w:rPr>
              <w:t>Wisconsin</w:t>
            </w:r>
          </w:p>
        </w:tc>
        <w:tc>
          <w:tcPr>
            <w:tcW w:w="6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640" w:type="dxa"/>
            <w:vAlign w:val="bottom"/>
          </w:tcPr>
          <w:p>
            <w:pPr>
              <w:jc w:val="right"/>
              <w:spacing w:after="0"/>
              <w:rPr>
                <w:sz w:val="20"/>
                <w:szCs w:val="20"/>
                <w:color w:val="auto"/>
              </w:rPr>
            </w:pPr>
            <w:r>
              <w:rPr>
                <w:rFonts w:ascii="Arial" w:cs="Arial" w:eastAsia="Arial" w:hAnsi="Arial"/>
                <w:sz w:val="14"/>
                <w:szCs w:val="14"/>
                <w:color w:val="auto"/>
              </w:rPr>
              <w:t>1,124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1,455</w:t>
            </w:r>
          </w:p>
        </w:tc>
        <w:tc>
          <w:tcPr>
            <w:tcW w:w="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1,124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2,579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Subtotal</w:t>
            </w:r>
          </w:p>
        </w:tc>
        <w:tc>
          <w:tcPr>
            <w:tcW w:w="6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137,323</w:t>
            </w:r>
          </w:p>
        </w:tc>
        <w:tc>
          <w:tcPr>
            <w:tcW w:w="8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258,145</w:t>
            </w:r>
          </w:p>
        </w:tc>
        <w:tc>
          <w:tcPr>
            <w:tcW w:w="8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87,729</w:t>
            </w:r>
          </w:p>
        </w:tc>
        <w:tc>
          <w:tcPr>
            <w:tcW w:w="8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137,306</w:t>
            </w:r>
          </w:p>
        </w:tc>
        <w:tc>
          <w:tcPr>
            <w:tcW w:w="8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345,891</w:t>
            </w: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483,197</w:t>
            </w: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41,487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RETAIL:</w:t>
            </w: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Alabama</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2,377</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3,978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Arizona</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21,122</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8,374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5,394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23,038</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8,223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36,806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3,275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8,449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3,284</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8,258</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3,274</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Arizona</w:t>
            </w:r>
          </w:p>
        </w:tc>
        <w:tc>
          <w:tcPr>
            <w:tcW w:w="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2,625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2,625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7,500</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8,160</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7,412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Arizona</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10,286</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6,232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9,271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3,470</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6,219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18,973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Colorado</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2,631</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5,195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2,607</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5,498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Florida</w:t>
            </w:r>
          </w:p>
        </w:tc>
        <w:tc>
          <w:tcPr>
            <w:tcW w:w="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3,230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6,865</w:t>
            </w: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(1,495)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2,752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5,848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8,600</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2008</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Florida</w:t>
            </w: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3,950</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10,285</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3,908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14,235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Hawaii</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21,306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21,306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24,699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Louisiana</w:t>
            </w:r>
          </w:p>
        </w:tc>
        <w:tc>
          <w:tcPr>
            <w:tcW w:w="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2,193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2,221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5,911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New</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w w:val="88"/>
              </w:rPr>
              <w:t>Hampshire</w:t>
            </w:r>
          </w:p>
        </w:tc>
        <w:tc>
          <w:tcPr>
            <w:tcW w:w="10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3,848</w:t>
            </w:r>
          </w:p>
        </w:tc>
        <w:tc>
          <w:tcPr>
            <w:tcW w:w="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3,909</w:t>
            </w:r>
          </w:p>
        </w:tc>
        <w:tc>
          <w:tcPr>
            <w:tcW w:w="10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(89)</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3,798</w:t>
            </w:r>
          </w:p>
        </w:tc>
        <w:tc>
          <w:tcPr>
            <w:tcW w:w="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3,870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7,668</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559</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2006</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w w:val="98"/>
              </w:rPr>
              <w:t>New Jersey</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10,316</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18,003</w:t>
            </w: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17,984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New Mexico</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1,733</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8,370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8,398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w w:val="94"/>
              </w:rPr>
              <w:t>New Mexico</w:t>
            </w:r>
          </w:p>
        </w:tc>
        <w:tc>
          <w:tcPr>
            <w:tcW w:w="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422</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2,083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New Mexico</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8,528</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12,684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New York</w:t>
            </w:r>
          </w:p>
        </w:tc>
        <w:tc>
          <w:tcPr>
            <w:tcW w:w="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1,043</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1,043</w:t>
            </w:r>
          </w:p>
        </w:tc>
        <w:tc>
          <w:tcPr>
            <w:tcW w:w="80" w:type="dxa"/>
            <w:vAlign w:val="bottom"/>
          </w:tcPr>
          <w:p>
            <w:pPr>
              <w:spacing w:after="0"/>
              <w:rPr>
                <w:sz w:val="12"/>
                <w:szCs w:val="12"/>
                <w:color w:val="auto"/>
              </w:rPr>
            </w:pPr>
          </w:p>
        </w:tc>
        <w:tc>
          <w:tcPr>
            <w:tcW w:w="11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1,043</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York</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6,792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792</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New York</w:t>
            </w:r>
          </w:p>
        </w:tc>
        <w:tc>
          <w:tcPr>
            <w:tcW w:w="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1,760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3,740</w:t>
            </w: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1,472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4,600</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York</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1,506</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New York</w:t>
            </w:r>
          </w:p>
        </w:tc>
        <w:tc>
          <w:tcPr>
            <w:tcW w:w="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618</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South</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Carolina</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2,126</w:t>
            </w:r>
          </w:p>
        </w:tc>
        <w:tc>
          <w:tcPr>
            <w:tcW w:w="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948</w:t>
            </w:r>
          </w:p>
        </w:tc>
        <w:tc>
          <w:tcPr>
            <w:tcW w:w="10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(790)</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1,337</w:t>
            </w:r>
          </w:p>
        </w:tc>
        <w:tc>
          <w:tcPr>
            <w:tcW w:w="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947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2,284</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63</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2007</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Texas</w:t>
            </w: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3,538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4,215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3,514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7,924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Utah</w:t>
            </w: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3,502</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5,975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5,975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9,477</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60" w:type="dxa"/>
            <w:vAlign w:val="bottom"/>
            <w:gridSpan w:val="3"/>
            <w:vMerge w:val="restart"/>
          </w:tcPr>
          <w:p>
            <w:pPr>
              <w:spacing w:after="0"/>
              <w:rPr>
                <w:sz w:val="20"/>
                <w:szCs w:val="20"/>
                <w:color w:val="auto"/>
              </w:rPr>
            </w:pPr>
            <w:r>
              <w:rPr>
                <w:rFonts w:ascii="Arial" w:cs="Arial" w:eastAsia="Arial" w:hAnsi="Arial"/>
                <w:sz w:val="14"/>
                <w:szCs w:val="14"/>
                <w:color w:val="auto"/>
              </w:rPr>
              <w:t>Subtotal</w:t>
            </w: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50,173</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68,206</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124,443</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53,307</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66,162</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179,794</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245,956</w:t>
            </w: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14,318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HOTEL:</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10,302</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1,281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9,809</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1,281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11,090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3,292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8,549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4,394</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27,030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4,394</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27,030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31,424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9,327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color w:val="auto"/>
              </w:rPr>
              <w:t>California</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5,585</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3,308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20,623</w:t>
            </w:r>
          </w:p>
        </w:tc>
        <w:tc>
          <w:tcPr>
            <w:tcW w:w="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3,308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20,623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23,931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7,104</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1998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As of December 31, 2009</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3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22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Gross Amount Carried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4"/>
          </w:tcPr>
          <w:p>
            <w:pPr>
              <w:jc w:val="right"/>
              <w:ind w:right="12"/>
              <w:spacing w:after="0" w:line="135" w:lineRule="exact"/>
              <w:rPr>
                <w:sz w:val="20"/>
                <w:szCs w:val="20"/>
                <w:color w:val="auto"/>
              </w:rPr>
            </w:pPr>
            <w:r>
              <w:rPr>
                <w:rFonts w:ascii="Arial" w:cs="Arial" w:eastAsia="Arial" w:hAnsi="Arial"/>
                <w:sz w:val="14"/>
                <w:szCs w:val="14"/>
                <w:b w:val="1"/>
                <w:bCs w:val="1"/>
                <w:color w:val="auto"/>
                <w:w w:val="92"/>
              </w:rPr>
              <w:t>Initial Cost to Company</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gridSpan w:val="6"/>
          </w:tcPr>
          <w:p>
            <w:pPr>
              <w:jc w:val="center"/>
              <w:spacing w:after="0" w:line="135" w:lineRule="exact"/>
              <w:rPr>
                <w:sz w:val="20"/>
                <w:szCs w:val="20"/>
                <w:color w:val="auto"/>
              </w:rPr>
            </w:pPr>
            <w:r>
              <w:rPr>
                <w:rFonts w:ascii="Arial" w:cs="Arial" w:eastAsia="Arial" w:hAnsi="Arial"/>
                <w:sz w:val="14"/>
                <w:szCs w:val="14"/>
                <w:b w:val="1"/>
                <w:bCs w:val="1"/>
                <w:color w:val="auto"/>
                <w:w w:val="87"/>
              </w:rPr>
              <w:t>at Close of Period</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780" w:type="dxa"/>
            <w:vAlign w:val="bottom"/>
            <w:gridSpan w:val="3"/>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Capitalized</w:t>
            </w:r>
          </w:p>
        </w:tc>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Subsequent</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Date</w:t>
            </w:r>
          </w:p>
        </w:tc>
        <w:tc>
          <w:tcPr>
            <w:tcW w:w="6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161"/>
        </w:trPr>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1"/>
              </w:rPr>
              <w:t>Encumbrances</w:t>
            </w: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Land</w:t>
            </w:r>
          </w:p>
        </w:tc>
        <w:tc>
          <w:tcPr>
            <w:tcW w:w="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Improvements</w:t>
            </w:r>
          </w:p>
        </w:tc>
        <w:tc>
          <w:tcPr>
            <w:tcW w:w="6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Acquisition</w:t>
            </w:r>
          </w:p>
        </w:tc>
        <w:tc>
          <w:tcPr>
            <w:tcW w:w="20" w:type="dxa"/>
            <w:vAlign w:val="bottom"/>
          </w:tcPr>
          <w:p>
            <w:pPr>
              <w:spacing w:after="0"/>
              <w:rPr>
                <w:sz w:val="14"/>
                <w:szCs w:val="14"/>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Land</w:t>
            </w:r>
          </w:p>
        </w:tc>
        <w:tc>
          <w:tcPr>
            <w:tcW w:w="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Improvements</w:t>
            </w:r>
          </w:p>
        </w:tc>
        <w:tc>
          <w:tcPr>
            <w:tcW w:w="60" w:type="dxa"/>
            <w:vAlign w:val="bottom"/>
          </w:tcPr>
          <w:p>
            <w:pPr>
              <w:spacing w:after="0"/>
              <w:rPr>
                <w:sz w:val="14"/>
                <w:szCs w:val="14"/>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Depreciation</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Acquired</w:t>
            </w:r>
          </w:p>
        </w:tc>
        <w:tc>
          <w:tcPr>
            <w:tcW w:w="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Colorado</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6,557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1,242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7,865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1,242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7,865</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9,107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2,702</w:t>
            </w: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1998</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Hawaii</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4,567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39,815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39,815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44,382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Hawaii</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Idaho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3,081</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6,405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6,405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7,373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2,190</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Montana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Oregon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1,380</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2,043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2,043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Oregon</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Oregon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902</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3,049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3,049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1,026</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Oregon</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3,182</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Oregon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4,406</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609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4,668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4,668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5,277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1,567</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Oregon</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3,308</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Utah</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20,476</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5,620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32,695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5,620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32,695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38,315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11,374</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2,745</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4,281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Washington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4,466</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3,981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3,981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4,488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1,332</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4,338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Washington</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34,312</w:t>
            </w:r>
          </w:p>
        </w:tc>
        <w:tc>
          <w:tcPr>
            <w:tcW w:w="6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5,101</w:t>
            </w: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32,080</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5,101</w:t>
            </w: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32,080</w:t>
            </w:r>
          </w:p>
        </w:tc>
        <w:tc>
          <w:tcPr>
            <w:tcW w:w="6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37,181</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11,038</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1998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Subtotal</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114,277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33,645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219,966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33,645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219,966</w:t>
            </w:r>
          </w:p>
        </w:tc>
        <w:tc>
          <w:tcPr>
            <w:tcW w:w="7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253,611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58,157</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CONDOMINIUM:</w:t>
            </w: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1,626</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11,174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1,626</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11,174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10,078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40,312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(20,990)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23,520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109,209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14,191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109,209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123,400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4,190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1,654</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2008</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24,206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2,394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24,206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Hawaii</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4,430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18,170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18,170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Hawaii</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Idaho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2,275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15,925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15,925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Nevada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18,117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106,829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(22,906)</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14,796</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87,244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102,040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New Jersey</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28,053</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36,405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64,720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(5,684)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34,359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61,082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95,441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York</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114,400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Washington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2,342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44,478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(4,319)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2,126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40,375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42,501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1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Subtotal</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28,053</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95,807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563,030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(56,717)</w:t>
            </w:r>
          </w:p>
        </w:tc>
        <w:tc>
          <w:tcPr>
            <w:tcW w:w="6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85,744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516,376</w:t>
            </w:r>
          </w:p>
        </w:tc>
        <w:tc>
          <w:tcPr>
            <w:tcW w:w="7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602,120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MULTIFAMILY:</w:t>
            </w: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29,333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7,333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29,333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36,666</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1,950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8,050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Georgia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Nevada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5,114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13,486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5,114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13,486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South Carolina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3,666</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15,134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140" w:type="dxa"/>
            <w:vAlign w:val="bottom"/>
            <w:gridSpan w:val="3"/>
            <w:vMerge w:val="restart"/>
          </w:tcPr>
          <w:p>
            <w:pPr>
              <w:spacing w:after="0"/>
              <w:rPr>
                <w:sz w:val="20"/>
                <w:szCs w:val="20"/>
                <w:color w:val="auto"/>
              </w:rPr>
            </w:pPr>
            <w:r>
              <w:rPr>
                <w:rFonts w:ascii="Arial" w:cs="Arial" w:eastAsia="Arial" w:hAnsi="Arial"/>
                <w:sz w:val="14"/>
                <w:szCs w:val="14"/>
                <w:color w:val="auto"/>
              </w:rPr>
              <w:t>Subtotal</w:t>
            </w: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20,877</w:t>
            </w: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70,389</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19,353</w:t>
            </w: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67,713</w:t>
            </w:r>
          </w:p>
        </w:tc>
        <w:tc>
          <w:tcPr>
            <w:tcW w:w="6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87,066</w:t>
            </w: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Total</w:t>
            </w:r>
          </w:p>
        </w:tc>
        <w:tc>
          <w:tcPr>
            <w:tcW w:w="22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1,323,117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w w:val="85"/>
              </w:rPr>
              <w:t>$1,230,843</w:t>
            </w:r>
          </w:p>
        </w:tc>
        <w:tc>
          <w:tcPr>
            <w:tcW w:w="24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3,251,514</w:t>
            </w:r>
          </w:p>
        </w:tc>
        <w:tc>
          <w:tcPr>
            <w:tcW w:w="200" w:type="dxa"/>
            <w:vAlign w:val="bottom"/>
            <w:gridSpan w:val="2"/>
            <w:shd w:val="clear" w:color="auto" w:fill="CCEEFF"/>
          </w:tcPr>
          <w:p>
            <w:pPr>
              <w:jc w:val="right"/>
              <w:ind w:right="12"/>
              <w:spacing w:after="0" w:line="144"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207,739</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w w:val="83"/>
              </w:rPr>
              <w:t>$ 1,194,288</w:t>
            </w:r>
          </w:p>
        </w:tc>
        <w:tc>
          <w:tcPr>
            <w:tcW w:w="240" w:type="dxa"/>
            <w:vAlign w:val="bottom"/>
            <w:gridSpan w:val="2"/>
            <w:shd w:val="clear" w:color="auto" w:fill="CCEEFF"/>
          </w:tcPr>
          <w:p>
            <w:pPr>
              <w:jc w:val="right"/>
              <w:ind w:right="72"/>
              <w:spacing w:after="0" w:line="144"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3,495,808</w:t>
            </w:r>
          </w:p>
        </w:tc>
        <w:tc>
          <w:tcPr>
            <w:tcW w:w="7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w w:val="89"/>
              </w:rPr>
              <w:t>$ 4,690,096</w:t>
            </w:r>
          </w:p>
        </w:tc>
        <w:tc>
          <w:tcPr>
            <w:tcW w:w="28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525,113</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4490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tabs>
          <w:tab w:leader="none" w:pos="16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Consists of properties with a total net book value of $1.31 billion that are pledged as collateral under the Company's secured indebtedness.</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Schedule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Reconciliation of Real Estate: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Real Estate from January 1, 2007 to December 31,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3,498,067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3,726,882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3,432,954</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Improvements and additions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172,520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565,528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Acquisitions through foreclosure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1,340,255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Dispositions</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(71,843)</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(401,335)</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(271,600)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(105,528)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vMerge w:val="restart"/>
          </w:tcPr>
          <w:p>
            <w:pPr>
              <w:spacing w:after="0"/>
              <w:rPr>
                <w:sz w:val="20"/>
                <w:szCs w:val="20"/>
                <w:color w:val="auto"/>
              </w:rPr>
            </w:pPr>
            <w:r>
              <w:rPr>
                <w:rFonts w:ascii="Arial" w:cs="Arial" w:eastAsia="Arial" w:hAnsi="Arial"/>
                <w:sz w:val="18"/>
                <w:szCs w:val="18"/>
                <w:color w:val="auto"/>
              </w:rPr>
              <w:t>Balance at December 31</w:t>
            </w: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4,690,096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3,498,067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3,726,882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Reconciliation of Accumulated Depreciation: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Accumulated Depreciation from January 1, 2007 to December 31,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(453,256)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(417,015)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(348,160)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Additions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(82,082)</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(76,967)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(76,556)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10,225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December 31</w:t>
            </w:r>
          </w:p>
        </w:tc>
        <w:tc>
          <w:tcPr>
            <w:tcW w:w="146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(525,113)</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(453,256)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(417,015)</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00" w:type="dxa"/>
            <w:vAlign w:val="bottom"/>
            <w:vMerge w:val="restart"/>
          </w:tcPr>
          <w:p>
            <w:pPr>
              <w:jc w:val="right"/>
              <w:ind w:right="172"/>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IV—Mortgage Loans on Real Estate</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of December 31, 2009</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Face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Effective</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Periodic</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Accrual</w:t>
            </w: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Payment</w:t>
            </w: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Payment</w:t>
            </w:r>
          </w:p>
        </w:tc>
        <w:tc>
          <w:tcPr>
            <w:tcW w:w="80" w:type="dxa"/>
            <w:vAlign w:val="bottom"/>
          </w:tcPr>
          <w:p>
            <w:pPr>
              <w:spacing w:after="0"/>
              <w:rPr>
                <w:sz w:val="12"/>
                <w:szCs w:val="12"/>
                <w:color w:val="auto"/>
              </w:rPr>
            </w:pPr>
          </w:p>
        </w:tc>
        <w:tc>
          <w:tcPr>
            <w:tcW w:w="3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Mortgages(1)</w:t>
            </w:r>
          </w:p>
        </w:tc>
        <w:tc>
          <w:tcPr>
            <w:tcW w:w="0" w:type="dxa"/>
            <w:vAlign w:val="bottom"/>
          </w:tcPr>
          <w:p>
            <w:pPr>
              <w:spacing w:after="0"/>
              <w:rPr>
                <w:sz w:val="1"/>
                <w:szCs w:val="1"/>
                <w:color w:val="auto"/>
              </w:rPr>
            </w:pPr>
          </w:p>
        </w:tc>
      </w:tr>
      <w:tr>
        <w:trPr>
          <w:trHeight w:val="161"/>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w w:val="95"/>
              </w:rPr>
              <w:t>Type of Loan/Borrower</w:t>
            </w:r>
          </w:p>
        </w:tc>
        <w:tc>
          <w:tcPr>
            <w:tcW w:w="2220" w:type="dxa"/>
            <w:vAlign w:val="bottom"/>
            <w:gridSpan w:val="2"/>
          </w:tcPr>
          <w:p>
            <w:pPr>
              <w:ind w:left="120"/>
              <w:spacing w:after="0"/>
              <w:rPr>
                <w:sz w:val="20"/>
                <w:szCs w:val="20"/>
                <w:color w:val="auto"/>
              </w:rPr>
            </w:pPr>
            <w:r>
              <w:rPr>
                <w:rFonts w:ascii="Arial" w:cs="Arial" w:eastAsia="Arial" w:hAnsi="Arial"/>
                <w:sz w:val="14"/>
                <w:szCs w:val="14"/>
                <w:b w:val="1"/>
                <w:bCs w:val="1"/>
                <w:color w:val="auto"/>
              </w:rPr>
              <w:t>Underlying Property Type</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Rates</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Rates</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Dates</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Terms</w:t>
            </w:r>
          </w:p>
        </w:tc>
        <w:tc>
          <w:tcPr>
            <w:tcW w:w="8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w w:val="92"/>
              </w:rPr>
              <w:t>Liens</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Mortgages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Senior Mortgages: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Senior mortgages</w:t>
            </w: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individually &lt;3%</w:t>
            </w:r>
          </w:p>
        </w:tc>
        <w:tc>
          <w:tcPr>
            <w:tcW w:w="22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4"/>
              </w:rPr>
              <w:t>Apartment, Residential/Retail/Land/</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2"/>
              </w:rPr>
              <w:t>Fixed: 4.25% to</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Fixed: 5% to</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2010 to</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9"/>
              </w:rPr>
              <w:t>Industrial, R&amp;D/Mixed Use, Mixed</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 Variable:</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 Variable:</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9"/>
              </w:rPr>
              <w:t>Collateral/Office/Hotel/Entertainment,</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5"/>
              </w:rPr>
              <w:t>LIBOR + 2% to</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3"/>
              </w:rPr>
              <w:t>LIBOR + 2% to</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color w:val="auto"/>
              </w:rPr>
              <w:t>Leisure/Other</w:t>
            </w:r>
          </w:p>
        </w:tc>
        <w:tc>
          <w:tcPr>
            <w:tcW w:w="980" w:type="dxa"/>
            <w:vAlign w:val="bottom"/>
            <w:gridSpan w:val="2"/>
          </w:tcPr>
          <w:p>
            <w:pPr>
              <w:ind w:left="60"/>
              <w:spacing w:after="0"/>
              <w:rPr>
                <w:sz w:val="20"/>
                <w:szCs w:val="20"/>
                <w:color w:val="auto"/>
              </w:rPr>
            </w:pPr>
            <w:r>
              <w:rPr>
                <w:rFonts w:ascii="Arial" w:cs="Arial" w:eastAsia="Arial" w:hAnsi="Arial"/>
                <w:sz w:val="14"/>
                <w:szCs w:val="14"/>
                <w:color w:val="auto"/>
                <w:w w:val="92"/>
              </w:rPr>
              <w:t>LIBOR + 8.75%</w:t>
            </w:r>
          </w:p>
        </w:tc>
        <w:tc>
          <w:tcPr>
            <w:tcW w:w="960" w:type="dxa"/>
            <w:vAlign w:val="bottom"/>
            <w:gridSpan w:val="2"/>
          </w:tcPr>
          <w:p>
            <w:pPr>
              <w:ind w:left="60"/>
              <w:spacing w:after="0"/>
              <w:rPr>
                <w:sz w:val="20"/>
                <w:szCs w:val="20"/>
                <w:color w:val="auto"/>
              </w:rPr>
            </w:pPr>
            <w:r>
              <w:rPr>
                <w:rFonts w:ascii="Arial" w:cs="Arial" w:eastAsia="Arial" w:hAnsi="Arial"/>
                <w:sz w:val="14"/>
                <w:szCs w:val="14"/>
                <w:color w:val="auto"/>
                <w:w w:val="90"/>
              </w:rPr>
              <w:t>LIBOR + 8.75%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7"/>
              </w:rPr>
              <w:t>$ 7,447,826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7,367,747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7,447,826</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7,367,747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7"/>
              </w:rPr>
              <w:t>Subordinate Mortgages:</w:t>
            </w: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6"/>
              </w:rPr>
              <w:t>Subordinate mortgages</w:t>
            </w:r>
          </w:p>
        </w:tc>
        <w:tc>
          <w:tcPr>
            <w:tcW w:w="1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5"/>
              </w:rPr>
              <w:t>individually &lt;3%</w:t>
            </w:r>
          </w:p>
        </w:tc>
        <w:tc>
          <w:tcPr>
            <w:tcW w:w="2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Apartment, Residential/Retail/Land/</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2"/>
              </w:rPr>
              <w:t>Fixed: 7.32% to</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Fixed: 7.32% to</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 to</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Mixed Use, Mixed</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15% Variable:</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10.5% Variable:</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9"/>
              </w:rPr>
              <w:t>Collateral/Office/Hotel/Entertainment,</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2"/>
              </w:rPr>
              <w:t>LIBOR + 2.85%</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LIBOR + 2.85%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Leisure/Other</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to</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to</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w w:val="92"/>
              </w:rPr>
              <w:t>LIBOR + 11.5%</w:t>
            </w:r>
          </w:p>
        </w:tc>
        <w:tc>
          <w:tcPr>
            <w:tcW w:w="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w w:val="90"/>
              </w:rPr>
              <w:t>LIBOR + 11.5%</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492,230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491,330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492,230</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491,330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mortgages</w:t>
            </w:r>
          </w:p>
        </w:tc>
        <w:tc>
          <w:tcPr>
            <w:tcW w:w="1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$ 7,940,056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7,859,077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2522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1680" w:hanging="531"/>
        <w:spacing w:after="0" w:line="233" w:lineRule="auto"/>
        <w:tabs>
          <w:tab w:leader="none" w:pos="16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carrying value of impaired loans was $4.20 billion as of December 31, 2009 and includes all loans with interest more than 90 days delinquent. As of December 31, 2009, the Company assessed each of the impaired loans for specific impairment and determined that impaired loans with a carrying value of $3.38 billion required specific reserves totaling $1.24 billion and that the remaining impaired loans did not require any specific reserves.</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carrying value amounts approximated the federal income tax basis.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Notes to Schedule IV</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Reconciliation of Mortgage Loans on Real Estate: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Mortgage Loans on Real Estate from January 1, 2007 to December 31, 2009: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9,850,838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9,006,510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4,614,124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Additions: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mortgage loans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3,578,898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Additions under existing mortgage loans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1,212,299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3,097,205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2,829,902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Deductions: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Collections of principal</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(1,329,083)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(1,847,603)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(1,878,385)</w:t>
            </w: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Charge-offs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(680,415)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(223,538)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(19,291)</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Transfers to Corporate tenant lease assets, net, REHI, net and OREO</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(1,300,058)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(314,271)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(286,485)</w:t>
            </w:r>
          </w:p>
        </w:tc>
      </w:tr>
      <w:tr>
        <w:trPr>
          <w:trHeight w:val="222"/>
        </w:trPr>
        <w:tc>
          <w:tcPr>
            <w:tcW w:w="20" w:type="dxa"/>
            <w:vAlign w:val="bottom"/>
          </w:tcPr>
          <w:p>
            <w:pPr>
              <w:spacing w:after="0"/>
              <w:rPr>
                <w:sz w:val="19"/>
                <w:szCs w:val="19"/>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Amortization of premium</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(2,426)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7,859,077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9,850,838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9,006,510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tabs>
          <w:tab w:leader="none" w:pos="1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Amount includes amortization of discount, deferred interest capitalized and mark-to-market adjustments resulting from changes in foreign exchange rates.</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Registered Public Accounting Firm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jc w:val="both"/>
        <w:ind w:firstLine="384"/>
        <w:spacing w:after="0" w:line="254" w:lineRule="auto"/>
        <w:rPr>
          <w:sz w:val="20"/>
          <w:szCs w:val="20"/>
          <w:color w:val="auto"/>
        </w:rPr>
      </w:pPr>
      <w:r>
        <w:rPr>
          <w:rFonts w:ascii="Arial" w:cs="Arial" w:eastAsia="Arial" w:hAnsi="Arial"/>
          <w:sz w:val="18"/>
          <w:szCs w:val="18"/>
          <w:b w:val="1"/>
          <w:bCs w:val="1"/>
          <w:color w:val="auto"/>
        </w:rPr>
        <w:t>Evaluation of Disclosure Controls and Procedures</w:t>
      </w:r>
      <w:r>
        <w:rPr>
          <w:rFonts w:ascii="Arial" w:cs="Arial" w:eastAsia="Arial" w:hAnsi="Arial"/>
          <w:sz w:val="18"/>
          <w:szCs w:val="18"/>
          <w:color w:val="auto"/>
        </w:rPr>
        <w:t>—The Company has established and maintains disclosure controls and procedures that are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 The Chief Financial Officer is currently a member of the disclosure committee.</w:t>
      </w:r>
    </w:p>
    <w:p>
      <w:pPr>
        <w:spacing w:after="0" w:line="201"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auto"/>
        </w:rPr>
        <w:t>Based upon their evaluation as of December 31, 2009, the Chief Executive Officer and Chief Financial Officer concluded that the Company's disclosure controls and procedures (as such term is defined in Rules 13a-15(e) under the Securities and Exchange Act of 1934, as amended (the "Exchange Act")) are effective.</w:t>
      </w:r>
    </w:p>
    <w:p>
      <w:pPr>
        <w:spacing w:after="0" w:line="188" w:lineRule="exact"/>
        <w:rPr>
          <w:sz w:val="20"/>
          <w:szCs w:val="20"/>
          <w:color w:val="auto"/>
        </w:rPr>
      </w:pPr>
    </w:p>
    <w:p>
      <w:pPr>
        <w:jc w:val="both"/>
        <w:ind w:firstLine="430"/>
        <w:spacing w:after="0" w:line="256" w:lineRule="auto"/>
        <w:rPr>
          <w:sz w:val="20"/>
          <w:szCs w:val="20"/>
          <w:color w:val="auto"/>
        </w:rPr>
      </w:pPr>
      <w:r>
        <w:rPr>
          <w:rFonts w:ascii="Arial" w:cs="Arial" w:eastAsia="Arial" w:hAnsi="Arial"/>
          <w:sz w:val="18"/>
          <w:szCs w:val="18"/>
          <w:b w:val="1"/>
          <w:bCs w:val="1"/>
          <w:color w:val="auto"/>
        </w:rPr>
        <w:t>Management's Report on Internal Control Over Financial Reporting</w:t>
      </w:r>
      <w:r>
        <w:rPr>
          <w:rFonts w:ascii="Arial" w:cs="Arial" w:eastAsia="Arial" w:hAnsi="Arial"/>
          <w:sz w:val="18"/>
          <w:szCs w:val="18"/>
          <w:color w:val="auto"/>
        </w:rPr>
        <w:t>—Management is responsible for establishing and maintaining adequate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control over financial reporting, as defined in Exchange Act Rule 13a-15(f). Under the supervision and with the participation of the disclosure committee and other members of management, including the Chief Executive Officer and Chief Financial Officer, management carried out its evaluation of the effectiveness of the Company's internal control over financial reporting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w:t>
      </w:r>
    </w:p>
    <w:p>
      <w:pPr>
        <w:spacing w:after="0" w:line="199" w:lineRule="exact"/>
        <w:rPr>
          <w:sz w:val="20"/>
          <w:szCs w:val="20"/>
          <w:color w:val="auto"/>
        </w:rPr>
      </w:pPr>
    </w:p>
    <w:p>
      <w:pPr>
        <w:jc w:val="both"/>
        <w:ind w:right="20" w:firstLine="425"/>
        <w:spacing w:after="0" w:line="268" w:lineRule="auto"/>
        <w:rPr>
          <w:sz w:val="20"/>
          <w:szCs w:val="20"/>
          <w:color w:val="auto"/>
        </w:rPr>
      </w:pPr>
      <w:r>
        <w:rPr>
          <w:rFonts w:ascii="Arial" w:cs="Arial" w:eastAsia="Arial" w:hAnsi="Arial"/>
          <w:sz w:val="18"/>
          <w:szCs w:val="18"/>
          <w:color w:val="auto"/>
        </w:rPr>
        <w:t xml:space="preserve">Based on management's assessment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management has concluded that its internal control over financial reporting was effective as of December 31, 2009.</w:t>
      </w:r>
    </w:p>
    <w:p>
      <w:pPr>
        <w:spacing w:after="0" w:line="186" w:lineRule="exact"/>
        <w:rPr>
          <w:sz w:val="20"/>
          <w:szCs w:val="20"/>
          <w:color w:val="auto"/>
        </w:rPr>
      </w:pPr>
    </w:p>
    <w:p>
      <w:pPr>
        <w:jc w:val="both"/>
        <w:ind w:right="20" w:firstLine="516"/>
        <w:spacing w:after="0" w:line="268" w:lineRule="auto"/>
        <w:rPr>
          <w:sz w:val="20"/>
          <w:szCs w:val="20"/>
          <w:color w:val="auto"/>
        </w:rPr>
      </w:pPr>
      <w:r>
        <w:rPr>
          <w:rFonts w:ascii="Arial" w:cs="Arial" w:eastAsia="Arial" w:hAnsi="Arial"/>
          <w:sz w:val="18"/>
          <w:szCs w:val="18"/>
          <w:color w:val="auto"/>
        </w:rPr>
        <w:t>The Company's internal control over financial reporting as of December 31, 2009, has been audited by PricewaterhouseCoopers LLP, an independent registered public accounting firm, as stated in their report which appears on page 54.</w:t>
      </w:r>
    </w:p>
    <w:p>
      <w:pPr>
        <w:spacing w:after="0" w:line="180" w:lineRule="exact"/>
        <w:rPr>
          <w:sz w:val="20"/>
          <w:szCs w:val="20"/>
          <w:color w:val="auto"/>
        </w:rPr>
      </w:pPr>
    </w:p>
    <w:p>
      <w:pPr>
        <w:jc w:val="both"/>
        <w:ind w:firstLine="421"/>
        <w:spacing w:after="0" w:line="262" w:lineRule="auto"/>
        <w:rPr>
          <w:sz w:val="20"/>
          <w:szCs w:val="20"/>
          <w:color w:val="auto"/>
        </w:rPr>
      </w:pPr>
      <w:r>
        <w:rPr>
          <w:rFonts w:ascii="Arial" w:cs="Arial" w:eastAsia="Arial" w:hAnsi="Arial"/>
          <w:sz w:val="18"/>
          <w:szCs w:val="18"/>
          <w:b w:val="1"/>
          <w:bCs w:val="1"/>
          <w:color w:val="auto"/>
        </w:rPr>
        <w:t>Changes in Internal Controls Over Financial Reporting</w:t>
      </w:r>
      <w:r>
        <w:rPr>
          <w:rFonts w:ascii="Arial" w:cs="Arial" w:eastAsia="Arial" w:hAnsi="Arial"/>
          <w:sz w:val="18"/>
          <w:szCs w:val="18"/>
          <w:color w:val="auto"/>
        </w:rPr>
        <w:t>—There have been no changes during the last fiscal quarter in the Company's internal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in connection with the evaluation required by paragraph (d) of Exchange Act Rules 13a-15 or 15d-15 that have materially affected, or are reasonably likely to materially affect, the Company's internal control over financial reporting.</w:t>
      </w:r>
    </w:p>
    <w:p>
      <w:pPr>
        <w:spacing w:after="0" w:line="1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 of the Registrant</w:t>
      </w:r>
    </w:p>
    <w:p>
      <w:pPr>
        <w:spacing w:after="0" w:line="231" w:lineRule="exact"/>
        <w:rPr>
          <w:sz w:val="20"/>
          <w:szCs w:val="20"/>
          <w:color w:val="auto"/>
        </w:rPr>
      </w:pPr>
    </w:p>
    <w:p>
      <w:pPr>
        <w:ind w:firstLine="544"/>
        <w:spacing w:after="0" w:line="268" w:lineRule="auto"/>
        <w:rPr>
          <w:sz w:val="20"/>
          <w:szCs w:val="20"/>
          <w:color w:val="auto"/>
        </w:rPr>
      </w:pPr>
      <w:r>
        <w:rPr>
          <w:rFonts w:ascii="Arial" w:cs="Arial" w:eastAsia="Arial" w:hAnsi="Arial"/>
          <w:sz w:val="18"/>
          <w:szCs w:val="18"/>
          <w:color w:val="auto"/>
        </w:rPr>
        <w:t>Portions of the Company's definitive proxy statement for the 2010 annual meeting of shareholders to be filed within 120 days after the close of the Company's fiscal year are incorporated herein by reference.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firstLine="544"/>
        <w:spacing w:after="0" w:line="268" w:lineRule="auto"/>
        <w:rPr>
          <w:sz w:val="20"/>
          <w:szCs w:val="20"/>
          <w:color w:val="auto"/>
        </w:rPr>
      </w:pPr>
      <w:r>
        <w:rPr>
          <w:rFonts w:ascii="Arial" w:cs="Arial" w:eastAsia="Arial" w:hAnsi="Arial"/>
          <w:sz w:val="18"/>
          <w:szCs w:val="18"/>
          <w:color w:val="auto"/>
        </w:rPr>
        <w:t>Portions of the Company's definitive proxy statement for the 2010 annual meeting of shareholders to be filed within 120 days after the close of the Company's fiscal year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firstLine="544"/>
        <w:spacing w:after="0" w:line="268" w:lineRule="auto"/>
        <w:rPr>
          <w:sz w:val="20"/>
          <w:szCs w:val="20"/>
          <w:color w:val="auto"/>
        </w:rPr>
      </w:pPr>
      <w:r>
        <w:rPr>
          <w:rFonts w:ascii="Arial" w:cs="Arial" w:eastAsia="Arial" w:hAnsi="Arial"/>
          <w:sz w:val="18"/>
          <w:szCs w:val="18"/>
          <w:color w:val="auto"/>
        </w:rPr>
        <w:t>Portions of the Company's definitive proxy statement for the 2010 annual meeting of shareholders to be filed within 120 days after the close of the Company's fiscal year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Related Transactions and Director Independence</w:t>
      </w:r>
    </w:p>
    <w:p>
      <w:pPr>
        <w:spacing w:after="0" w:line="231" w:lineRule="exact"/>
        <w:rPr>
          <w:sz w:val="20"/>
          <w:szCs w:val="20"/>
          <w:color w:val="auto"/>
        </w:rPr>
      </w:pPr>
    </w:p>
    <w:p>
      <w:pPr>
        <w:ind w:firstLine="544"/>
        <w:spacing w:after="0" w:line="268" w:lineRule="auto"/>
        <w:rPr>
          <w:sz w:val="20"/>
          <w:szCs w:val="20"/>
          <w:color w:val="auto"/>
        </w:rPr>
      </w:pPr>
      <w:r>
        <w:rPr>
          <w:rFonts w:ascii="Arial" w:cs="Arial" w:eastAsia="Arial" w:hAnsi="Arial"/>
          <w:sz w:val="18"/>
          <w:szCs w:val="18"/>
          <w:color w:val="auto"/>
        </w:rPr>
        <w:t>Portions of the Company's definitive proxy statement for the 2010 annual meeting of shareholders to be filed within 120 days after the close of the Company's fiscal year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Registered Public Accounting Firm Fees and Services</w:t>
      </w:r>
    </w:p>
    <w:p>
      <w:pPr>
        <w:spacing w:after="0" w:line="231" w:lineRule="exact"/>
        <w:rPr>
          <w:sz w:val="20"/>
          <w:szCs w:val="20"/>
          <w:color w:val="auto"/>
        </w:rPr>
      </w:pPr>
    </w:p>
    <w:p>
      <w:pPr>
        <w:ind w:firstLine="544"/>
        <w:spacing w:after="0" w:line="268" w:lineRule="auto"/>
        <w:rPr>
          <w:sz w:val="20"/>
          <w:szCs w:val="20"/>
          <w:color w:val="auto"/>
        </w:rPr>
      </w:pPr>
      <w:r>
        <w:rPr>
          <w:rFonts w:ascii="Arial" w:cs="Arial" w:eastAsia="Arial" w:hAnsi="Arial"/>
          <w:sz w:val="18"/>
          <w:szCs w:val="18"/>
          <w:color w:val="auto"/>
        </w:rPr>
        <w:t>Portions of the Company's definitive proxy statement for the 2010 annual meeting of shareholders to be filed within 120 days after the close of the Company's fiscal year are incorporated herein by reference.</w:t>
      </w:r>
    </w:p>
    <w:p>
      <w:pPr>
        <w:spacing w:after="0" w:line="39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 and Reports on Form 8-K</w:t>
      </w:r>
    </w:p>
    <w:p>
      <w:pPr>
        <w:spacing w:after="0" w:line="245"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and (c) Financial statements and schedules—see Index to Financial Statements and Schedules included in Item 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Exhibits—see index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gridSpan w:val="2"/>
          </w:tcPr>
          <w:p>
            <w:pPr>
              <w:ind w:left="2860"/>
              <w:spacing w:after="0"/>
              <w:rPr>
                <w:sz w:val="20"/>
                <w:szCs w:val="20"/>
                <w:color w:val="auto"/>
              </w:rPr>
            </w:pPr>
            <w:r>
              <w:rPr>
                <w:rFonts w:ascii="Arial" w:cs="Arial" w:eastAsia="Arial" w:hAnsi="Arial"/>
                <w:sz w:val="18"/>
                <w:szCs w:val="18"/>
                <w:b w:val="1"/>
                <w:bCs w:val="1"/>
                <w:color w:val="auto"/>
              </w:rPr>
              <w:t>INDEX TO EXHIBITS</w:t>
            </w:r>
          </w:p>
        </w:tc>
      </w:tr>
      <w:tr>
        <w:trPr>
          <w:trHeight w:val="354"/>
        </w:trPr>
        <w:tc>
          <w:tcPr>
            <w:tcW w:w="1160" w:type="dxa"/>
            <w:vAlign w:val="bottom"/>
          </w:tcPr>
          <w:p>
            <w:pPr>
              <w:spacing w:after="0"/>
              <w:rPr>
                <w:sz w:val="24"/>
                <w:szCs w:val="24"/>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9460" w:type="dxa"/>
            <w:vAlign w:val="bottom"/>
            <w:gridSpan w:val="2"/>
          </w:tcPr>
          <w:p>
            <w:pPr>
              <w:ind w:left="3500"/>
              <w:spacing w:after="0"/>
              <w:rPr>
                <w:sz w:val="20"/>
                <w:szCs w:val="20"/>
                <w:color w:val="auto"/>
              </w:rPr>
            </w:pPr>
            <w:r>
              <w:rPr>
                <w:rFonts w:ascii="Arial" w:cs="Arial" w:eastAsia="Arial" w:hAnsi="Arial"/>
                <w:sz w:val="14"/>
                <w:szCs w:val="14"/>
                <w:b w:val="1"/>
                <w:bCs w:val="1"/>
                <w:color w:val="auto"/>
              </w:rPr>
              <w:t>Document Description</w:t>
            </w:r>
          </w:p>
        </w:tc>
      </w:tr>
      <w:tr>
        <w:trPr>
          <w:trHeight w:val="201"/>
        </w:trPr>
        <w:tc>
          <w:tcPr>
            <w:tcW w:w="116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8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Amended and Restated Charter of the Company (including the Articles Supplementary for the Series A, B, C and D</w:t>
            </w:r>
          </w:p>
        </w:tc>
        <w:tc>
          <w:tcPr>
            <w:tcW w:w="1140" w:type="dxa"/>
            <w:vAlign w:val="bottom"/>
          </w:tcPr>
          <w:p>
            <w:pPr>
              <w:spacing w:after="0"/>
              <w:rPr>
                <w:sz w:val="17"/>
                <w:szCs w:val="17"/>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Preferred Stock, all of which has been redeemed other than the Series D Preferred Stock).(2)</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Bylaws of the Company.(3)</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Articles Supplementary for High Performance Common Stock—Series 1.(5)</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Articles Supplementary for High Performance Common Stock—Series 2.(5)</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Articles Supplementary for High Performance Common Stock—Series 3.(5)</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Articles Supplementary relating to Series E Preferred Stock.(6)</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Articles Supplementary relating to Series F Preferred Stock.(7)</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Articles Supplementary relating to Series G Preferred Stock.(8)</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Articles Supplementary relating to Series I Preferred Stock.(11)</w:t>
            </w:r>
          </w:p>
        </w:tc>
      </w:tr>
      <w:tr>
        <w:trPr>
          <w:trHeight w:val="620"/>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7</w:t>
            </w:r>
            <w:r>
              <w:rPr>
                <w:rFonts w:ascii="Arial" w:cs="Arial" w:eastAsia="Arial" w:hAnsi="Arial"/>
                <w:sz w:val="29"/>
                <w:szCs w:val="29"/>
                <w:color w:val="auto"/>
                <w:vertAlign w:val="superscript"/>
              </w:rPr>
              <w:t>7</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Series E Cumulative Redeemable Preferred Stock Certificate.(6)</w:t>
            </w:r>
          </w:p>
        </w:tc>
      </w:tr>
      <w:tr>
        <w:trPr>
          <w:trHeight w:val="33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7.8% Series F Cumulative Redeemable Preferred Stock Certificate.(7)</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7.65% Series G Cumulative Redeemable Preferred Stock Certificate.(8)</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7.50% Series I Cumulative Redeemable Preferred Stock Certificate.(11)</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stock certificate for the Company's Common Stock.(1)</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8.0% Second-Priority Senior Secured Guaranteed Notes due 2011 issued on May 8,</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2009.(38)</w:t>
            </w:r>
          </w:p>
        </w:tc>
        <w:tc>
          <w:tcPr>
            <w:tcW w:w="1140" w:type="dxa"/>
            <w:vAlign w:val="bottom"/>
          </w:tcPr>
          <w:p>
            <w:pPr>
              <w:spacing w:after="0"/>
              <w:rPr>
                <w:sz w:val="19"/>
                <w:szCs w:val="19"/>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10.0% Second-Priority Senior Secured Guaranteed Notes due 2014 issued on May 8,</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2009.(38)</w:t>
            </w:r>
          </w:p>
        </w:tc>
        <w:tc>
          <w:tcPr>
            <w:tcW w:w="1140" w:type="dxa"/>
            <w:vAlign w:val="bottom"/>
          </w:tcPr>
          <w:p>
            <w:pPr>
              <w:spacing w:after="0"/>
              <w:rPr>
                <w:sz w:val="19"/>
                <w:szCs w:val="19"/>
                <w:color w:val="auto"/>
              </w:rPr>
            </w:pP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5.500% Senior Notes due 2012 issued on March 9, 2007.(31)</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5.850% Senior Notes due 2017 issued on March 9, 2007.(31)</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Senior Floating Rate Notes due 2010 issued on March 9, 2007.(31)</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5.95% Senior Notes due 2013 issued on September 22, 2006.(25)</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5.650% Senior Notes due 2011 issued on February 21, 2006.(24)</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5.875% Senior Notes due 2016 issued on February 21, 2006.(24)</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5.80% Senior Notes due 2011 issued on December 14, 2005.(21)</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5.375% Senior Notes due 2010 issued on April 21, 2005.(20)</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6.05% Senior Notes due 2015 issued on April 21, 2005.(20)</w:t>
            </w: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80" w:type="dxa"/>
            <w:vAlign w:val="bottom"/>
            <w:gridSpan w:val="2"/>
          </w:tcPr>
          <w:p>
            <w:pPr>
              <w:ind w:left="3780"/>
              <w:spacing w:after="0"/>
              <w:rPr>
                <w:sz w:val="20"/>
                <w:szCs w:val="20"/>
                <w:color w:val="auto"/>
              </w:rPr>
            </w:pPr>
            <w:r>
              <w:rPr>
                <w:rFonts w:ascii="Arial" w:cs="Arial" w:eastAsia="Arial" w:hAnsi="Arial"/>
                <w:sz w:val="18"/>
                <w:szCs w:val="18"/>
                <w:color w:val="auto"/>
              </w:rPr>
              <w:t>125</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9460" w:type="dxa"/>
            <w:vAlign w:val="bottom"/>
            <w:gridSpan w:val="2"/>
          </w:tcPr>
          <w:p>
            <w:pPr>
              <w:ind w:left="3500"/>
              <w:spacing w:after="0"/>
              <w:rPr>
                <w:sz w:val="20"/>
                <w:szCs w:val="20"/>
                <w:color w:val="auto"/>
              </w:rPr>
            </w:pPr>
            <w:r>
              <w:rPr>
                <w:rFonts w:ascii="Arial" w:cs="Arial" w:eastAsia="Arial" w:hAnsi="Arial"/>
                <w:sz w:val="14"/>
                <w:szCs w:val="14"/>
                <w:b w:val="1"/>
                <w:bCs w:val="1"/>
                <w:color w:val="auto"/>
              </w:rPr>
              <w:t>Document Description</w:t>
            </w:r>
          </w:p>
        </w:tc>
      </w:tr>
      <w:tr>
        <w:trPr>
          <w:trHeight w:val="216"/>
        </w:trPr>
        <w:tc>
          <w:tcPr>
            <w:tcW w:w="1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18"/>
                <w:szCs w:val="18"/>
                <w:color w:val="auto"/>
              </w:rPr>
            </w:pPr>
          </w:p>
        </w:tc>
        <w:tc>
          <w:tcPr>
            <w:tcW w:w="8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Global Note evidencing 5.15% Senior Notes due 2012 issued on March 1, 2005.(18)</w:t>
            </w:r>
          </w:p>
        </w:tc>
        <w:tc>
          <w:tcPr>
            <w:tcW w:w="1140" w:type="dxa"/>
            <w:vAlign w:val="bottom"/>
          </w:tcPr>
          <w:p>
            <w:pPr>
              <w:spacing w:after="0"/>
              <w:rPr>
                <w:sz w:val="18"/>
                <w:szCs w:val="18"/>
                <w:color w:val="auto"/>
              </w:rPr>
            </w:pPr>
          </w:p>
        </w:tc>
      </w:tr>
      <w:tr>
        <w:trPr>
          <w:trHeight w:val="451"/>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5.125% Notes due 2011 issued on March 30, 2004.(16)</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5.70% Notes due 2014 issued on March 9, 2004 and March 1, 2005 in connection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with the Company's exchange offer for TriNet Corporate Realty Trust, Inc.'s 7.70% Notes due 2017.(16)</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6.00% Senior Notes due 2010 issued on December 12, 2003.(9)</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6.50% Senior Notes due 2013 issued on December 12, 2003.(9)</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Global Note evidencing 8.625% Senior Notes due 2013 issued on May 21, 2008.(35)</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Third Supplemental Indenture, dated as of December 12, 2003, as amended.(23)</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Fourth Supplemental Indenture, dated as of December 12, 2003, as amended.(23)</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Fifth Supplemental Indenture, dated as of March 1, 2005, as amended.(23)</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Seventh Supplemental Indenture, dated as of April 21, 2005, as amended.(23)</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Eighth Supplemental Indenture, dated as of April 21, 2005, as amended.(23)</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Ninth Supplemental Indenture, dated as of December 14, 2005, as amended.(23)</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Tenth Supplemental Indenture, dated as of December 14, 2005, as amended.(23)</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Eleventh Supplemental Indenture, dated as of February 21, 2006, as amended.(24)</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Twelfth Supplemental Indenture, dated as of February 21, 2006, as amended.(24)</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Fourteenth Supplemental Indenture (containing amendments to the 6.00% Notes due 2010), dated as of January 9,</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2007, as amended.(28)</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w w:val="99"/>
              </w:rPr>
              <w:t>Fifteenth Supplemental Indenture (containing amendments to the 6.50% Notes due 2013), dated as of January 9, 2007,</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as amended.(28)</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w w:val="99"/>
              </w:rPr>
              <w:t>First Supplemental Indenture (containing amendments to the 5.125% Notes due 2011), dated as of January 9, 2007, as</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amended.(28)</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First Supplemental Indenture (containing amendments to the 5.70% Notes due 2014), dated as of January 9, 2007, as</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amended.(28)</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Sixteenth Supplemental Indenture, dated as of March 9, 2007, governing the 5.500% Senior Notes due 2012.(30)</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Seventeenth Supplemental Indenture, dated as of March 9, 2007, governing the 5.850% Senior Notes due 2017.(30)</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Eighteenth Supplemental Indenture, dated as of March 9, 2007, governing the Senior Floating Rate Notes due 2010.</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9"/>
                <w:szCs w:val="19"/>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Nineteenth Supplemental Indenture, dated as of October 15, 2007, governing the Convertible Senior Floating Rate</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Notes due 2012.(33)</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Twentieth Supplemental Indenture, dated as of May 21, 2008, governing the 8.625% Senior Notes due 2013.(35)</w:t>
            </w: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80" w:type="dxa"/>
            <w:vAlign w:val="bottom"/>
            <w:gridSpan w:val="2"/>
          </w:tcPr>
          <w:p>
            <w:pPr>
              <w:ind w:left="3780"/>
              <w:spacing w:after="0"/>
              <w:rPr>
                <w:sz w:val="20"/>
                <w:szCs w:val="20"/>
                <w:color w:val="auto"/>
              </w:rPr>
            </w:pPr>
            <w:r>
              <w:rPr>
                <w:rFonts w:ascii="Arial" w:cs="Arial" w:eastAsia="Arial" w:hAnsi="Arial"/>
                <w:sz w:val="18"/>
                <w:szCs w:val="18"/>
                <w:color w:val="auto"/>
              </w:rPr>
              <w:t>126</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9460" w:type="dxa"/>
            <w:vAlign w:val="bottom"/>
            <w:gridSpan w:val="2"/>
          </w:tcPr>
          <w:p>
            <w:pPr>
              <w:ind w:left="3500"/>
              <w:spacing w:after="0"/>
              <w:rPr>
                <w:sz w:val="20"/>
                <w:szCs w:val="20"/>
                <w:color w:val="auto"/>
              </w:rPr>
            </w:pPr>
            <w:r>
              <w:rPr>
                <w:rFonts w:ascii="Arial" w:cs="Arial" w:eastAsia="Arial" w:hAnsi="Arial"/>
                <w:sz w:val="14"/>
                <w:szCs w:val="14"/>
                <w:b w:val="1"/>
                <w:bCs w:val="1"/>
                <w:color w:val="auto"/>
              </w:rPr>
              <w:t>Document Description</w:t>
            </w:r>
          </w:p>
        </w:tc>
      </w:tr>
      <w:tr>
        <w:trPr>
          <w:trHeight w:val="201"/>
        </w:trPr>
        <w:tc>
          <w:tcPr>
            <w:tcW w:w="116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4.41</w:t>
            </w:r>
          </w:p>
        </w:tc>
        <w:tc>
          <w:tcPr>
            <w:tcW w:w="160" w:type="dxa"/>
            <w:vAlign w:val="bottom"/>
          </w:tcPr>
          <w:p>
            <w:pPr>
              <w:spacing w:after="0"/>
              <w:rPr>
                <w:sz w:val="17"/>
                <w:szCs w:val="17"/>
                <w:color w:val="auto"/>
              </w:rPr>
            </w:pPr>
          </w:p>
        </w:tc>
        <w:tc>
          <w:tcPr>
            <w:tcW w:w="8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Base Indenture, dated as of February 5, 2001, between iStar Financial Inc. and State Street Bank and Trust Company.</w:t>
            </w:r>
          </w:p>
        </w:tc>
        <w:tc>
          <w:tcPr>
            <w:tcW w:w="1140" w:type="dxa"/>
            <w:vAlign w:val="bottom"/>
          </w:tcPr>
          <w:p>
            <w:pPr>
              <w:spacing w:after="0"/>
              <w:rPr>
                <w:sz w:val="17"/>
                <w:szCs w:val="17"/>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9"/>
                <w:szCs w:val="19"/>
                <w:color w:val="auto"/>
              </w:rPr>
            </w:pP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Indenture dated March 9, 2004, governing the 5.70% Senior Notes due 2014.(13)</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Indenture dated March 30, 2004, governing the 5.125% Senior Notes due 2011.(15)</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Indenture dated September 18, 2006, governing the Senior Floating Rate Notes due 2009.(25)</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Indenture dated September 22, 2006, governing the 5.95% Senior Notes due 2013.(25)</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Indenture dated May 8, 2009, by and between the Company, each of the Guarantors (as defined therein) and U.S.</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Bank National Association, as trustee, governing the 8.0% Second-Priority Senior Secured Guaranteed Notes due</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2011.(38)</w:t>
            </w:r>
          </w:p>
        </w:tc>
        <w:tc>
          <w:tcPr>
            <w:tcW w:w="1140" w:type="dxa"/>
            <w:vAlign w:val="bottom"/>
          </w:tcPr>
          <w:p>
            <w:pPr>
              <w:spacing w:after="0"/>
              <w:rPr>
                <w:sz w:val="19"/>
                <w:szCs w:val="19"/>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Indenture dated May 8, 2009, by and between the Company, each of the Guarantors (as defined therein) and U.S.</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Bank National Association, as trustee, governing the 10.0% Second-Priority Senior Secured Guaranteed Notes due</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2014.(38)</w:t>
            </w:r>
          </w:p>
        </w:tc>
        <w:tc>
          <w:tcPr>
            <w:tcW w:w="1140" w:type="dxa"/>
            <w:vAlign w:val="bottom"/>
          </w:tcPr>
          <w:p>
            <w:pPr>
              <w:spacing w:after="0"/>
              <w:rPr>
                <w:sz w:val="19"/>
                <w:szCs w:val="19"/>
                <w:color w:val="auto"/>
              </w:rPr>
            </w:pP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iStar Financial Inc. 2009 Long Term Incentive Compensation Plan.(26)</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Amended and Restated Master Agreement between iStar DB Seller, LLC, Seller (as defined therein) and Deutsche</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Bank AG, Cayman Islands Branch, Buyer dated January 9, 2006.(22)</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Performance Retention Grant Agreement dated February 11, 2004.(10)</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Purchase Agreement, dated February 14, 2005, among iStar Financial Inc., Oak Hill Advisors, L.P. and the other</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parties named therein.(19)</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Amended and Restated Employment Agreement, dated January 19, 2005, by and between Falcon Financial</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Investment Trust and Vernon B. Schwartz.(17)</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Amended and Restated Revolving Credit Agreement among iStar Financial Inc. and JPMorgan Chase Bank, N.A., as</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administrative agent, and Bank of America, N.A., as syndication agent, dated June 28, 2006.(27)</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2006 Amendment and Commitment Transfer Agreement, dated as of March 13, 2009, among iStar Financial Inc. and</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Bank of America N.A., as syndication agent, JPMorgan Chase Bank, N.A., as administrative agent, and the bank</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lenders named therein.(39)</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2007 Amendment and Commitment Transfer Agreement, dated as of March 13, 2009, among iStar Financial Inc. and</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Bank of America, N.A., as syndication agent, JPMorgan Chase Bank, N.A., as administrative agent, and the bank</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lenders named therein.(39)</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Non-Employee Directors' Deferral Plan.(12)</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Restricted Stock Unit Award Agreement.(29)</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Restricted Stock Unit Award Agreement (Performance-Based Vesting).(34)</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$1,000,000,000 First Priority Credit Agreement, dated as of March 13, 2009, among iStar Financial Inc. and</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JPMorgan Chase Bank, N.A., as administrative agent, Bank of America, N.A. and Citicorp North America, Inc., as</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syndication agents, J.P. Morgan Securities Inc., Banc of America Securities LLC and Citigroup Global Markets Inc.,</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as joint lead arrangers and joint bookrunners, and the bank lenders named therein.(39)</w:t>
            </w: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80" w:type="dxa"/>
            <w:vAlign w:val="bottom"/>
            <w:gridSpan w:val="2"/>
          </w:tcPr>
          <w:p>
            <w:pPr>
              <w:ind w:left="3780"/>
              <w:spacing w:after="0"/>
              <w:rPr>
                <w:sz w:val="20"/>
                <w:szCs w:val="20"/>
                <w:color w:val="auto"/>
              </w:rPr>
            </w:pPr>
            <w:r>
              <w:rPr>
                <w:rFonts w:ascii="Arial" w:cs="Arial" w:eastAsia="Arial" w:hAnsi="Arial"/>
                <w:sz w:val="18"/>
                <w:szCs w:val="18"/>
                <w:color w:val="auto"/>
              </w:rPr>
              <w:t>127</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5"/>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32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8320" w:type="dxa"/>
            <w:vAlign w:val="bottom"/>
            <w:tcBorders>
              <w:bottom w:val="single" w:sz="8" w:color="auto"/>
            </w:tcBorders>
          </w:tcPr>
          <w:p>
            <w:pPr>
              <w:ind w:left="3500"/>
              <w:spacing w:after="0"/>
              <w:rPr>
                <w:sz w:val="20"/>
                <w:szCs w:val="20"/>
                <w:color w:val="auto"/>
              </w:rPr>
            </w:pPr>
            <w:r>
              <w:rPr>
                <w:rFonts w:ascii="Arial" w:cs="Arial" w:eastAsia="Arial" w:hAnsi="Arial"/>
                <w:sz w:val="14"/>
                <w:szCs w:val="14"/>
                <w:b w:val="1"/>
                <w:bCs w:val="1"/>
                <w:color w:val="auto"/>
              </w:rPr>
              <w:t>Document Description</w:t>
            </w:r>
          </w:p>
        </w:tc>
      </w:tr>
      <w:tr>
        <w:trPr>
          <w:trHeight w:val="201"/>
        </w:trPr>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10.13</w:t>
            </w:r>
          </w:p>
        </w:tc>
        <w:tc>
          <w:tcPr>
            <w:tcW w:w="160" w:type="dxa"/>
            <w:vAlign w:val="bottom"/>
          </w:tcPr>
          <w:p>
            <w:pPr>
              <w:spacing w:after="0"/>
              <w:rPr>
                <w:sz w:val="17"/>
                <w:szCs w:val="17"/>
                <w:color w:val="auto"/>
              </w:rPr>
            </w:pPr>
          </w:p>
        </w:tc>
        <w:tc>
          <w:tcPr>
            <w:tcW w:w="8320" w:type="dxa"/>
            <w:vAlign w:val="bottom"/>
          </w:tcPr>
          <w:p>
            <w:pPr>
              <w:spacing w:after="0" w:line="201" w:lineRule="exact"/>
              <w:rPr>
                <w:sz w:val="20"/>
                <w:szCs w:val="20"/>
                <w:color w:val="auto"/>
              </w:rPr>
            </w:pPr>
            <w:r>
              <w:rPr>
                <w:rFonts w:ascii="Arial" w:cs="Arial" w:eastAsia="Arial" w:hAnsi="Arial"/>
                <w:sz w:val="18"/>
                <w:szCs w:val="18"/>
                <w:color w:val="auto"/>
                <w:w w:val="94"/>
              </w:rPr>
              <w:t>$1,695,000,000 Second Priority Credit Agreement, dated as of March 13, 2009, among iStar Financial Inc. and</w:t>
            </w:r>
          </w:p>
        </w:tc>
      </w:tr>
      <w:tr>
        <w:trPr>
          <w:trHeight w:val="216"/>
        </w:trPr>
        <w:tc>
          <w:tcPr>
            <w:tcW w:w="640" w:type="dxa"/>
            <w:vAlign w:val="bottom"/>
          </w:tcPr>
          <w:p>
            <w:pPr>
              <w:spacing w:after="0"/>
              <w:rPr>
                <w:sz w:val="18"/>
                <w:szCs w:val="18"/>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2"/>
              </w:rPr>
              <w:t>JPMorgan Chase Bank, N.A., as administrative agent, Bank of America, N.A. and Citicorp North America, Inc., as</w:t>
            </w:r>
          </w:p>
        </w:tc>
      </w:tr>
      <w:tr>
        <w:trPr>
          <w:trHeight w:val="216"/>
        </w:trPr>
        <w:tc>
          <w:tcPr>
            <w:tcW w:w="640" w:type="dxa"/>
            <w:vAlign w:val="bottom"/>
          </w:tcPr>
          <w:p>
            <w:pPr>
              <w:spacing w:after="0"/>
              <w:rPr>
                <w:sz w:val="18"/>
                <w:szCs w:val="18"/>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0"/>
              </w:rPr>
              <w:t>syndication agents, J.P. Morgan Securities Inc., Banc of America Securities LLC and Citigroup Global Markets Inc.,</w:t>
            </w:r>
          </w:p>
        </w:tc>
      </w:tr>
      <w:tr>
        <w:trPr>
          <w:trHeight w:val="222"/>
        </w:trPr>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as joint lead arrangers and joint bookrunners, and the bank lenders named therein.(39)</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10.14</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6"/>
              </w:rPr>
              <w:t>$950,000,000 Second Priority Credit Agreement, dated as of March 13, 2009, among iStar Financial Inc. and</w:t>
            </w:r>
          </w:p>
        </w:tc>
      </w:tr>
      <w:tr>
        <w:trPr>
          <w:trHeight w:val="216"/>
        </w:trPr>
        <w:tc>
          <w:tcPr>
            <w:tcW w:w="640" w:type="dxa"/>
            <w:vAlign w:val="bottom"/>
          </w:tcPr>
          <w:p>
            <w:pPr>
              <w:spacing w:after="0"/>
              <w:rPr>
                <w:sz w:val="18"/>
                <w:szCs w:val="18"/>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2"/>
              </w:rPr>
              <w:t>JPMorgan Chase Bank, N.A., as administrative agent, Bank of America, N.A. and Citicorp North America, Inc., as</w:t>
            </w:r>
          </w:p>
        </w:tc>
      </w:tr>
      <w:tr>
        <w:trPr>
          <w:trHeight w:val="216"/>
        </w:trPr>
        <w:tc>
          <w:tcPr>
            <w:tcW w:w="640" w:type="dxa"/>
            <w:vAlign w:val="bottom"/>
          </w:tcPr>
          <w:p>
            <w:pPr>
              <w:spacing w:after="0"/>
              <w:rPr>
                <w:sz w:val="18"/>
                <w:szCs w:val="18"/>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0"/>
              </w:rPr>
              <w:t>syndication agents, J.P. Morgan Securities Inc., Banc of America Securities LLC and Citigroup Global Markets Inc.,</w:t>
            </w:r>
          </w:p>
        </w:tc>
      </w:tr>
      <w:tr>
        <w:trPr>
          <w:trHeight w:val="222"/>
        </w:trPr>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as joint lead arrangers and joint bookrunners, and the bank lenders named therein.(39)</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1"/>
              </w:rPr>
              <w:t>$1,200,000,000 Revolving Credit Agreement, dated as of June 26, 2007, among iStar Financial Inc. and JPMorgan</w:t>
            </w:r>
          </w:p>
        </w:tc>
      </w:tr>
      <w:tr>
        <w:trPr>
          <w:trHeight w:val="222"/>
        </w:trPr>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Chase Bank, N.A. as administrative agent and Bank of America, N.A. as syndication agent.(32)</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10.16</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4"/>
              </w:rPr>
              <w:t>First Amendment, dated as of June 26, 2007, to the Credit Agreement, dated as of June 28, 2006, among iStar</w:t>
            </w:r>
          </w:p>
        </w:tc>
      </w:tr>
      <w:tr>
        <w:trPr>
          <w:trHeight w:val="216"/>
        </w:trPr>
        <w:tc>
          <w:tcPr>
            <w:tcW w:w="640" w:type="dxa"/>
            <w:vAlign w:val="bottom"/>
          </w:tcPr>
          <w:p>
            <w:pPr>
              <w:spacing w:after="0"/>
              <w:rPr>
                <w:sz w:val="18"/>
                <w:szCs w:val="18"/>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0"/>
              </w:rPr>
              <w:t>Financial Inc. and JPMorgan Chase Bank, N.A., as administrative agent, and Bank of America, N.A., as syndication</w:t>
            </w:r>
          </w:p>
        </w:tc>
      </w:tr>
      <w:tr>
        <w:trPr>
          <w:trHeight w:val="222"/>
        </w:trPr>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agent.(32)</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10.17</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2"/>
              </w:rPr>
              <w:t>Collateral Trust and Intercreditor Agreement, dated March 13, 2009, by and among iStar Financial Inc., iStar Tara</w:t>
            </w:r>
          </w:p>
        </w:tc>
      </w:tr>
      <w:tr>
        <w:trPr>
          <w:trHeight w:val="216"/>
        </w:trPr>
        <w:tc>
          <w:tcPr>
            <w:tcW w:w="640" w:type="dxa"/>
            <w:vAlign w:val="bottom"/>
          </w:tcPr>
          <w:p>
            <w:pPr>
              <w:spacing w:after="0"/>
              <w:rPr>
                <w:sz w:val="18"/>
                <w:szCs w:val="18"/>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89"/>
              </w:rPr>
              <w:t>Holdings LLC, iStar Tara LLC, each of the other Grantors (as defined therein), JPMorgan Chase Bank, N.A. and The</w:t>
            </w:r>
          </w:p>
        </w:tc>
      </w:tr>
      <w:tr>
        <w:trPr>
          <w:trHeight w:val="222"/>
        </w:trPr>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Bank of New York Mellon Trust Company, N.A.(36)</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10.18</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1"/>
              </w:rPr>
              <w:t>Registration Rights Agreement, dated May 8, 2009, by and among iStar Financial Inc., each of the Guarantors (as</w:t>
            </w:r>
          </w:p>
        </w:tc>
      </w:tr>
      <w:tr>
        <w:trPr>
          <w:trHeight w:val="222"/>
        </w:trPr>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0"/>
              </w:rPr>
              <w:t>defined therein), Banc of America Securities LLC, Citigroup Global Markets Inc. and J.P. Morgan Securities Inc.(37)</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3"/>
              </w:rPr>
              <w:t>Computation of Ratio of Earnings to fixed charges and Earnings to fixed charges and preferred stock dividends.</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iStar Financial Inc. Code of Conduct.(16)</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21.1</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Subsidiaries of the Company.</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Consent of PricewaterhouseCoopers LLP.</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31.0</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Certifications pursuant to Section 302 of the Sarbanes-Oxley Act.</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32.0</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Certifications pursuant to Section 906 of the Sarbanes-Oxley Act.</w:t>
            </w:r>
          </w:p>
        </w:tc>
      </w:tr>
    </w:tbl>
    <w:p>
      <w:pPr>
        <w:spacing w:after="0" w:line="20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tabs>
          <w:tab w:leader="none" w:pos="16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Incorporated by reference from the Company's Annual Report on Form 10-K for the year ended December 31, 1999 filed on March 30, 2000.</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March 31, 2000 filed on May 15, 2000.</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June 30, 2000 filed on August 14, 2000.</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S-3 filed on February 12, 2001.</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September 30, 2002 filed on November 14, 2002.</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July 8, 2003.</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September 25, 2003.</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December 10, 2003.</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December 12, 2003.</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from the Company's Annual Report on Form 10-K for the year ended December 31, 2003 filed on March 15, 2004.</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February 27, 2004.</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DEF14A filed on April 28, 2004.</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S-4 filed on May 21, 2004.</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S-4 filed on May 25, 2004.</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S-4 filed on June 9, 2004.</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from the Company's Annual Report on Form 10-K for the year ended December 31, 2004 filed on March 16, 2005.</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Falcon Financial Investment Trust's Form 8-K filed on January 24, 2005.</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1, 2005.</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period ended March 31, 2005 filed on May 10, 2005.</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April 20, 2005.</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December 20, 2005.</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January 10, 2006.</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from the Company's Annual Report on Form 10-K for the year ended December 31, 2005 filed on March 16, 2006.</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February 24, 2006.</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September 30, 2006 filed on November 8, 2006.</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Definitive Proxy Statement filed on April 27, 2009.</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June 30, 2006 filed on August 8, 2006.</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January 16, 2007.</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January 25, 2007.</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15, 2007.</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March 31, 2007 filed on May 9, 2007.</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July 2, 2007.</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October 19, 2007.</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March 31, 2008 filed on May 9, 2008.</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May 27, 2008.</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June 30, 2009 filed on August 10, 2009.</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May 8, 2009.</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March 31, 2009 filed on May 8, 2009.</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19, 2009.</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43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iSTAR FINANCIAL INC.</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Registrant</w:t>
      </w:r>
    </w:p>
    <w:p>
      <w:pPr>
        <w:spacing w:after="0" w:line="246" w:lineRule="exact"/>
        <w:rPr>
          <w:sz w:val="20"/>
          <w:szCs w:val="20"/>
          <w:color w:val="auto"/>
        </w:rPr>
      </w:pPr>
    </w:p>
    <w:p>
      <w:pPr>
        <w:ind w:left="1140"/>
        <w:spacing w:after="0"/>
        <w:tabs>
          <w:tab w:leader="none" w:pos="6880" w:val="left"/>
        </w:tabs>
        <w:rPr>
          <w:sz w:val="20"/>
          <w:szCs w:val="20"/>
          <w:color w:val="auto"/>
        </w:rPr>
      </w:pPr>
      <w:r>
        <w:rPr>
          <w:rFonts w:ascii="Arial" w:cs="Arial" w:eastAsia="Arial" w:hAnsi="Arial"/>
          <w:sz w:val="18"/>
          <w:szCs w:val="18"/>
          <w:color w:val="auto"/>
        </w:rPr>
        <w:t>Date: February 26, 2010</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71120</wp:posOffset>
            </wp:positionV>
            <wp:extent cx="331914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jc w:val="center"/>
        <w:ind w:left="3940"/>
        <w:spacing w:after="0"/>
        <w:rPr>
          <w:sz w:val="20"/>
          <w:szCs w:val="20"/>
          <w:color w:val="auto"/>
        </w:rPr>
      </w:pPr>
      <w:r>
        <w:rPr>
          <w:rFonts w:ascii="Arial" w:cs="Arial" w:eastAsia="Arial" w:hAnsi="Arial"/>
          <w:sz w:val="18"/>
          <w:szCs w:val="18"/>
          <w:color w:val="auto"/>
        </w:rPr>
        <w:t>Jay Sugarman</w:t>
      </w:r>
    </w:p>
    <w:p>
      <w:pPr>
        <w:spacing w:after="0" w:line="15"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246" w:lineRule="exact"/>
        <w:rPr>
          <w:sz w:val="20"/>
          <w:szCs w:val="20"/>
          <w:color w:val="auto"/>
        </w:rPr>
      </w:pPr>
    </w:p>
    <w:p>
      <w:pPr>
        <w:ind w:left="1140"/>
        <w:spacing w:after="0"/>
        <w:tabs>
          <w:tab w:leader="none" w:pos="6860" w:val="left"/>
        </w:tabs>
        <w:rPr>
          <w:sz w:val="20"/>
          <w:szCs w:val="20"/>
          <w:color w:val="auto"/>
        </w:rPr>
      </w:pPr>
      <w:r>
        <w:rPr>
          <w:rFonts w:ascii="Arial" w:cs="Arial" w:eastAsia="Arial" w:hAnsi="Arial"/>
          <w:sz w:val="18"/>
          <w:szCs w:val="18"/>
          <w:color w:val="auto"/>
        </w:rPr>
        <w:t>Date: February 26, 2010</w:t>
      </w:r>
      <w:r>
        <w:rPr>
          <w:sz w:val="20"/>
          <w:szCs w:val="20"/>
          <w:color w:val="auto"/>
        </w:rPr>
        <w:tab/>
      </w:r>
      <w:r>
        <w:rPr>
          <w:rFonts w:ascii="Arial" w:cs="Arial" w:eastAsia="Arial" w:hAnsi="Arial"/>
          <w:sz w:val="16"/>
          <w:szCs w:val="16"/>
          <w:color w:val="auto"/>
        </w:rPr>
        <w:t>/s/ JAMES D.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71120</wp:posOffset>
            </wp:positionV>
            <wp:extent cx="33191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jc w:val="center"/>
        <w:ind w:left="3940"/>
        <w:spacing w:after="0"/>
        <w:rPr>
          <w:sz w:val="20"/>
          <w:szCs w:val="20"/>
          <w:color w:val="auto"/>
        </w:rPr>
      </w:pPr>
      <w:r>
        <w:rPr>
          <w:rFonts w:ascii="Arial" w:cs="Arial" w:eastAsia="Arial" w:hAnsi="Arial"/>
          <w:sz w:val="18"/>
          <w:szCs w:val="18"/>
          <w:color w:val="auto"/>
        </w:rPr>
        <w:t>James D. Burns</w:t>
      </w:r>
    </w:p>
    <w:p>
      <w:pPr>
        <w:spacing w:after="0" w:line="15"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9" w:lineRule="exact"/>
        <w:rPr>
          <w:sz w:val="20"/>
          <w:szCs w:val="20"/>
          <w:color w:val="auto"/>
        </w:rPr>
      </w:pPr>
    </w:p>
    <w:p>
      <w:pPr>
        <w:ind w:firstLine="404"/>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Date: February 26, 2010</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/s/ JAY SUGARMAN</w:t>
            </w:r>
          </w:p>
        </w:tc>
      </w:tr>
      <w:tr>
        <w:trPr>
          <w:trHeight w:val="97"/>
        </w:trPr>
        <w:tc>
          <w:tcPr>
            <w:tcW w:w="394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282"/>
        </w:trPr>
        <w:tc>
          <w:tcPr>
            <w:tcW w:w="394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6"/>
              </w:rPr>
              <w:t>Jay Sugarman</w:t>
            </w:r>
          </w:p>
        </w:tc>
      </w:tr>
      <w:tr>
        <w:trPr>
          <w:trHeight w:val="216"/>
        </w:trPr>
        <w:tc>
          <w:tcPr>
            <w:tcW w:w="394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0"/>
              </w:rPr>
              <w:t>Chairman of the Board of Directors</w:t>
            </w:r>
          </w:p>
        </w:tc>
      </w:tr>
      <w:tr>
        <w:trPr>
          <w:trHeight w:val="222"/>
        </w:trPr>
        <w:tc>
          <w:tcPr>
            <w:tcW w:w="394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89"/>
              </w:rPr>
              <w:t>Chief Executive Officer</w:t>
            </w: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Date: February 26, 2010</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/s/ GLENN R. AUGUST</w:t>
            </w:r>
          </w:p>
        </w:tc>
      </w:tr>
      <w:tr>
        <w:trPr>
          <w:trHeight w:val="97"/>
        </w:trPr>
        <w:tc>
          <w:tcPr>
            <w:tcW w:w="394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282"/>
        </w:trPr>
        <w:tc>
          <w:tcPr>
            <w:tcW w:w="394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Glenn R. August</w:t>
            </w:r>
          </w:p>
        </w:tc>
      </w:tr>
      <w:tr>
        <w:trPr>
          <w:trHeight w:val="222"/>
        </w:trPr>
        <w:tc>
          <w:tcPr>
            <w:tcW w:w="394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Date: February 26, 2010</w:t>
            </w:r>
          </w:p>
        </w:tc>
        <w:tc>
          <w:tcPr>
            <w:tcW w:w="5240" w:type="dxa"/>
            <w:vAlign w:val="bottom"/>
          </w:tcPr>
          <w:p>
            <w:pPr>
              <w:jc w:val="center"/>
              <w:spacing w:after="0"/>
              <w:rPr>
                <w:sz w:val="20"/>
                <w:szCs w:val="20"/>
                <w:color w:val="auto"/>
              </w:rPr>
            </w:pPr>
            <w:r>
              <w:rPr>
                <w:rFonts w:ascii="Arial" w:cs="Arial" w:eastAsia="Arial" w:hAnsi="Arial"/>
                <w:sz w:val="18"/>
                <w:szCs w:val="18"/>
                <w:color w:val="auto"/>
                <w:w w:val="92"/>
              </w:rPr>
              <w:t>/s/ ROBERT W. HOLMAN, JR.</w:t>
            </w:r>
          </w:p>
        </w:tc>
      </w:tr>
      <w:tr>
        <w:trPr>
          <w:trHeight w:val="97"/>
        </w:trPr>
        <w:tc>
          <w:tcPr>
            <w:tcW w:w="394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282"/>
        </w:trPr>
        <w:tc>
          <w:tcPr>
            <w:tcW w:w="394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7"/>
              </w:rPr>
              <w:t>Robert W. Holman, Jr.</w:t>
            </w:r>
          </w:p>
        </w:tc>
      </w:tr>
      <w:tr>
        <w:trPr>
          <w:trHeight w:val="222"/>
        </w:trPr>
        <w:tc>
          <w:tcPr>
            <w:tcW w:w="394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Date: February 26, 2010</w:t>
            </w: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/s/ ROBIN JOSEPHS</w:t>
            </w:r>
          </w:p>
        </w:tc>
      </w:tr>
      <w:tr>
        <w:trPr>
          <w:trHeight w:val="97"/>
        </w:trPr>
        <w:tc>
          <w:tcPr>
            <w:tcW w:w="394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282"/>
        </w:trPr>
        <w:tc>
          <w:tcPr>
            <w:tcW w:w="394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5"/>
              </w:rPr>
              <w:t>Robin Josephs</w:t>
            </w:r>
          </w:p>
        </w:tc>
      </w:tr>
      <w:tr>
        <w:trPr>
          <w:trHeight w:val="222"/>
        </w:trPr>
        <w:tc>
          <w:tcPr>
            <w:tcW w:w="394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Date: February 26, 2010</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/s/ JOHN G. MCDONALD</w:t>
            </w:r>
          </w:p>
        </w:tc>
      </w:tr>
      <w:tr>
        <w:trPr>
          <w:trHeight w:val="97"/>
        </w:trPr>
        <w:tc>
          <w:tcPr>
            <w:tcW w:w="394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282"/>
        </w:trPr>
        <w:tc>
          <w:tcPr>
            <w:tcW w:w="394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John G. McDonald</w:t>
            </w:r>
          </w:p>
        </w:tc>
      </w:tr>
      <w:tr>
        <w:trPr>
          <w:trHeight w:val="222"/>
        </w:trPr>
        <w:tc>
          <w:tcPr>
            <w:tcW w:w="394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Date: February 26, 2010</w:t>
            </w: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/s/ GEORGE R. PUSKAR</w:t>
            </w:r>
          </w:p>
        </w:tc>
      </w:tr>
      <w:tr>
        <w:trPr>
          <w:trHeight w:val="97"/>
        </w:trPr>
        <w:tc>
          <w:tcPr>
            <w:tcW w:w="394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282"/>
        </w:trPr>
        <w:tc>
          <w:tcPr>
            <w:tcW w:w="394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6"/>
              </w:rPr>
              <w:t>George R. Puskar</w:t>
            </w:r>
          </w:p>
        </w:tc>
      </w:tr>
      <w:tr>
        <w:trPr>
          <w:trHeight w:val="222"/>
        </w:trPr>
        <w:tc>
          <w:tcPr>
            <w:tcW w:w="394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Date: February 26, 2010</w:t>
            </w:r>
          </w:p>
        </w:tc>
        <w:tc>
          <w:tcPr>
            <w:tcW w:w="5240" w:type="dxa"/>
            <w:vAlign w:val="bottom"/>
          </w:tcPr>
          <w:p>
            <w:pPr>
              <w:jc w:val="center"/>
              <w:spacing w:after="0"/>
              <w:rPr>
                <w:sz w:val="20"/>
                <w:szCs w:val="20"/>
                <w:color w:val="auto"/>
              </w:rPr>
            </w:pPr>
            <w:r>
              <w:rPr>
                <w:rFonts w:ascii="Arial" w:cs="Arial" w:eastAsia="Arial" w:hAnsi="Arial"/>
                <w:sz w:val="18"/>
                <w:szCs w:val="18"/>
                <w:color w:val="auto"/>
                <w:w w:val="92"/>
              </w:rPr>
              <w:t>/s/ DALE A. REISS</w:t>
            </w:r>
          </w:p>
        </w:tc>
      </w:tr>
      <w:tr>
        <w:trPr>
          <w:trHeight w:val="97"/>
        </w:trPr>
        <w:tc>
          <w:tcPr>
            <w:tcW w:w="394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282"/>
        </w:trPr>
        <w:tc>
          <w:tcPr>
            <w:tcW w:w="394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8"/>
              </w:rPr>
              <w:t>Dale A. Reiss</w:t>
            </w:r>
          </w:p>
        </w:tc>
      </w:tr>
      <w:tr>
        <w:trPr>
          <w:trHeight w:val="222"/>
        </w:trPr>
        <w:tc>
          <w:tcPr>
            <w:tcW w:w="394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Date: February 26, 2010</w:t>
            </w: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/s/ JEFFREY A. WEBER</w:t>
            </w:r>
          </w:p>
        </w:tc>
      </w:tr>
      <w:tr>
        <w:trPr>
          <w:trHeight w:val="97"/>
        </w:trPr>
        <w:tc>
          <w:tcPr>
            <w:tcW w:w="394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282"/>
        </w:trPr>
        <w:tc>
          <w:tcPr>
            <w:tcW w:w="394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Jeffrey A. Weber</w:t>
            </w:r>
          </w:p>
        </w:tc>
      </w:tr>
      <w:tr>
        <w:trPr>
          <w:trHeight w:val="222"/>
        </w:trPr>
        <w:tc>
          <w:tcPr>
            <w:tcW w:w="394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Risks Related to Our Business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1B. Unresolved Staff Comments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4. Submission of Matters to a Vote of Security Holders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5. Market for Registrant's Equity and Related Share Matters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6. Selected Financial Data</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7A. Quantitative and Qualitative Disclosures about Market Risk</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Estimated Percentage Change In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8. Financial Statements and Supplemental Data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Report of Independent Registered Public Accounting Firm</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iStar Financial Inc. Consolidated Balance Sheets (In thousands, except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iStar Financial Inc. Consolidated Statements of Operations (In thousands, except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iStar Financial Inc. Consolidated Statements of Cash Flows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iStar Financial Inc. Notes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iStar Financial Inc. Notes to Consolidated Financial Statements (Continued)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iStar Financial Inc. Schedule II—Valuation and Qualifying Accounts and Reserves (In thousands)</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115">
        <w:r>
          <w:rPr>
            <w:rFonts w:ascii="Arial" w:cs="Arial" w:eastAsia="Arial" w:hAnsi="Arial"/>
            <w:sz w:val="16"/>
            <w:szCs w:val="16"/>
            <w:u w:val="single" w:color="auto"/>
            <w:color w:val="0000EE"/>
          </w:rPr>
          <w:t>iStar Financial, Inc. Schedule III—Real Estate and Accumulated Depreciation As of December 31, 2009 (Dollars in thousands)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iStar Financial, Inc. Notes to Schedule III (Dollars in thousands)</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124">
        <w:r>
          <w:rPr>
            <w:rFonts w:ascii="Arial" w:cs="Arial" w:eastAsia="Arial" w:hAnsi="Arial"/>
            <w:sz w:val="16"/>
            <w:szCs w:val="16"/>
            <w:u w:val="single" w:color="auto"/>
            <w:color w:val="0000EE"/>
          </w:rPr>
          <w:t>iStar Financial Inc. Schedule IV—Mortgage Loans on Real Estate As of December 31, 2009 (Dollars in thousands)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iStar Financial Inc. Notes to Schedule IV (Dollars in thousands)</w:t>
        </w:r>
      </w:hyperlink>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26">
        <w:r>
          <w:rPr>
            <w:rFonts w:ascii="Arial" w:cs="Arial" w:eastAsia="Arial" w:hAnsi="Arial"/>
            <w:sz w:val="16"/>
            <w:szCs w:val="16"/>
            <w:u w:val="single" w:color="auto"/>
            <w:color w:val="0000EE"/>
          </w:rPr>
          <w:t>Item 9. Changes in and Disagreements with Registered Public Accounting Firm on Accounting and Financial Disclosure</w:t>
        </w:r>
      </w:hyperlink>
    </w:p>
    <w:p>
      <w:pPr>
        <w:spacing w:after="0" w:line="38" w:lineRule="exact"/>
        <w:rPr>
          <w:sz w:val="20"/>
          <w:szCs w:val="20"/>
          <w:color w:val="auto"/>
        </w:rPr>
      </w:pPr>
    </w:p>
    <w:p>
      <w:pPr>
        <w:ind w:left="54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9A. Controls and Procedures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9B. Other Information</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540" w:right="3839"/>
        <w:spacing w:after="0" w:line="254" w:lineRule="auto"/>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Item 10. Directors, Executive Officers and Corporate Governance of the Registrant</w:t>
        </w:r>
      </w:hyperlink>
      <w:r>
        <w:rPr>
          <w:rFonts w:ascii="Arial" w:cs="Arial" w:eastAsia="Arial" w:hAnsi="Arial"/>
          <w:sz w:val="18"/>
          <w:szCs w:val="18"/>
          <w:u w:val="single" w:color="auto"/>
          <w:color w:val="0000EE"/>
        </w:rPr>
        <w:t xml:space="preserve"> </w:t>
      </w:r>
      <w:hyperlink w:anchor="page127">
        <w:r>
          <w:rPr>
            <w:rFonts w:ascii="Arial" w:cs="Arial" w:eastAsia="Arial" w:hAnsi="Arial"/>
            <w:sz w:val="18"/>
            <w:szCs w:val="18"/>
            <w:u w:val="single" w:color="auto"/>
            <w:color w:val="0000EE"/>
          </w:rPr>
          <w:t>Item 11. Executive Compensation</w:t>
        </w:r>
      </w:hyperlink>
    </w:p>
    <w:p>
      <w:pPr>
        <w:ind w:left="540" w:right="1919"/>
        <w:spacing w:after="0" w:line="255" w:lineRule="auto"/>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127">
        <w:r>
          <w:rPr>
            <w:rFonts w:ascii="Arial" w:cs="Arial" w:eastAsia="Arial" w:hAnsi="Arial"/>
            <w:sz w:val="18"/>
            <w:szCs w:val="18"/>
            <w:u w:val="single" w:color="auto"/>
            <w:color w:val="0000EE"/>
          </w:rPr>
          <w:t>Item 13. Certain Relationships, Related Transactions and Director Independence</w:t>
        </w:r>
      </w:hyperlink>
      <w:r>
        <w:rPr>
          <w:rFonts w:ascii="Arial" w:cs="Arial" w:eastAsia="Arial" w:hAnsi="Arial"/>
          <w:sz w:val="18"/>
          <w:szCs w:val="18"/>
          <w:u w:val="single" w:color="auto"/>
          <w:color w:val="0000EE"/>
        </w:rPr>
        <w:t xml:space="preserve"> </w:t>
      </w:r>
      <w:hyperlink w:anchor="page127">
        <w:r>
          <w:rPr>
            <w:rFonts w:ascii="Arial" w:cs="Arial" w:eastAsia="Arial" w:hAnsi="Arial"/>
            <w:sz w:val="18"/>
            <w:szCs w:val="18"/>
            <w:u w:val="single" w:color="auto"/>
            <w:color w:val="0000EE"/>
          </w:rPr>
          <w:t>Item 14. Principal Registered Public Accounting Firm Fees and Services</w:t>
        </w:r>
      </w:hyperlink>
    </w:p>
    <w:p>
      <w:pPr>
        <w:spacing w:after="0" w:line="19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PART IV</w:t>
        </w:r>
      </w:hyperlink>
    </w:p>
    <w:p>
      <w:pPr>
        <w:spacing w:after="0" w:line="225"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Item 15. Exhibits, Financial Statement Schedules and Reports on Form 8-K</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INDEX TO EXHIBITS</w:t>
        </w:r>
      </w:hyperlink>
    </w:p>
    <w:p>
      <w:pPr>
        <w:spacing w:after="0" w:line="1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SIGNATURES</w:t>
        </w:r>
      </w:hyperlink>
    </w:p>
    <w:p>
      <w:pPr>
        <w:sectPr>
          <w:pgSz w:w="11900" w:h="16838" w:orient="portrait"/>
          <w:cols w:equalWidth="0" w:num="1">
            <w:col w:w="10219"/>
          </w:cols>
          <w:pgMar w:left="240" w:top="820" w:right="1440" w:bottom="1440" w:gutter="0" w:footer="0" w:header="0"/>
        </w:sectPr>
      </w:pPr>
    </w:p>
    <w:bookmarkStart w:id="134" w:name="page135"/>
    <w:bookmarkEnd w:id="134"/>
    <w:p>
      <w:pPr>
        <w:spacing w:after="0"/>
        <w:rPr>
          <w:rFonts w:ascii="Arial" w:cs="Arial" w:eastAsia="Arial" w:hAnsi="Arial"/>
          <w:sz w:val="22"/>
          <w:szCs w:val="22"/>
          <w:color w:val="0000EE"/>
        </w:rPr>
      </w:pPr>
      <w:hyperlink w:anchor="page13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Computation of Ratio of Earnings to fixed charges and</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Earnings to fixed charges and preferred stock dividends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ratios)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9"/>
          </w:tcPr>
          <w:p>
            <w:pPr>
              <w:jc w:val="right"/>
              <w:ind w:right="560"/>
              <w:spacing w:after="0"/>
              <w:rPr>
                <w:sz w:val="20"/>
                <w:szCs w:val="20"/>
                <w:color w:val="auto"/>
              </w:rPr>
            </w:pPr>
            <w:r>
              <w:rPr>
                <w:rFonts w:ascii="Arial" w:cs="Arial" w:eastAsia="Arial" w:hAnsi="Arial"/>
                <w:sz w:val="14"/>
                <w:szCs w:val="14"/>
                <w:b w:val="1"/>
                <w:bCs w:val="1"/>
                <w:color w:val="auto"/>
                <w:w w:val="93"/>
              </w:rPr>
              <w:t>For the Years Ended December 31,</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8"/>
              </w:rPr>
              <w:t>Net income (loss) before equity in earnings from joint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w w:val="96"/>
              </w:rPr>
              <w:t>ventures and unconsolidated subsidiaries and other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items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(775,900)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(302,175)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169,174</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298,032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242,150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Fixed charges as calculated below</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671,304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635,277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433,609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314,865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Add: Distributions of earnings of joint ventures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Capitalized interest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earnings</w:t>
            </w:r>
          </w:p>
        </w:tc>
        <w:tc>
          <w:tcPr>
            <w:tcW w:w="28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(253,773)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414,824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849,943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743,000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562,899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Interest expense(1)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481,116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666,706</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629,272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429,807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313,053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 Capitalized interest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Implied interest component on the company's rent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ind w:left="300"/>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671,304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635,277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433,609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314,865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Preferred dividend requirements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42,320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charges and preferred stock dividends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713,624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677,597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475,929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357,185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Earnings to fixed charges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(0.5)x</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0.6x</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1.3x</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1.7x</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Earnings to fixed charges and preferred stock dividends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(0.5)x</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0.6x</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1.3x</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1.6x</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1.6x</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137160</wp:posOffset>
            </wp:positionV>
            <wp:extent cx="17068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80" w:hanging="531"/>
        <w:spacing w:after="0"/>
        <w:tabs>
          <w:tab w:leader="none" w:pos="16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For the years ended December 31, 2007, 2006 and 2005, interest expense includes $12, $194 and $247, respectively, of interest expense reclassified to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Exhibit 12.1</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35">
        <w:r>
          <w:rPr>
            <w:rFonts w:ascii="Arial" w:cs="Arial" w:eastAsia="Arial" w:hAnsi="Arial"/>
            <w:sz w:val="15"/>
            <w:szCs w:val="15"/>
            <w:u w:val="single" w:color="auto"/>
            <w:color w:val="0000EE"/>
          </w:rPr>
          <w:t>Computation of Ratio of Earnings to fixed charges and Earnings to fixed charges and preferred stock dividends (Dollars in thousands, except ratios)</w:t>
        </w:r>
      </w:hyperlink>
    </w:p>
    <w:p>
      <w:pPr>
        <w:sectPr>
          <w:pgSz w:w="11900" w:h="16838" w:orient="portrait"/>
          <w:cols w:equalWidth="0" w:num="1">
            <w:col w:w="10400"/>
          </w:cols>
          <w:pgMar w:left="240" w:top="820" w:right="1259" w:bottom="1440" w:gutter="0" w:footer="0" w:header="0"/>
        </w:sectPr>
      </w:pPr>
    </w:p>
    <w:bookmarkStart w:id="136" w:name="page137"/>
    <w:bookmarkEnd w:id="136"/>
    <w:p>
      <w:pPr>
        <w:spacing w:after="0"/>
        <w:rPr>
          <w:rFonts w:ascii="Arial" w:cs="Arial" w:eastAsia="Arial" w:hAnsi="Arial"/>
          <w:sz w:val="22"/>
          <w:szCs w:val="22"/>
          <w:color w:val="0000EE"/>
        </w:rPr>
      </w:pPr>
      <w:hyperlink w:anchor="page14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2860" w:type="dxa"/>
            <w:vAlign w:val="bottom"/>
            <w:gridSpan w:val="2"/>
          </w:tcPr>
          <w:p>
            <w:pPr>
              <w:ind w:left="1640"/>
              <w:spacing w:after="0"/>
              <w:rPr>
                <w:sz w:val="20"/>
                <w:szCs w:val="20"/>
                <w:color w:val="auto"/>
              </w:rPr>
            </w:pPr>
            <w:r>
              <w:rPr>
                <w:rFonts w:ascii="Arial" w:cs="Arial" w:eastAsia="Arial" w:hAnsi="Arial"/>
                <w:sz w:val="14"/>
                <w:szCs w:val="14"/>
                <w:b w:val="1"/>
                <w:bCs w:val="1"/>
                <w:color w:val="auto"/>
                <w:w w:val="96"/>
              </w:rPr>
              <w:t>State of Formation</w:t>
            </w:r>
          </w:p>
        </w:tc>
        <w:tc>
          <w:tcPr>
            <w:tcW w:w="320" w:type="dxa"/>
            <w:vAlign w:val="bottom"/>
          </w:tcPr>
          <w:p>
            <w:pPr>
              <w:spacing w:after="0"/>
              <w:rPr>
                <w:sz w:val="14"/>
                <w:szCs w:val="14"/>
                <w:color w:val="auto"/>
              </w:rPr>
            </w:pPr>
          </w:p>
        </w:tc>
        <w:tc>
          <w:tcPr>
            <w:tcW w:w="3020" w:type="dxa"/>
            <w:vAlign w:val="bottom"/>
          </w:tcPr>
          <w:p>
            <w:pPr>
              <w:ind w:left="96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20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11</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Avenue B Participation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12 Union Street—Westborough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50 Adrian Court—Burlingame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100 Elkhorn Road—Sun Valley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 Elkhorn Road—Sun Valley TRS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100</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Lochaven Drive—Charleston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100</w:t>
            </w: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Riverview Condominium Association Inc.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New Jersey</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20 Chapel Street Owner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 Chapel Street Lender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20 Chapel Street Operator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34 Leonard Street—New York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gridSpan w:val="3"/>
          </w:tcPr>
          <w:p>
            <w:pPr>
              <w:spacing w:after="0" w:line="256" w:lineRule="exact"/>
              <w:rPr>
                <w:sz w:val="20"/>
                <w:szCs w:val="20"/>
                <w:color w:val="auto"/>
              </w:rPr>
            </w:pPr>
            <w:r>
              <w:rPr>
                <w:rFonts w:ascii="Arial" w:cs="Arial" w:eastAsia="Arial" w:hAnsi="Arial"/>
                <w:sz w:val="18"/>
                <w:szCs w:val="18"/>
                <w:color w:val="auto"/>
              </w:rPr>
              <w:t>45-10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Avenue—Astoria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Street—Gulfport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220 Calibre Downs Lane—Palm Harbor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221 American Boulevard—Bloomington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240</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 Pineapple Land—Sarasota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240</w:t>
            </w: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Pineapple Office—Sarasota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w w:val="91"/>
              </w:rPr>
              <w:t>240 S Pineapple Parking—Sarasota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246</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Spring Street LOC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300</w:t>
            </w: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Riverview Condominium Association Inc.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New Jersey</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302 Sabal Park Place—Longwood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318 I Street NE—Washington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325</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South Gulfview Boulevard—Clearwater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328-342 Washington Blvd—Jersey City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328-342 Washington Blvd—Jersey City TRS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333</w:t>
            </w: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Rector Park—River Rose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iStar Garden City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345</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Los Coches Street—Milpitas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385 Golf Brook Circle—Longwood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401 W Michigan Street—Milwaukee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410</w:t>
            </w: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Evernia Street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450</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Barclay Boulevard—Lincolnshire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475-525 Sycamore Drive—Milpitas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500 Woodward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560</w:t>
            </w: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Cottonwood Drive—Milpitas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gridSpan w:val="2"/>
          </w:tcPr>
          <w:p>
            <w:pPr>
              <w:spacing w:after="0"/>
              <w:rPr>
                <w:sz w:val="20"/>
                <w:szCs w:val="20"/>
                <w:color w:val="auto"/>
              </w:rPr>
            </w:pPr>
            <w:r>
              <w:rPr>
                <w:rFonts w:ascii="Arial" w:cs="Arial" w:eastAsia="Arial" w:hAnsi="Arial"/>
                <w:sz w:val="18"/>
                <w:szCs w:val="18"/>
                <w:color w:val="auto"/>
                <w:w w:val="93"/>
              </w:rPr>
              <w:t>615</w:t>
            </w:r>
          </w:p>
        </w:tc>
        <w:tc>
          <w:tcPr>
            <w:tcW w:w="49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 South—Minneapolis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615 E. Weber Drive—Tempe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628</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East Cleveland Street—Clearwater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649</w:t>
            </w: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Street West—Sonoma LLC</w:t>
            </w:r>
          </w:p>
        </w:tc>
        <w:tc>
          <w:tcPr>
            <w:tcW w:w="28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855 Avenue of the Americas—SFI LLC</w:t>
            </w:r>
          </w:p>
        </w:tc>
        <w:tc>
          <w:tcPr>
            <w:tcW w:w="286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1"/>
        </w:trPr>
        <w:tc>
          <w:tcPr>
            <w:tcW w:w="532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220" w:type="dxa"/>
            <w:vAlign w:val="bottom"/>
          </w:tcPr>
          <w:p>
            <w:pPr>
              <w:spacing w:after="0"/>
              <w:rPr>
                <w:sz w:val="20"/>
                <w:szCs w:val="20"/>
                <w:color w:val="auto"/>
              </w:rPr>
            </w:pPr>
            <w:r>
              <w:rPr>
                <w:rFonts w:ascii="Arial" w:cs="Arial" w:eastAsia="Arial" w:hAnsi="Arial"/>
                <w:sz w:val="14"/>
                <w:szCs w:val="14"/>
                <w:b w:val="1"/>
                <w:bCs w:val="1"/>
                <w:color w:val="auto"/>
                <w:w w:val="96"/>
              </w:rPr>
              <w:t>State of Formation</w:t>
            </w:r>
          </w:p>
        </w:tc>
        <w:tc>
          <w:tcPr>
            <w:tcW w:w="320" w:type="dxa"/>
            <w:vAlign w:val="bottom"/>
          </w:tcPr>
          <w:p>
            <w:pPr>
              <w:spacing w:after="0"/>
              <w:rPr>
                <w:sz w:val="14"/>
                <w:szCs w:val="14"/>
                <w:color w:val="auto"/>
              </w:rPr>
            </w:pPr>
          </w:p>
        </w:tc>
        <w:tc>
          <w:tcPr>
            <w:tcW w:w="4560" w:type="dxa"/>
            <w:vAlign w:val="bottom"/>
          </w:tcPr>
          <w:p>
            <w:pPr>
              <w:ind w:left="174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900 North Point Street—San Francisco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1050 N. El Mirage Road—Avondale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1200 Holiday Drive—Coconut Grove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8440 Warner Crossing—Tempe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1250 N. El Mirage Road—Avondale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1281</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Galleria Drive—Henderson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1301</w:t>
            </w: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North Troy Street—Arlington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1419-1425 Locust Street—Philadelphia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1450</w:t>
            </w: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Executive Circle NE—Melbourne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1504-1530 McCarthy Boulevard—Milpitas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1515 Dock Street—Tacoma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1515 E. Katella Avenue—Anaheim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1700 American Blvd E—Bloomington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1804</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McCarthy Boulevard—Milpitas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1855</w:t>
            </w: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Barber Lane—Milpitas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1861 NW South River Drive—Miami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1885</w:t>
            </w: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South Shore Drive—Pasadena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2003-2007 Nonconnah Boulevard—Memphis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2021</w:t>
            </w: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Lakeside Boulevard—Richardson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2220</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 First Street—Fort Myers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2520 South Conway Road—Orlando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2611 Corporate W Drive—Lisle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2901 Kinwest Parkway—Irving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3000 Waterview Parkway—Richardson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3"/>
          </w:tcPr>
          <w:p>
            <w:pPr>
              <w:spacing w:after="0" w:line="256" w:lineRule="exact"/>
              <w:rPr>
                <w:sz w:val="20"/>
                <w:szCs w:val="20"/>
                <w:color w:val="auto"/>
              </w:rPr>
            </w:pPr>
            <w:r>
              <w:rPr>
                <w:rFonts w:ascii="Arial" w:cs="Arial" w:eastAsia="Arial" w:hAnsi="Arial"/>
                <w:sz w:val="18"/>
                <w:szCs w:val="18"/>
                <w:color w:val="auto"/>
              </w:rPr>
              <w:t>3030 N.E.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Avenue—Miami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3110 N.E.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Avenue—Miami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3"/>
          </w:tcPr>
          <w:p>
            <w:pPr>
              <w:spacing w:after="0" w:line="256" w:lineRule="exact"/>
              <w:rPr>
                <w:sz w:val="20"/>
                <w:szCs w:val="20"/>
                <w:color w:val="auto"/>
              </w:rPr>
            </w:pPr>
            <w:r>
              <w:rPr>
                <w:rFonts w:ascii="Arial" w:cs="Arial" w:eastAsia="Arial" w:hAnsi="Arial"/>
                <w:sz w:val="18"/>
                <w:szCs w:val="18"/>
                <w:color w:val="auto"/>
              </w:rPr>
              <w:t>3150 SW 38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Avenue—Miami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3376</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Peachtree Road—Atlanta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3460</w:t>
            </w:r>
          </w:p>
        </w:tc>
        <w:tc>
          <w:tcPr>
            <w:tcW w:w="49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NW—Washington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3800</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Brockett Trail—Clarkston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3"/>
          </w:tcPr>
          <w:p>
            <w:pPr>
              <w:spacing w:after="0" w:line="256" w:lineRule="exact"/>
              <w:rPr>
                <w:sz w:val="20"/>
                <w:szCs w:val="20"/>
                <w:color w:val="auto"/>
              </w:rPr>
            </w:pPr>
            <w:r>
              <w:rPr>
                <w:rFonts w:ascii="Arial" w:cs="Arial" w:eastAsia="Arial" w:hAnsi="Arial"/>
                <w:sz w:val="18"/>
                <w:szCs w:val="18"/>
                <w:color w:val="auto"/>
              </w:rPr>
              <w:t>4550-4930 W. 77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Street—Edina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4471</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Dean Martin Drive–Las Vegas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4230 S. Decatur Boulevard—Las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6087 Sunset Boulevard—Hollywood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6104</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Turnbury Park Drive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6162 S Willow Drive—Englewood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6400</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Christie Avenue—Emeryville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6665</w:t>
            </w: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MacArthur Boulevard—Irving LLC</w:t>
            </w:r>
          </w:p>
        </w:tc>
        <w:tc>
          <w:tcPr>
            <w:tcW w:w="1220" w:type="dxa"/>
            <w:vAlign w:val="bottom"/>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6801 Woolridge Road—Moseley TRS LLC</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2540" w:type="dxa"/>
            <w:vAlign w:val="bottom"/>
            <w:gridSpan w:val="2"/>
          </w:tcPr>
          <w:p>
            <w:pPr>
              <w:ind w:left="1320"/>
              <w:spacing w:after="0"/>
              <w:rPr>
                <w:sz w:val="20"/>
                <w:szCs w:val="20"/>
                <w:color w:val="auto"/>
              </w:rPr>
            </w:pPr>
            <w:r>
              <w:rPr>
                <w:rFonts w:ascii="Arial" w:cs="Arial" w:eastAsia="Arial" w:hAnsi="Arial"/>
                <w:sz w:val="14"/>
                <w:szCs w:val="14"/>
                <w:b w:val="1"/>
                <w:bCs w:val="1"/>
                <w:color w:val="auto"/>
                <w:w w:val="96"/>
              </w:rPr>
              <w:t>State of Formation</w:t>
            </w:r>
          </w:p>
        </w:tc>
        <w:tc>
          <w:tcPr>
            <w:tcW w:w="320" w:type="dxa"/>
            <w:vAlign w:val="bottom"/>
          </w:tcPr>
          <w:p>
            <w:pPr>
              <w:spacing w:after="0"/>
              <w:rPr>
                <w:sz w:val="14"/>
                <w:szCs w:val="14"/>
                <w:color w:val="auto"/>
              </w:rPr>
            </w:pPr>
          </w:p>
        </w:tc>
        <w:tc>
          <w:tcPr>
            <w:tcW w:w="3020" w:type="dxa"/>
            <w:vAlign w:val="bottom"/>
          </w:tcPr>
          <w:p>
            <w:pPr>
              <w:ind w:left="96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8400 Winchester Road—Memphis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10255 East Via Linda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11650 Central Parkway—Jacksonville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13351 Overseas Highway—Marathon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4"/>
              </w:rPr>
              <w:t>475-525 Sycamore Drive—Milpitas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13400 Arbor Isle Drive—Tempe Terrace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14000 N. Hayden Road—Scottsdale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14951 Royal Oaks (Biscayne Landing)—North Miami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17093 Biscayne Boulevard—North Miami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17623-17695 N Dale Mabry Hwy—Lutz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21625 Red Rum Drive—Ashburn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46702 Bayside Parkway—Fremont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46831 Lakeview Boulevard—Fremont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Asbury Partners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New Jersey</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Acquest Government Holdings,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New York</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Acquest Government Holdings II,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New York</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Acquest Holdings FC,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New York</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ACRE CLS,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ACRE HPC,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ACRE IDG,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ACRE IDG Manager,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ACRE Seymour,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ACRE Simon,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Financial Exchange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New Jersey</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ASTAR 325 Route 17M—Monroe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1360 Greely Chapel Road—Lima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ASTAR 3950 VerPlank Road—Clay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4500 Clinton Hwy—Knoxville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ASTAR 7800 Brewerton Road—Cicero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12203 East Colonial Drive—Orlando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ASTAR ASB AR1,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AR2,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ASTAR ASB FL1,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FL2,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ASTAR ASB FL3,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FL4,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ASTAR ASB FL5,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FL6,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ASTAR ASB FL7,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FL8,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ASTAR ASB FL9,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FL10,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ASTAR ASB GA1, LLC</w:t>
            </w:r>
          </w:p>
        </w:tc>
        <w:tc>
          <w:tcPr>
            <w:tcW w:w="254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GA2, LLC</w:t>
            </w:r>
          </w:p>
        </w:tc>
        <w:tc>
          <w:tcPr>
            <w:tcW w:w="2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200" w:type="dxa"/>
            <w:vAlign w:val="bottom"/>
          </w:tcPr>
          <w:p>
            <w:pPr>
              <w:spacing w:after="0"/>
              <w:rPr>
                <w:sz w:val="20"/>
                <w:szCs w:val="20"/>
                <w:color w:val="auto"/>
              </w:rPr>
            </w:pPr>
            <w:r>
              <w:rPr>
                <w:rFonts w:ascii="Arial" w:cs="Arial" w:eastAsia="Arial" w:hAnsi="Arial"/>
                <w:sz w:val="14"/>
                <w:szCs w:val="14"/>
                <w:b w:val="1"/>
                <w:bCs w:val="1"/>
                <w:color w:val="auto"/>
                <w:w w:val="95"/>
              </w:rPr>
              <w:t>State of Formation</w:t>
            </w:r>
          </w:p>
        </w:tc>
        <w:tc>
          <w:tcPr>
            <w:tcW w:w="340" w:type="dxa"/>
            <w:vAlign w:val="bottom"/>
          </w:tcPr>
          <w:p>
            <w:pPr>
              <w:spacing w:after="0"/>
              <w:rPr>
                <w:sz w:val="14"/>
                <w:szCs w:val="14"/>
                <w:color w:val="auto"/>
              </w:rPr>
            </w:pPr>
          </w:p>
        </w:tc>
        <w:tc>
          <w:tcPr>
            <w:tcW w:w="4680" w:type="dxa"/>
            <w:vAlign w:val="bottom"/>
          </w:tcPr>
          <w:p>
            <w:pPr>
              <w:ind w:left="180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GA3,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ASB Holdings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NC1,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ASB NC2,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NC3,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ASB NC4,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TX1 GenPar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ASB TX1 LimPar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TX1 LP</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ASB VA1,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VA2,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CHA NM1,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Finance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ASTAR AF NH1,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Finance Falcon I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Finance Falcon II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FRR FL1,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FRR Holdings,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FRR TX1 GenPar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FRR TX1 LimPar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FRR TX1 LP</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G1A NH1,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Pima Road—Scottsdale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ROU AL1,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ROU LA1,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Two Notch Columbia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UAG AZ1,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UAG AZ2,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UAG AZ3,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UAG FL1,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UAG NJ1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West Genesee Street I—Syracuse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ASTAR West Genesee Street II—Syracuse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AutoStar F Funding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iStar MLV Investor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Autostar Investors Partnership LLP</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Autostar Realty GP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Autostar Realty Operating Partnership, L.P.</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Milestone Realty Operating Partnership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 Portfolio Holdings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BPT 40H Holding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Campbell Commons—Richardson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CTL I Maryland, Inc.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Dulles South (Arcola)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Dulles South (Broad Run Village)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Dulles South (Greenfields)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Dulles South (Holdco)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8614 Westwood Center Drive—Vienna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Dulles South (Lenah)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Falcon Auto Dealership,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Falcon Auto Dealership Loan Trust 2001-1</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2140" w:type="dxa"/>
            <w:vAlign w:val="bottom"/>
            <w:gridSpan w:val="2"/>
          </w:tcPr>
          <w:p>
            <w:pPr>
              <w:ind w:left="940"/>
              <w:spacing w:after="0"/>
              <w:rPr>
                <w:sz w:val="20"/>
                <w:szCs w:val="20"/>
                <w:color w:val="auto"/>
              </w:rPr>
            </w:pPr>
            <w:r>
              <w:rPr>
                <w:rFonts w:ascii="Arial" w:cs="Arial" w:eastAsia="Arial" w:hAnsi="Arial"/>
                <w:sz w:val="14"/>
                <w:szCs w:val="14"/>
                <w:b w:val="1"/>
                <w:bCs w:val="1"/>
                <w:color w:val="auto"/>
                <w:w w:val="95"/>
              </w:rPr>
              <w:t>State of Formation</w:t>
            </w:r>
          </w:p>
        </w:tc>
        <w:tc>
          <w:tcPr>
            <w:tcW w:w="340" w:type="dxa"/>
            <w:vAlign w:val="bottom"/>
          </w:tcPr>
          <w:p>
            <w:pPr>
              <w:spacing w:after="0"/>
              <w:rPr>
                <w:sz w:val="14"/>
                <w:szCs w:val="14"/>
                <w:color w:val="auto"/>
              </w:rPr>
            </w:pPr>
          </w:p>
        </w:tc>
        <w:tc>
          <w:tcPr>
            <w:tcW w:w="4840" w:type="dxa"/>
            <w:vAlign w:val="bottom"/>
          </w:tcPr>
          <w:p>
            <w:pPr>
              <w:ind w:left="188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Falcon Auto Dealership Loan Trust 2003-1</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Falcon Financial II,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Falcon Franchise Loan Corp.</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Falcon Franchise Loan Trust 1999-1</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Falcon Franchise Loan Trust 2000-1</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Florida 2005 Theaters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MUVICO Realty,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Freezer Bear Investments, LLC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Harbor Bear,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Bear, LLC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Florida</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85 10th L/C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100 LLC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100 Management Inc.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100 Riverview LLC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200-300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200-300 Management Inc.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200-300 Riverview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747 Zeckendorf LC LLC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6000 Connection LimPar Inc.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6000 Connection LP</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Alpha TRS Inc.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Alpha LLC Holdings TRS Inc.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Alpha LLC Holdings TRS II Inc.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Alpha LLC Holdings TRS III Inc.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Alpha Structured Products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Asset Services, Inc.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Starwood Asset Services,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Automotive Investments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BEST Finance LLC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Bishops Gate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Blues LLC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Bowling Centers I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iStar Fort Collins USGS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Bowling Centers II LLC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Bowling Centers I LP</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Bowling Centers II LP</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Bowling Centers Business Trust</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w w:val="98"/>
              </w:rPr>
              <w:t>Massachusetts</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Bowling Centers PR GenPar Inc.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Bowling Centers PR LP</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Busco Inc.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Columbus Circle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Corporate Collateral LLC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CS Emery Bay North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CS Kicker LLC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CS Skyline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SFI MacArthur Place—Orange County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I, L.P.</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CTL I GenPar, Inc.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Charleston—Mountain View LLC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CTL Columbia—Campbellsville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Columbia—Richfield LLC</w:t>
            </w:r>
          </w:p>
        </w:tc>
        <w:tc>
          <w:tcPr>
            <w:tcW w:w="2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iStar CTL Connection—Irving LLC</w:t>
            </w:r>
          </w:p>
        </w:tc>
        <w:tc>
          <w:tcPr>
            <w:tcW w:w="21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2960" w:type="dxa"/>
            <w:vAlign w:val="bottom"/>
            <w:gridSpan w:val="3"/>
          </w:tcPr>
          <w:p>
            <w:pPr>
              <w:ind w:left="1420"/>
              <w:spacing w:after="0"/>
              <w:rPr>
                <w:sz w:val="20"/>
                <w:szCs w:val="20"/>
                <w:color w:val="auto"/>
              </w:rPr>
            </w:pPr>
            <w:r>
              <w:rPr>
                <w:rFonts w:ascii="Arial" w:cs="Arial" w:eastAsia="Arial" w:hAnsi="Arial"/>
                <w:sz w:val="14"/>
                <w:szCs w:val="14"/>
                <w:b w:val="1"/>
                <w:bCs w:val="1"/>
                <w:color w:val="auto"/>
              </w:rPr>
              <w:t>State of Formation</w:t>
            </w:r>
          </w:p>
        </w:tc>
        <w:tc>
          <w:tcPr>
            <w:tcW w:w="3020" w:type="dxa"/>
            <w:vAlign w:val="bottom"/>
          </w:tcPr>
          <w:p>
            <w:pPr>
              <w:ind w:left="96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Corporate Center Drive— Newbury Park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CTL Corporate Drive—Dixon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20"/>
                <w:szCs w:val="20"/>
                <w:color w:val="auto"/>
              </w:rPr>
            </w:pPr>
            <w:r>
              <w:rPr>
                <w:rFonts w:ascii="Arial" w:cs="Arial" w:eastAsia="Arial" w:hAnsi="Arial"/>
                <w:sz w:val="18"/>
                <w:szCs w:val="18"/>
                <w:color w:val="auto"/>
              </w:rPr>
              <w:t>iStar Dixon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Cottonwood—Milpitas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CTL Crown Colony—Quincy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Doolittle—Redondo Beach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CTL Dublin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Eagle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CTL East Palm—Tampa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20"/>
                <w:szCs w:val="20"/>
                <w:color w:val="auto"/>
              </w:rPr>
            </w:pPr>
            <w:r>
              <w:rPr>
                <w:rFonts w:ascii="Arial" w:cs="Arial" w:eastAsia="Arial" w:hAnsi="Arial"/>
                <w:sz w:val="18"/>
                <w:szCs w:val="18"/>
                <w:color w:val="auto"/>
              </w:rPr>
              <w:t>1001 East Palm,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Falcon Franchise Loan,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CTL Finance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Holdco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CTL Inverness—Englewood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Maple—El Segundo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iStar El Segundo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CTL North Fairway Drive—Vernon Hills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North Glenville—Richardson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CTL RiverEdge Summit—Atlanta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Rue Ferrari—San Jose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CTL Shadelands—Walnut Creek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Sheila—Commerce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CTL South Havana—Englewood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Sunset Hills—Reston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CTL SW 80 Plantation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20"/>
                <w:szCs w:val="20"/>
                <w:color w:val="auto"/>
              </w:rPr>
            </w:pPr>
            <w:r>
              <w:rPr>
                <w:rFonts w:ascii="Arial" w:cs="Arial" w:eastAsia="Arial" w:hAnsi="Arial"/>
                <w:sz w:val="18"/>
                <w:szCs w:val="18"/>
                <w:color w:val="auto"/>
              </w:rPr>
              <w:t>iStar Plantation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Sylvan Way—Parsippany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CTL Waterview—Dallas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CW Preferred Holdings GenPar, Inc.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Dallas GL GenPar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Dallas GL LimPar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Dallas GL LP</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DB Seller,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DB Holdco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Denver Place,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Starwood/Denver Place,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DH Holdings TRS Inc.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Cayman Islands</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Diplomat Drive—Farmers Branch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DMI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Europe Limited</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England &amp; Wales</w:t>
            </w: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Jarbrook Limited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FBI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Financial Protective Trust</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Maryland</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Financial Statutory Trust I</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FM Kicker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FM Loans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FM REO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Ginn Holdings LLC</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GT GenPar, LLC</w:t>
            </w:r>
          </w:p>
        </w:tc>
        <w:tc>
          <w:tcPr>
            <w:tcW w:w="296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iStar GT, L.P.</w:t>
            </w:r>
          </w:p>
        </w:tc>
        <w:tc>
          <w:tcPr>
            <w:tcW w:w="2960" w:type="dxa"/>
            <w:vAlign w:val="bottom"/>
            <w:gridSpan w:val="3"/>
          </w:tcPr>
          <w:p>
            <w:pPr>
              <w:ind w:left="1420"/>
              <w:spacing w:after="0"/>
              <w:rPr>
                <w:sz w:val="20"/>
                <w:szCs w:val="20"/>
                <w:color w:val="auto"/>
              </w:rPr>
            </w:pPr>
            <w:r>
              <w:rPr>
                <w:rFonts w:ascii="Arial" w:cs="Arial" w:eastAsia="Arial" w:hAnsi="Arial"/>
                <w:sz w:val="18"/>
                <w:szCs w:val="18"/>
                <w:color w:val="auto"/>
              </w:rPr>
              <w:t>Delaware</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61"/>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3300" w:type="dxa"/>
            <w:vAlign w:val="bottom"/>
            <w:gridSpan w:val="2"/>
          </w:tcPr>
          <w:p>
            <w:pPr>
              <w:ind w:left="2080"/>
              <w:spacing w:after="0"/>
              <w:rPr>
                <w:sz w:val="20"/>
                <w:szCs w:val="20"/>
                <w:color w:val="auto"/>
              </w:rPr>
            </w:pPr>
            <w:r>
              <w:rPr>
                <w:rFonts w:ascii="Arial" w:cs="Arial" w:eastAsia="Arial" w:hAnsi="Arial"/>
                <w:sz w:val="14"/>
                <w:szCs w:val="14"/>
                <w:b w:val="1"/>
                <w:bCs w:val="1"/>
                <w:color w:val="auto"/>
                <w:w w:val="96"/>
              </w:rPr>
              <w:t>State of Formation</w:t>
            </w:r>
          </w:p>
        </w:tc>
        <w:tc>
          <w:tcPr>
            <w:tcW w:w="320" w:type="dxa"/>
            <w:vAlign w:val="bottom"/>
          </w:tcPr>
          <w:p>
            <w:pPr>
              <w:spacing w:after="0"/>
              <w:rPr>
                <w:sz w:val="14"/>
                <w:szCs w:val="14"/>
                <w:color w:val="auto"/>
              </w:rPr>
            </w:pPr>
          </w:p>
        </w:tc>
        <w:tc>
          <w:tcPr>
            <w:tcW w:w="3020" w:type="dxa"/>
            <w:vAlign w:val="bottom"/>
          </w:tcPr>
          <w:p>
            <w:pPr>
              <w:ind w:left="96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GT Statutory Trust</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Harborside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ACRE Chandler,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Harborside Member LLC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Harrisburg Business Trust</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Harrisburg GenPar LLC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Harrisburg, L.P.</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HQ 2003 LP</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HQ 2003 GenPar Inc.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iStar HQ 2003 GenPar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HQ 2003 Inc.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HQ I, Inc.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HQ I, L.P.</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HQ I GenPar, Inc.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HQ I Maryland, Inc.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HQ GT Illinois, Inc.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SFT II Illinois,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IF III LLC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Madison TRS Inc.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Merger Co. I</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Starwood Merger Co. 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Minnesota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MP TRS Inc.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Cayman</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NG GenPar Inc.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NG Inc.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NG LP</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OHACS TRS Inc.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OHAFF TRS Inc.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OHCOF GP TRS Inc.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Page Mill Road—Palo Alto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REO TRS Inc.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RC Paradise Valley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Real Estate Services, Inc.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Maryland</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TriNet Property Management,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San Jose,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SLC TRS Inc.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Solo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SPP TRS Inc.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SPP TRS II Inc.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Statutory Trust</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Sunnyvale,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Sunnyvale Partners, L.P.</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TALF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Tara LLC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Tara Holdings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Timberland Investments LLC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TN TRS Inc.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Walden, LLC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Starwood Walden,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iStar Woodward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Jersey Star LLC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w w:val="94"/>
              </w:rPr>
              <w:t>1400 Ocean Avenue—Asbury Park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King Farm Royalton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 Bear, LLC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Lucky Bear,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Lysol Limited</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Cyprus</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MN Theaters 2006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Minnesota</w:t>
            </w:r>
          </w:p>
        </w:tc>
        <w:tc>
          <w:tcPr>
            <w:tcW w:w="3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GAC Theaters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MSK Resort Finance LLC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Navy Bear, LLC</w:t>
            </w:r>
          </w:p>
        </w:tc>
        <w:tc>
          <w:tcPr>
            <w:tcW w:w="3300" w:type="dxa"/>
            <w:vAlign w:val="bottom"/>
            <w:gridSpan w:val="2"/>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NewPar, LLC</w:t>
            </w:r>
          </w:p>
        </w:tc>
        <w:tc>
          <w:tcPr>
            <w:tcW w:w="3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61"/>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760" w:type="dxa"/>
            <w:vAlign w:val="bottom"/>
            <w:gridSpan w:val="2"/>
          </w:tcPr>
          <w:p>
            <w:pPr>
              <w:ind w:left="540"/>
              <w:spacing w:after="0"/>
              <w:rPr>
                <w:sz w:val="20"/>
                <w:szCs w:val="20"/>
                <w:color w:val="auto"/>
              </w:rPr>
            </w:pPr>
            <w:r>
              <w:rPr>
                <w:rFonts w:ascii="Arial" w:cs="Arial" w:eastAsia="Arial" w:hAnsi="Arial"/>
                <w:sz w:val="14"/>
                <w:szCs w:val="14"/>
                <w:b w:val="1"/>
                <w:bCs w:val="1"/>
                <w:color w:val="auto"/>
                <w:w w:val="96"/>
              </w:rPr>
              <w:t>State of Formation</w:t>
            </w:r>
          </w:p>
        </w:tc>
        <w:tc>
          <w:tcPr>
            <w:tcW w:w="320" w:type="dxa"/>
            <w:vAlign w:val="bottom"/>
          </w:tcPr>
          <w:p>
            <w:pPr>
              <w:spacing w:after="0"/>
              <w:rPr>
                <w:sz w:val="14"/>
                <w:szCs w:val="14"/>
                <w:color w:val="auto"/>
              </w:rPr>
            </w:pPr>
          </w:p>
        </w:tc>
        <w:tc>
          <w:tcPr>
            <w:tcW w:w="4640" w:type="dxa"/>
            <w:vAlign w:val="bottom"/>
          </w:tcPr>
          <w:p>
            <w:pPr>
              <w:ind w:left="178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NewPar/New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Peachy Bear,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Piscataway Road—Clinton MD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Plaza X Leasing Associates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New Jersey</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Plaza X Realty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New Jersey</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Plaza X Urban Renewal Associates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New Jersey</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 Lion G.P., Inc.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RLH Partnership, L.P.</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 Oaks Lane (Biscayne Landing)—North Miami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SCC Distribution Centers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iStar SCC Distribution Centers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I,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Ballpark Village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Ballpark Village TRS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Dallas FC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1321 Greenway Drive—Irving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Harborshire GenPar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328-342 Washington Blvd—Jersey City GenPar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Harborshire LimPar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328-342 Washington Blvd—Jersey City LimPar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Ilikai LL Inc.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Ilikai LL Parent Inc.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Ilikai Retail Owner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Ilikai Property Owner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Ilikai TRS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Kapolei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Kukio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Kula 1800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Kauai Operator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Kauai Owner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Kauai TRS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Kaupulehu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Los Valles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Los Valles REO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Los Valles TRS</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MacArthur Place—Orange County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Mammoth Owner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iStar CTL Colshire—MacLean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Marina Investments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Naples Reserve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Northwest Investor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River Oaks—Miami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SMR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SOHO TRS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Theater Investments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SFT I, Inc.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SFT II, Inc.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SFT/RLH, Inc.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SFT Venturer,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Waipouli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Waipouli TRS LLC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SFI Warehouse Funding NY LLC</w:t>
            </w: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SFT Whole Loans A, Inc.</w:t>
            </w:r>
          </w:p>
        </w:tc>
        <w:tc>
          <w:tcPr>
            <w:tcW w:w="1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2760" w:type="dxa"/>
            <w:vAlign w:val="bottom"/>
            <w:gridSpan w:val="2"/>
          </w:tcPr>
          <w:p>
            <w:pPr>
              <w:ind w:left="1540"/>
              <w:spacing w:after="0"/>
              <w:rPr>
                <w:sz w:val="20"/>
                <w:szCs w:val="20"/>
                <w:color w:val="auto"/>
              </w:rPr>
            </w:pPr>
            <w:r>
              <w:rPr>
                <w:rFonts w:ascii="Arial" w:cs="Arial" w:eastAsia="Arial" w:hAnsi="Arial"/>
                <w:sz w:val="14"/>
                <w:szCs w:val="14"/>
                <w:b w:val="1"/>
                <w:bCs w:val="1"/>
                <w:color w:val="auto"/>
                <w:w w:val="96"/>
              </w:rPr>
              <w:t>State of Formation</w:t>
            </w:r>
          </w:p>
        </w:tc>
        <w:tc>
          <w:tcPr>
            <w:tcW w:w="320" w:type="dxa"/>
            <w:vAlign w:val="bottom"/>
          </w:tcPr>
          <w:p>
            <w:pPr>
              <w:spacing w:after="0"/>
              <w:rPr>
                <w:sz w:val="14"/>
                <w:szCs w:val="14"/>
                <w:color w:val="auto"/>
              </w:rPr>
            </w:pPr>
          </w:p>
        </w:tc>
        <w:tc>
          <w:tcPr>
            <w:tcW w:w="3020" w:type="dxa"/>
            <w:vAlign w:val="bottom"/>
          </w:tcPr>
          <w:p>
            <w:pPr>
              <w:ind w:left="96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Shore Road—Long Beach Superblock LLC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Shore Road—Long Beach Superblock TRS LLC</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Spring Mountain Ranch REO LLC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State Road 710—Indiantown LLC</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Road 710—Indiantown TRS LLC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TimberStar GP LLC</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TimberStar Investors Partnership LLP</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TimberStar Operating Partnership, L.P.</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TimberStar Selling Party Representative Holdco LLC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TimberStar Southwest Investor LLC</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TimberStar Southwest LLC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TimberStar Southwest Management Advisor LLC</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TimberStar TRS, Inc.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TimberStar TRS II, Inc.</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TRS II,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Corporate Partners II, L.P.</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TriNet Corporate Partners III, L.P.</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Essential Facilities X, Inc.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Maryland</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TriNet Essential Facilities XII, Inc.</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Maryland</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Essential Facilities XIX, Inc.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Maryland</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TriNet Essential Facilities XX, Inc.</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Maryland</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Essential Facilities XXIII, Inc.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Maryland</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TriNet Essential Facilities XXVI, Inc.</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Maryland</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Essential Facilities XXVII, Inc.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Maryland</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TriNet Milpitas Associates, LLC</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Realty Investors II, Inc.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Maryland</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TriNet Sunnyvale Partners, L.P.</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Sunnyvale Partners,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TSM I, LLC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TSM II, LLC</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 Bear, LLC</w:t>
            </w:r>
          </w:p>
        </w:tc>
        <w:tc>
          <w:tcPr>
            <w:tcW w:w="2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Vector Urban Renewal Associates I, L.P.</w:t>
            </w:r>
          </w:p>
        </w:tc>
        <w:tc>
          <w:tcPr>
            <w:tcW w:w="276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0" w:right="1440" w:bottom="1440" w:gutter="0" w:footer="0" w:header="0"/>
        </w:sectPr>
      </w:pPr>
    </w:p>
    <w:bookmarkStart w:id="146" w:name="page147"/>
    <w:bookmarkEnd w:id="146"/>
    <w:p>
      <w:pPr>
        <w:spacing w:after="0"/>
        <w:rPr>
          <w:rFonts w:ascii="Arial" w:cs="Arial" w:eastAsia="Arial" w:hAnsi="Arial"/>
          <w:sz w:val="22"/>
          <w:szCs w:val="22"/>
          <w:color w:val="0000EE"/>
        </w:rPr>
      </w:pPr>
      <w:hyperlink w:anchor="page14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firstLine="388"/>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Forms S-3 (Nos. 333-124795, 333-73592, 333-114113, 333-142539) and Forms S-8 (Nos. 333-34300 and 333-140003) of iStar Financial Inc. of our report dated February 26, 2010, relating to the financial statements, financial statement schedules,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Exhibit 23.1</w:t>
        </w:r>
      </w:hyperlink>
    </w:p>
    <w:p>
      <w:pPr>
        <w:sectPr>
          <w:pgSz w:w="11900" w:h="16838" w:orient="portrait"/>
          <w:cols w:equalWidth="0" w:num="1">
            <w:col w:w="10219"/>
          </w:cols>
          <w:pgMar w:left="240" w:top="820" w:right="1440" w:bottom="1440" w:gutter="0" w:footer="0" w:header="0"/>
        </w:sectPr>
      </w:pPr>
    </w:p>
    <w:bookmarkStart w:id="148" w:name="page149"/>
    <w:bookmarkEnd w:id="148"/>
    <w:p>
      <w:pPr>
        <w:spacing w:after="0"/>
        <w:rPr>
          <w:rFonts w:ascii="Arial" w:cs="Arial" w:eastAsia="Arial" w:hAnsi="Arial"/>
          <w:sz w:val="22"/>
          <w:szCs w:val="22"/>
          <w:color w:val="0000EE"/>
        </w:rPr>
      </w:pPr>
      <w:hyperlink w:anchor="page1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iStar Financial Inc.;</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620" w:right="20" w:hanging="532"/>
        <w:spacing w:after="0" w:line="259"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620" w:hanging="532"/>
        <w:spacing w:after="0" w:line="259"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620" w:hanging="532"/>
        <w:spacing w:after="0" w:line="332" w:lineRule="auto"/>
        <w:tabs>
          <w:tab w:leader="none" w:pos="16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620" w:right="20" w:hanging="532"/>
        <w:spacing w:after="0" w:line="332" w:lineRule="auto"/>
        <w:tabs>
          <w:tab w:leader="none" w:pos="16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hanging="532"/>
        <w:spacing w:after="0" w:line="268"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3920" w:val="left"/>
          <w:tab w:leader="none" w:pos="4460" w:val="left"/>
        </w:tabs>
        <w:rPr>
          <w:sz w:val="20"/>
          <w:szCs w:val="20"/>
          <w:color w:val="auto"/>
        </w:rPr>
      </w:pPr>
      <w:r>
        <w:rPr>
          <w:rFonts w:ascii="Arial" w:cs="Arial" w:eastAsia="Arial" w:hAnsi="Arial"/>
          <w:sz w:val="18"/>
          <w:szCs w:val="18"/>
          <w:color w:val="auto"/>
        </w:rPr>
        <w:t>Date: February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62230</wp:posOffset>
            </wp:positionV>
            <wp:extent cx="442531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17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4480"/>
        <w:spacing w:after="0"/>
        <w:tabs>
          <w:tab w:leader="none" w:pos="5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James D. Burns, certify that:</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iStar Financial Inc.;</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620" w:right="20" w:hanging="532"/>
        <w:spacing w:after="0" w:line="259"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620" w:hanging="532"/>
        <w:spacing w:after="0" w:line="259"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620" w:hanging="532"/>
        <w:spacing w:after="0" w:line="332" w:lineRule="auto"/>
        <w:tabs>
          <w:tab w:leader="none" w:pos="16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620" w:right="20" w:hanging="532"/>
        <w:spacing w:after="0" w:line="332" w:lineRule="auto"/>
        <w:tabs>
          <w:tab w:leader="none" w:pos="16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hanging="532"/>
        <w:spacing w:after="0" w:line="268"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3920" w:val="left"/>
          <w:tab w:leader="none" w:pos="4460" w:val="left"/>
        </w:tabs>
        <w:rPr>
          <w:sz w:val="20"/>
          <w:szCs w:val="20"/>
          <w:color w:val="auto"/>
        </w:rPr>
      </w:pPr>
      <w:r>
        <w:rPr>
          <w:rFonts w:ascii="Arial" w:cs="Arial" w:eastAsia="Arial" w:hAnsi="Arial"/>
          <w:sz w:val="18"/>
          <w:szCs w:val="18"/>
          <w:color w:val="auto"/>
        </w:rPr>
        <w:t>Date: February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D.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62230</wp:posOffset>
            </wp:positionV>
            <wp:extent cx="44253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17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James D. Burns</w:t>
      </w:r>
    </w:p>
    <w:p>
      <w:pPr>
        <w:spacing w:after="0" w:line="15" w:lineRule="exact"/>
        <w:rPr>
          <w:sz w:val="20"/>
          <w:szCs w:val="20"/>
          <w:color w:val="auto"/>
        </w:rPr>
      </w:pPr>
    </w:p>
    <w:p>
      <w:pPr>
        <w:ind w:left="4480"/>
        <w:spacing w:after="0"/>
        <w:tabs>
          <w:tab w:leader="none" w:pos="5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Exhibit 31.0</w:t>
        </w:r>
      </w:hyperlink>
    </w:p>
    <w:p>
      <w:pPr>
        <w:sectPr>
          <w:pgSz w:w="11900" w:h="16838" w:orient="portrait"/>
          <w:cols w:equalWidth="0" w:num="1">
            <w:col w:w="10219"/>
          </w:cols>
          <w:pgMar w:left="240" w:top="820" w:right="1440" w:bottom="1440" w:gutter="0" w:footer="0" w:header="0"/>
        </w:sectPr>
      </w:pPr>
    </w:p>
    <w:bookmarkStart w:id="151" w:name="page152"/>
    <w:bookmarkEnd w:id="151"/>
    <w:p>
      <w:pPr>
        <w:spacing w:after="0"/>
        <w:rPr>
          <w:rFonts w:ascii="Arial" w:cs="Arial" w:eastAsia="Arial" w:hAnsi="Arial"/>
          <w:sz w:val="22"/>
          <w:szCs w:val="22"/>
          <w:color w:val="0000EE"/>
        </w:rPr>
      </w:pPr>
      <w:hyperlink w:anchor="page15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32.0</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1350(a), as adopted pursuant to Section 906 of The Sarbanes-Oxley Act of 2002, that the Annual Report on Form 10-K for the year ended December 31, 2009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spacing w:after="0"/>
        <w:tabs>
          <w:tab w:leader="none" w:pos="3920" w:val="left"/>
          <w:tab w:leader="none" w:pos="4380" w:val="left"/>
        </w:tabs>
        <w:rPr>
          <w:sz w:val="20"/>
          <w:szCs w:val="20"/>
          <w:color w:val="auto"/>
        </w:rPr>
      </w:pPr>
      <w:r>
        <w:rPr>
          <w:rFonts w:ascii="Arial" w:cs="Arial" w:eastAsia="Arial" w:hAnsi="Arial"/>
          <w:sz w:val="18"/>
          <w:szCs w:val="18"/>
          <w:color w:val="auto"/>
        </w:rPr>
        <w:t>Date: February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71120</wp:posOffset>
            </wp:positionV>
            <wp:extent cx="44767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17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4400"/>
        <w:spacing w:after="0"/>
        <w:tabs>
          <w:tab w:leader="none" w:pos="4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1350(a), as adopted pursuant to Section 906 of The Sarbanes-Oxley Act of 2002, that the Annual Report on Form 10-K for the year ended December 31, 2009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spacing w:after="0"/>
        <w:tabs>
          <w:tab w:leader="none" w:pos="3920" w:val="left"/>
          <w:tab w:leader="none" w:pos="4380" w:val="left"/>
        </w:tabs>
        <w:rPr>
          <w:sz w:val="20"/>
          <w:szCs w:val="20"/>
          <w:color w:val="auto"/>
        </w:rPr>
      </w:pPr>
      <w:r>
        <w:rPr>
          <w:rFonts w:ascii="Arial" w:cs="Arial" w:eastAsia="Arial" w:hAnsi="Arial"/>
          <w:sz w:val="18"/>
          <w:szCs w:val="18"/>
          <w:color w:val="auto"/>
        </w:rPr>
        <w:t>Date: February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D.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71120</wp:posOffset>
            </wp:positionV>
            <wp:extent cx="44767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17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James D. Burns</w:t>
      </w:r>
    </w:p>
    <w:p>
      <w:pPr>
        <w:spacing w:after="0" w:line="15" w:lineRule="exact"/>
        <w:rPr>
          <w:sz w:val="20"/>
          <w:szCs w:val="20"/>
          <w:color w:val="auto"/>
        </w:rPr>
      </w:pPr>
    </w:p>
    <w:p>
      <w:pPr>
        <w:ind w:left="4400"/>
        <w:spacing w:after="0"/>
        <w:tabs>
          <w:tab w:leader="none" w:pos="4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Exhibit 32.0</w:t>
        </w:r>
      </w:hyperlink>
    </w:p>
    <w:sectPr>
      <w:pgSz w:w="11900" w:h="16838" w:orient="portrait"/>
      <w:cols w:equalWidth="0" w:num="1">
        <w:col w:w="10219"/>
      </w:cols>
      <w:pgMar w:left="240" w:top="8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5"/>
    </w:lvl>
  </w:abstractNum>
  <w:abstractNum w:abstractNumId="17">
    <w:nsid w:val="5072367"/>
    <w:multiLevelType w:val="hybridMultilevel"/>
    <w:lvl w:ilvl="0">
      <w:lvlJc w:val="left"/>
      <w:lvlText w:val="%1"/>
      <w:numFmt w:val="decimal"/>
      <w:start w:val="1"/>
    </w:lvl>
    <w:lvl w:ilvl="1">
      <w:lvlJc w:val="left"/>
      <w:lvlText w:val="(%2)"/>
      <w:numFmt w:val="decimal"/>
      <w:start w:val="1"/>
    </w:lvl>
  </w:abstractNum>
  <w:abstractNum w:abstractNumId="18">
    <w:nsid w:val="3804823E"/>
    <w:multiLevelType w:val="hybridMultilevel"/>
    <w:lvl w:ilvl="0">
      <w:lvlJc w:val="left"/>
      <w:lvlText w:val="(%1)"/>
      <w:numFmt w:val="decimal"/>
      <w:start w:val="8"/>
    </w:lvl>
    <w:lvl w:ilvl="1">
      <w:lvlJc w:val="left"/>
      <w:lvlText w:val="%2"/>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lowerRoman"/>
      <w:start w:val="3"/>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4"/>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8"/>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2019-12-10T18:14:23Z</dcterms:created>
  <dcterms:modified xsi:type="dcterms:W3CDTF">2019-12-10T18:14:23Z</dcterms:modified>
</cp:coreProperties>
</file>