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77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15"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10-K</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ind w:left="1300"/>
        <w:spacing w:after="0"/>
        <w:rPr>
          <w:sz w:val="20"/>
          <w:szCs w:val="20"/>
          <w:color w:val="auto"/>
        </w:rPr>
      </w:pPr>
      <w:r>
        <w:rPr>
          <w:rFonts w:ascii="Arial" w:cs="Arial" w:eastAsia="Arial" w:hAnsi="Arial"/>
          <w:sz w:val="14"/>
          <w:szCs w:val="14"/>
          <w:b w:val="1"/>
          <w:bCs w:val="1"/>
          <w:color w:val="auto"/>
        </w:rPr>
        <w:t>(Mark One)</w:t>
      </w:r>
    </w:p>
    <w:p>
      <w:pPr>
        <w:spacing w:after="0" w:line="37" w:lineRule="exact"/>
        <w:rPr>
          <w:sz w:val="24"/>
          <w:szCs w:val="24"/>
          <w:color w:val="auto"/>
        </w:rPr>
      </w:pPr>
    </w:p>
    <w:p>
      <w:pPr>
        <w:ind w:left="2660" w:hanging="1079"/>
        <w:spacing w:after="0"/>
        <w:tabs>
          <w:tab w:leader="none" w:pos="26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w:t>
      </w:r>
    </w:p>
    <w:p>
      <w:pPr>
        <w:spacing w:after="0" w:line="14" w:lineRule="exact"/>
        <w:rPr>
          <w:sz w:val="24"/>
          <w:szCs w:val="24"/>
          <w:color w:val="auto"/>
        </w:rPr>
      </w:pPr>
    </w:p>
    <w:p>
      <w:pPr>
        <w:ind w:left="2660"/>
        <w:spacing w:after="0"/>
        <w:rPr>
          <w:sz w:val="20"/>
          <w:szCs w:val="20"/>
          <w:color w:val="auto"/>
        </w:rPr>
      </w:pPr>
      <w:r>
        <w:rPr>
          <w:rFonts w:ascii="Arial" w:cs="Arial" w:eastAsia="Arial" w:hAnsi="Arial"/>
          <w:sz w:val="22"/>
          <w:szCs w:val="22"/>
          <w:b w:val="1"/>
          <w:bCs w:val="1"/>
          <w:color w:val="auto"/>
        </w:rPr>
        <w:t>SECURITIES EXCHANGE ACT OF 1934</w:t>
      </w:r>
    </w:p>
    <w:p>
      <w:pPr>
        <w:spacing w:after="0" w:line="25" w:lineRule="exact"/>
        <w:rPr>
          <w:sz w:val="24"/>
          <w:szCs w:val="24"/>
          <w:color w:val="auto"/>
        </w:rPr>
      </w:pPr>
    </w:p>
    <w:p>
      <w:pPr>
        <w:jc w:val="center"/>
        <w:ind w:right="-439"/>
        <w:spacing w:after="0"/>
        <w:rPr>
          <w:sz w:val="20"/>
          <w:szCs w:val="20"/>
          <w:color w:val="auto"/>
        </w:rPr>
      </w:pPr>
      <w:r>
        <w:rPr>
          <w:rFonts w:ascii="Arial" w:cs="Arial" w:eastAsia="Arial" w:hAnsi="Arial"/>
          <w:sz w:val="14"/>
          <w:szCs w:val="14"/>
          <w:b w:val="1"/>
          <w:bCs w:val="1"/>
          <w:color w:val="auto"/>
        </w:rPr>
        <w:t>For the fiscal year ended December 31, 2013</w:t>
      </w:r>
    </w:p>
    <w:p>
      <w:pPr>
        <w:spacing w:after="0" w:line="42" w:lineRule="exact"/>
        <w:rPr>
          <w:sz w:val="24"/>
          <w:szCs w:val="24"/>
          <w:color w:val="auto"/>
        </w:rPr>
      </w:pPr>
    </w:p>
    <w:p>
      <w:pPr>
        <w:jc w:val="center"/>
        <w:ind w:right="-439"/>
        <w:spacing w:after="0"/>
        <w:rPr>
          <w:sz w:val="20"/>
          <w:szCs w:val="20"/>
          <w:color w:val="auto"/>
        </w:rPr>
      </w:pPr>
      <w:r>
        <w:rPr>
          <w:rFonts w:ascii="Arial" w:cs="Arial" w:eastAsia="Arial" w:hAnsi="Arial"/>
          <w:sz w:val="14"/>
          <w:szCs w:val="14"/>
          <w:b w:val="1"/>
          <w:bCs w:val="1"/>
          <w:color w:val="auto"/>
        </w:rPr>
        <w:t>OR</w:t>
      </w:r>
    </w:p>
    <w:p>
      <w:pPr>
        <w:spacing w:after="0" w:line="37" w:lineRule="exact"/>
        <w:rPr>
          <w:sz w:val="24"/>
          <w:szCs w:val="24"/>
          <w:color w:val="auto"/>
        </w:rPr>
      </w:pPr>
    </w:p>
    <w:p>
      <w:pPr>
        <w:ind w:left="2660" w:hanging="1038"/>
        <w:spacing w:after="0"/>
        <w:tabs>
          <w:tab w:leader="none" w:pos="26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w:t>
      </w:r>
    </w:p>
    <w:p>
      <w:pPr>
        <w:spacing w:after="0" w:line="14" w:lineRule="exact"/>
        <w:rPr>
          <w:sz w:val="24"/>
          <w:szCs w:val="24"/>
          <w:color w:val="auto"/>
        </w:rPr>
      </w:pPr>
    </w:p>
    <w:p>
      <w:pPr>
        <w:ind w:left="2660"/>
        <w:spacing w:after="0"/>
        <w:rPr>
          <w:sz w:val="20"/>
          <w:szCs w:val="20"/>
          <w:color w:val="auto"/>
        </w:rPr>
      </w:pPr>
      <w:r>
        <w:rPr>
          <w:rFonts w:ascii="Arial" w:cs="Arial" w:eastAsia="Arial" w:hAnsi="Arial"/>
          <w:sz w:val="22"/>
          <w:szCs w:val="22"/>
          <w:b w:val="1"/>
          <w:bCs w:val="1"/>
          <w:color w:val="auto"/>
        </w:rPr>
        <w:t>SECURITIES EXCHANGE ACT OF 1934</w:t>
      </w:r>
    </w:p>
    <w:p>
      <w:pPr>
        <w:spacing w:after="0" w:line="25" w:lineRule="exact"/>
        <w:rPr>
          <w:sz w:val="24"/>
          <w:szCs w:val="24"/>
          <w:color w:val="auto"/>
        </w:rPr>
      </w:pPr>
    </w:p>
    <w:p>
      <w:pPr>
        <w:ind w:left="4040"/>
        <w:spacing w:after="0"/>
        <w:tabs>
          <w:tab w:leader="none" w:pos="660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50" w:lineRule="exact"/>
        <w:rPr>
          <w:sz w:val="24"/>
          <w:szCs w:val="24"/>
          <w:color w:val="auto"/>
        </w:rPr>
      </w:pPr>
    </w:p>
    <w:p>
      <w:pPr>
        <w:jc w:val="center"/>
        <w:ind w:right="-439"/>
        <w:spacing w:after="0"/>
        <w:rPr>
          <w:sz w:val="20"/>
          <w:szCs w:val="20"/>
          <w:color w:val="auto"/>
        </w:rPr>
      </w:pPr>
      <w:r>
        <w:rPr>
          <w:rFonts w:ascii="Arial" w:cs="Arial" w:eastAsia="Arial" w:hAnsi="Arial"/>
          <w:sz w:val="14"/>
          <w:szCs w:val="14"/>
          <w:b w:val="1"/>
          <w:bCs w:val="1"/>
          <w:color w:val="auto"/>
        </w:rPr>
        <w:t>Commission File No. 1-15371</w:t>
      </w:r>
    </w:p>
    <w:p>
      <w:pPr>
        <w:spacing w:after="0" w:line="140"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7" w:lineRule="exact"/>
        <w:rPr>
          <w:sz w:val="24"/>
          <w:szCs w:val="24"/>
          <w:color w:val="auto"/>
        </w:rPr>
      </w:pPr>
    </w:p>
    <w:tbl>
      <w:tblPr>
        <w:tblLayout w:type="fixed"/>
        <w:tblInd w:w="1220" w:type="dxa"/>
        <w:tblCellMar>
          <w:top w:w="0" w:type="dxa"/>
          <w:left w:w="0" w:type="dxa"/>
          <w:bottom w:w="0" w:type="dxa"/>
          <w:right w:w="0" w:type="dxa"/>
        </w:tblCellMar>
      </w:tblPr>
      <w:tr>
        <w:trPr>
          <w:trHeight w:val="391"/>
        </w:trPr>
        <w:tc>
          <w:tcPr>
            <w:tcW w:w="6500" w:type="dxa"/>
            <w:vAlign w:val="bottom"/>
          </w:tcPr>
          <w:p>
            <w:pPr>
              <w:jc w:val="center"/>
              <w:ind w:left="2381"/>
              <w:spacing w:after="0"/>
              <w:rPr>
                <w:sz w:val="20"/>
                <w:szCs w:val="20"/>
                <w:color w:val="auto"/>
              </w:rPr>
            </w:pPr>
            <w:r>
              <w:rPr>
                <w:rFonts w:ascii="Arial" w:cs="Arial" w:eastAsia="Arial" w:hAnsi="Arial"/>
                <w:sz w:val="32"/>
                <w:szCs w:val="32"/>
                <w:b w:val="1"/>
                <w:bCs w:val="1"/>
                <w:color w:val="auto"/>
              </w:rPr>
              <w:t>iSTAR FINANCIAL INC.</w:t>
            </w:r>
          </w:p>
        </w:tc>
        <w:tc>
          <w:tcPr>
            <w:tcW w:w="1800" w:type="dxa"/>
            <w:vAlign w:val="bottom"/>
          </w:tcPr>
          <w:p>
            <w:pPr>
              <w:spacing w:after="0"/>
              <w:rPr>
                <w:sz w:val="24"/>
                <w:szCs w:val="24"/>
                <w:color w:val="auto"/>
              </w:rPr>
            </w:pPr>
          </w:p>
        </w:tc>
      </w:tr>
      <w:tr>
        <w:trPr>
          <w:trHeight w:val="230"/>
        </w:trPr>
        <w:tc>
          <w:tcPr>
            <w:tcW w:w="6500" w:type="dxa"/>
            <w:vAlign w:val="bottom"/>
          </w:tcPr>
          <w:p>
            <w:pPr>
              <w:jc w:val="center"/>
              <w:ind w:left="2401"/>
              <w:spacing w:after="0"/>
              <w:rPr>
                <w:sz w:val="20"/>
                <w:szCs w:val="20"/>
                <w:color w:val="auto"/>
              </w:rPr>
            </w:pPr>
            <w:r>
              <w:rPr>
                <w:rFonts w:ascii="Arial" w:cs="Arial" w:eastAsia="Arial" w:hAnsi="Arial"/>
                <w:sz w:val="18"/>
                <w:szCs w:val="18"/>
                <w:color w:val="auto"/>
                <w:w w:val="90"/>
              </w:rPr>
              <w:t>(Exact name of registrant as specified in its charter)</w:t>
            </w:r>
          </w:p>
        </w:tc>
        <w:tc>
          <w:tcPr>
            <w:tcW w:w="1800" w:type="dxa"/>
            <w:vAlign w:val="bottom"/>
          </w:tcPr>
          <w:p>
            <w:pPr>
              <w:spacing w:after="0"/>
              <w:rPr>
                <w:sz w:val="20"/>
                <w:szCs w:val="20"/>
                <w:color w:val="auto"/>
              </w:rPr>
            </w:pPr>
          </w:p>
        </w:tc>
      </w:tr>
      <w:tr>
        <w:trPr>
          <w:trHeight w:val="499"/>
        </w:trPr>
        <w:tc>
          <w:tcPr>
            <w:tcW w:w="6500" w:type="dxa"/>
            <w:vAlign w:val="bottom"/>
          </w:tcPr>
          <w:p>
            <w:pPr>
              <w:jc w:val="center"/>
              <w:ind w:right="3341"/>
              <w:spacing w:after="0"/>
              <w:rPr>
                <w:sz w:val="20"/>
                <w:szCs w:val="20"/>
                <w:color w:val="auto"/>
              </w:rPr>
            </w:pPr>
            <w:r>
              <w:rPr>
                <w:rFonts w:ascii="Arial" w:cs="Arial" w:eastAsia="Arial" w:hAnsi="Arial"/>
                <w:sz w:val="18"/>
                <w:szCs w:val="18"/>
                <w:b w:val="1"/>
                <w:bCs w:val="1"/>
                <w:color w:val="auto"/>
                <w:w w:val="98"/>
              </w:rPr>
              <w:t>Maryland</w:t>
            </w:r>
          </w:p>
        </w:tc>
        <w:tc>
          <w:tcPr>
            <w:tcW w:w="1800" w:type="dxa"/>
            <w:vAlign w:val="bottom"/>
          </w:tcPr>
          <w:p>
            <w:pPr>
              <w:jc w:val="right"/>
              <w:ind w:right="310"/>
              <w:spacing w:after="0"/>
              <w:rPr>
                <w:sz w:val="20"/>
                <w:szCs w:val="20"/>
                <w:color w:val="auto"/>
              </w:rPr>
            </w:pPr>
            <w:r>
              <w:rPr>
                <w:rFonts w:ascii="Arial" w:cs="Arial" w:eastAsia="Arial" w:hAnsi="Arial"/>
                <w:sz w:val="18"/>
                <w:szCs w:val="18"/>
                <w:b w:val="1"/>
                <w:bCs w:val="1"/>
                <w:color w:val="auto"/>
              </w:rPr>
              <w:t>95-6881527</w:t>
            </w:r>
          </w:p>
        </w:tc>
      </w:tr>
      <w:tr>
        <w:trPr>
          <w:trHeight w:val="216"/>
        </w:trPr>
        <w:tc>
          <w:tcPr>
            <w:tcW w:w="6500" w:type="dxa"/>
            <w:vAlign w:val="bottom"/>
          </w:tcPr>
          <w:p>
            <w:pPr>
              <w:jc w:val="center"/>
              <w:ind w:right="3341"/>
              <w:spacing w:after="0"/>
              <w:rPr>
                <w:sz w:val="20"/>
                <w:szCs w:val="20"/>
                <w:color w:val="auto"/>
              </w:rPr>
            </w:pPr>
            <w:r>
              <w:rPr>
                <w:rFonts w:ascii="Arial" w:cs="Arial" w:eastAsia="Arial" w:hAnsi="Arial"/>
                <w:sz w:val="18"/>
                <w:szCs w:val="18"/>
                <w:color w:val="auto"/>
                <w:w w:val="93"/>
              </w:rPr>
              <w:t>(State or other jurisdiction of</w:t>
            </w:r>
          </w:p>
        </w:tc>
        <w:tc>
          <w:tcPr>
            <w:tcW w:w="1800" w:type="dxa"/>
            <w:vAlign w:val="bottom"/>
          </w:tcPr>
          <w:p>
            <w:pPr>
              <w:jc w:val="center"/>
              <w:ind w:left="50"/>
              <w:spacing w:after="0"/>
              <w:rPr>
                <w:sz w:val="20"/>
                <w:szCs w:val="20"/>
                <w:color w:val="auto"/>
              </w:rPr>
            </w:pPr>
            <w:r>
              <w:rPr>
                <w:rFonts w:ascii="Arial" w:cs="Arial" w:eastAsia="Arial" w:hAnsi="Arial"/>
                <w:sz w:val="18"/>
                <w:szCs w:val="18"/>
                <w:color w:val="auto"/>
                <w:w w:val="92"/>
              </w:rPr>
              <w:t>(I.R.S. Employer</w:t>
            </w:r>
          </w:p>
        </w:tc>
      </w:tr>
      <w:tr>
        <w:trPr>
          <w:trHeight w:val="230"/>
        </w:trPr>
        <w:tc>
          <w:tcPr>
            <w:tcW w:w="6500" w:type="dxa"/>
            <w:vAlign w:val="bottom"/>
          </w:tcPr>
          <w:p>
            <w:pPr>
              <w:jc w:val="center"/>
              <w:ind w:right="3341"/>
              <w:spacing w:after="0"/>
              <w:rPr>
                <w:sz w:val="20"/>
                <w:szCs w:val="20"/>
                <w:color w:val="auto"/>
              </w:rPr>
            </w:pPr>
            <w:r>
              <w:rPr>
                <w:rFonts w:ascii="Arial" w:cs="Arial" w:eastAsia="Arial" w:hAnsi="Arial"/>
                <w:sz w:val="18"/>
                <w:szCs w:val="18"/>
                <w:color w:val="auto"/>
                <w:w w:val="93"/>
              </w:rPr>
              <w:t>incorporation or organization)</w:t>
            </w:r>
          </w:p>
        </w:tc>
        <w:tc>
          <w:tcPr>
            <w:tcW w:w="1800" w:type="dxa"/>
            <w:vAlign w:val="bottom"/>
          </w:tcPr>
          <w:p>
            <w:pPr>
              <w:jc w:val="center"/>
              <w:ind w:left="50"/>
              <w:spacing w:after="0"/>
              <w:rPr>
                <w:sz w:val="20"/>
                <w:szCs w:val="20"/>
                <w:color w:val="auto"/>
              </w:rPr>
            </w:pPr>
            <w:r>
              <w:rPr>
                <w:rFonts w:ascii="Arial" w:cs="Arial" w:eastAsia="Arial" w:hAnsi="Arial"/>
                <w:sz w:val="18"/>
                <w:szCs w:val="18"/>
                <w:color w:val="auto"/>
                <w:w w:val="94"/>
              </w:rPr>
              <w:t>Identification Number)</w:t>
            </w:r>
          </w:p>
        </w:tc>
      </w:tr>
      <w:tr>
        <w:trPr>
          <w:trHeight w:val="270"/>
        </w:trPr>
        <w:tc>
          <w:tcPr>
            <w:tcW w:w="6500" w:type="dxa"/>
            <w:vAlign w:val="bottom"/>
          </w:tcPr>
          <w:p>
            <w:pPr>
              <w:jc w:val="center"/>
              <w:ind w:right="3341"/>
              <w:spacing w:after="0"/>
              <w:rPr>
                <w:sz w:val="20"/>
                <w:szCs w:val="20"/>
                <w:color w:val="auto"/>
              </w:rPr>
            </w:pPr>
            <w:r>
              <w:rPr>
                <w:rFonts w:ascii="Arial" w:cs="Arial" w:eastAsia="Arial" w:hAnsi="Arial"/>
                <w:sz w:val="18"/>
                <w:szCs w:val="18"/>
                <w:b w:val="1"/>
                <w:bCs w:val="1"/>
                <w:color w:val="auto"/>
                <w:w w:val="89"/>
              </w:rPr>
              <w:t>1114 Avenue of the Americas, 39</w:t>
            </w:r>
            <w:r>
              <w:rPr>
                <w:rFonts w:ascii="Arial" w:cs="Arial" w:eastAsia="Arial" w:hAnsi="Arial"/>
                <w:sz w:val="14"/>
                <w:szCs w:val="14"/>
                <w:b w:val="1"/>
                <w:bCs w:val="1"/>
                <w:color w:val="auto"/>
                <w:w w:val="89"/>
              </w:rPr>
              <w:t>th</w:t>
            </w:r>
            <w:r>
              <w:rPr>
                <w:rFonts w:ascii="Arial" w:cs="Arial" w:eastAsia="Arial" w:hAnsi="Arial"/>
                <w:sz w:val="18"/>
                <w:szCs w:val="18"/>
                <w:b w:val="1"/>
                <w:bCs w:val="1"/>
                <w:color w:val="auto"/>
                <w:w w:val="89"/>
              </w:rPr>
              <w:t xml:space="preserve"> Floor</w:t>
            </w:r>
          </w:p>
        </w:tc>
        <w:tc>
          <w:tcPr>
            <w:tcW w:w="1800" w:type="dxa"/>
            <w:vAlign w:val="bottom"/>
          </w:tcPr>
          <w:p>
            <w:pPr>
              <w:spacing w:after="0"/>
              <w:rPr>
                <w:sz w:val="23"/>
                <w:szCs w:val="23"/>
                <w:color w:val="auto"/>
              </w:rPr>
            </w:pPr>
          </w:p>
        </w:tc>
      </w:tr>
      <w:tr>
        <w:trPr>
          <w:trHeight w:val="256"/>
        </w:trPr>
        <w:tc>
          <w:tcPr>
            <w:tcW w:w="6500" w:type="dxa"/>
            <w:vAlign w:val="bottom"/>
          </w:tcPr>
          <w:p>
            <w:pPr>
              <w:jc w:val="center"/>
              <w:ind w:right="3341"/>
              <w:spacing w:after="0"/>
              <w:rPr>
                <w:sz w:val="20"/>
                <w:szCs w:val="20"/>
                <w:color w:val="auto"/>
              </w:rPr>
            </w:pPr>
            <w:r>
              <w:rPr>
                <w:rFonts w:ascii="Arial" w:cs="Arial" w:eastAsia="Arial" w:hAnsi="Arial"/>
                <w:sz w:val="18"/>
                <w:szCs w:val="18"/>
                <w:b w:val="1"/>
                <w:bCs w:val="1"/>
                <w:color w:val="auto"/>
                <w:w w:val="93"/>
              </w:rPr>
              <w:t>New York, NY</w:t>
            </w:r>
          </w:p>
        </w:tc>
        <w:tc>
          <w:tcPr>
            <w:tcW w:w="1800" w:type="dxa"/>
            <w:vAlign w:val="bottom"/>
          </w:tcPr>
          <w:p>
            <w:pPr>
              <w:jc w:val="right"/>
              <w:ind w:right="510"/>
              <w:spacing w:after="0"/>
              <w:rPr>
                <w:sz w:val="20"/>
                <w:szCs w:val="20"/>
                <w:color w:val="auto"/>
              </w:rPr>
            </w:pPr>
            <w:r>
              <w:rPr>
                <w:rFonts w:ascii="Arial" w:cs="Arial" w:eastAsia="Arial" w:hAnsi="Arial"/>
                <w:sz w:val="18"/>
                <w:szCs w:val="18"/>
                <w:b w:val="1"/>
                <w:bCs w:val="1"/>
                <w:color w:val="auto"/>
              </w:rPr>
              <w:t>10036</w:t>
            </w:r>
          </w:p>
        </w:tc>
      </w:tr>
      <w:tr>
        <w:trPr>
          <w:trHeight w:val="230"/>
        </w:trPr>
        <w:tc>
          <w:tcPr>
            <w:tcW w:w="6500" w:type="dxa"/>
            <w:vAlign w:val="bottom"/>
          </w:tcPr>
          <w:p>
            <w:pPr>
              <w:jc w:val="center"/>
              <w:ind w:right="3341"/>
              <w:spacing w:after="0"/>
              <w:rPr>
                <w:sz w:val="20"/>
                <w:szCs w:val="20"/>
                <w:color w:val="auto"/>
              </w:rPr>
            </w:pPr>
            <w:r>
              <w:rPr>
                <w:rFonts w:ascii="Arial" w:cs="Arial" w:eastAsia="Arial" w:hAnsi="Arial"/>
                <w:sz w:val="18"/>
                <w:szCs w:val="18"/>
                <w:color w:val="auto"/>
                <w:w w:val="92"/>
              </w:rPr>
              <w:t>(Address of principal executive offices)</w:t>
            </w:r>
          </w:p>
        </w:tc>
        <w:tc>
          <w:tcPr>
            <w:tcW w:w="1800" w:type="dxa"/>
            <w:vAlign w:val="bottom"/>
          </w:tcPr>
          <w:p>
            <w:pPr>
              <w:jc w:val="center"/>
              <w:ind w:left="30"/>
              <w:spacing w:after="0"/>
              <w:rPr>
                <w:sz w:val="20"/>
                <w:szCs w:val="20"/>
                <w:color w:val="auto"/>
              </w:rPr>
            </w:pPr>
            <w:r>
              <w:rPr>
                <w:rFonts w:ascii="Arial" w:cs="Arial" w:eastAsia="Arial" w:hAnsi="Arial"/>
                <w:sz w:val="18"/>
                <w:szCs w:val="18"/>
                <w:color w:val="auto"/>
                <w:w w:val="93"/>
              </w:rPr>
              <w:t>(Zip code)</w:t>
            </w:r>
          </w:p>
        </w:tc>
      </w:tr>
    </w:tbl>
    <w:p>
      <w:pPr>
        <w:spacing w:after="0" w:line="144"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930-9400</w:t>
      </w:r>
    </w:p>
    <w:p>
      <w:pPr>
        <w:spacing w:after="0" w:line="63"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6"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tbl>
      <w:tblPr>
        <w:tblLayout w:type="fixed"/>
        <w:tblInd w:w="460" w:type="dxa"/>
        <w:tblCellMar>
          <w:top w:w="0" w:type="dxa"/>
          <w:left w:w="0" w:type="dxa"/>
          <w:bottom w:w="0" w:type="dxa"/>
          <w:right w:w="0" w:type="dxa"/>
        </w:tblCellMar>
      </w:tblPr>
      <w:tr>
        <w:trPr>
          <w:trHeight w:val="192"/>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Title of each class:</w:t>
            </w:r>
          </w:p>
        </w:tc>
        <w:tc>
          <w:tcPr>
            <w:tcW w:w="520" w:type="dxa"/>
            <w:vAlign w:val="bottom"/>
          </w:tcPr>
          <w:p>
            <w:pPr>
              <w:spacing w:after="0"/>
              <w:rPr>
                <w:sz w:val="16"/>
                <w:szCs w:val="16"/>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190"/>
        </w:trPr>
        <w:tc>
          <w:tcPr>
            <w:tcW w:w="5480" w:type="dxa"/>
            <w:vAlign w:val="bottom"/>
            <w:gridSpan w:val="2"/>
          </w:tcPr>
          <w:p>
            <w:pPr>
              <w:jc w:val="center"/>
              <w:ind w:right="540"/>
              <w:spacing w:after="0"/>
              <w:rPr>
                <w:sz w:val="20"/>
                <w:szCs w:val="20"/>
                <w:color w:val="auto"/>
              </w:rPr>
            </w:pPr>
            <w:r>
              <w:rPr>
                <w:rFonts w:ascii="Arial" w:cs="Arial" w:eastAsia="Arial" w:hAnsi="Arial"/>
                <w:sz w:val="14"/>
                <w:szCs w:val="14"/>
                <w:color w:val="auto"/>
                <w:w w:val="93"/>
              </w:rPr>
              <w:t>Common Stock, $0.001 par value</w:t>
            </w:r>
          </w:p>
        </w:tc>
        <w:tc>
          <w:tcPr>
            <w:tcW w:w="5040" w:type="dxa"/>
            <w:vAlign w:val="bottom"/>
          </w:tcPr>
          <w:p>
            <w:pPr>
              <w:jc w:val="center"/>
              <w:spacing w:after="0"/>
              <w:rPr>
                <w:sz w:val="20"/>
                <w:szCs w:val="20"/>
                <w:color w:val="auto"/>
              </w:rPr>
            </w:pPr>
            <w:r>
              <w:rPr>
                <w:rFonts w:ascii="Arial" w:cs="Arial" w:eastAsia="Arial" w:hAnsi="Arial"/>
                <w:sz w:val="14"/>
                <w:szCs w:val="14"/>
                <w:color w:val="auto"/>
                <w:w w:val="92"/>
              </w:rPr>
              <w:t>New York Stock Exchange</w:t>
            </w:r>
          </w:p>
        </w:tc>
      </w:tr>
      <w:tr>
        <w:trPr>
          <w:trHeight w:val="169"/>
        </w:trPr>
        <w:tc>
          <w:tcPr>
            <w:tcW w:w="5480" w:type="dxa"/>
            <w:vAlign w:val="bottom"/>
            <w:gridSpan w:val="2"/>
          </w:tcPr>
          <w:p>
            <w:pPr>
              <w:jc w:val="center"/>
              <w:ind w:right="540"/>
              <w:spacing w:after="0"/>
              <w:rPr>
                <w:sz w:val="20"/>
                <w:szCs w:val="20"/>
                <w:color w:val="auto"/>
              </w:rPr>
            </w:pPr>
            <w:r>
              <w:rPr>
                <w:rFonts w:ascii="Arial" w:cs="Arial" w:eastAsia="Arial" w:hAnsi="Arial"/>
                <w:sz w:val="14"/>
                <w:szCs w:val="14"/>
                <w:color w:val="auto"/>
                <w:w w:val="92"/>
              </w:rPr>
              <w:t>8.000% Series D Cumulative Redeemable</w:t>
            </w:r>
          </w:p>
        </w:tc>
        <w:tc>
          <w:tcPr>
            <w:tcW w:w="5040" w:type="dxa"/>
            <w:vAlign w:val="bottom"/>
          </w:tcPr>
          <w:p>
            <w:pPr>
              <w:jc w:val="center"/>
              <w:spacing w:after="0"/>
              <w:rPr>
                <w:sz w:val="20"/>
                <w:szCs w:val="20"/>
                <w:color w:val="auto"/>
              </w:rPr>
            </w:pPr>
            <w:r>
              <w:rPr>
                <w:rFonts w:ascii="Arial" w:cs="Arial" w:eastAsia="Arial" w:hAnsi="Arial"/>
                <w:sz w:val="14"/>
                <w:szCs w:val="14"/>
                <w:color w:val="auto"/>
                <w:w w:val="92"/>
              </w:rPr>
              <w:t>New York Stock Exchange</w:t>
            </w:r>
          </w:p>
        </w:tc>
      </w:tr>
      <w:tr>
        <w:trPr>
          <w:trHeight w:val="182"/>
        </w:trPr>
        <w:tc>
          <w:tcPr>
            <w:tcW w:w="5480" w:type="dxa"/>
            <w:vAlign w:val="bottom"/>
            <w:gridSpan w:val="2"/>
          </w:tcPr>
          <w:p>
            <w:pPr>
              <w:jc w:val="center"/>
              <w:ind w:right="540"/>
              <w:spacing w:after="0"/>
              <w:rPr>
                <w:sz w:val="20"/>
                <w:szCs w:val="20"/>
                <w:color w:val="auto"/>
              </w:rPr>
            </w:pPr>
            <w:r>
              <w:rPr>
                <w:rFonts w:ascii="Arial" w:cs="Arial" w:eastAsia="Arial" w:hAnsi="Arial"/>
                <w:sz w:val="14"/>
                <w:szCs w:val="14"/>
                <w:color w:val="auto"/>
                <w:w w:val="92"/>
              </w:rPr>
              <w:t>Preferred Stock, $0.001 par value</w:t>
            </w:r>
          </w:p>
        </w:tc>
        <w:tc>
          <w:tcPr>
            <w:tcW w:w="5040" w:type="dxa"/>
            <w:vAlign w:val="bottom"/>
          </w:tcPr>
          <w:p>
            <w:pPr>
              <w:spacing w:after="0"/>
              <w:rPr>
                <w:sz w:val="15"/>
                <w:szCs w:val="15"/>
                <w:color w:val="auto"/>
              </w:rPr>
            </w:pPr>
          </w:p>
        </w:tc>
      </w:tr>
      <w:tr>
        <w:trPr>
          <w:trHeight w:val="169"/>
        </w:trPr>
        <w:tc>
          <w:tcPr>
            <w:tcW w:w="5480" w:type="dxa"/>
            <w:vAlign w:val="bottom"/>
            <w:gridSpan w:val="2"/>
          </w:tcPr>
          <w:p>
            <w:pPr>
              <w:jc w:val="center"/>
              <w:ind w:right="540"/>
              <w:spacing w:after="0"/>
              <w:rPr>
                <w:sz w:val="20"/>
                <w:szCs w:val="20"/>
                <w:color w:val="auto"/>
              </w:rPr>
            </w:pPr>
            <w:r>
              <w:rPr>
                <w:rFonts w:ascii="Arial" w:cs="Arial" w:eastAsia="Arial" w:hAnsi="Arial"/>
                <w:sz w:val="14"/>
                <w:szCs w:val="14"/>
                <w:color w:val="auto"/>
                <w:w w:val="92"/>
              </w:rPr>
              <w:t>7.875% Series E Cumulative Redeemable</w:t>
            </w:r>
          </w:p>
        </w:tc>
        <w:tc>
          <w:tcPr>
            <w:tcW w:w="5040" w:type="dxa"/>
            <w:vAlign w:val="bottom"/>
          </w:tcPr>
          <w:p>
            <w:pPr>
              <w:jc w:val="center"/>
              <w:spacing w:after="0"/>
              <w:rPr>
                <w:sz w:val="20"/>
                <w:szCs w:val="20"/>
                <w:color w:val="auto"/>
              </w:rPr>
            </w:pPr>
            <w:r>
              <w:rPr>
                <w:rFonts w:ascii="Arial" w:cs="Arial" w:eastAsia="Arial" w:hAnsi="Arial"/>
                <w:sz w:val="14"/>
                <w:szCs w:val="14"/>
                <w:color w:val="auto"/>
                <w:w w:val="92"/>
              </w:rPr>
              <w:t>New York Stock Exchange</w:t>
            </w:r>
          </w:p>
        </w:tc>
      </w:tr>
      <w:tr>
        <w:trPr>
          <w:trHeight w:val="182"/>
        </w:trPr>
        <w:tc>
          <w:tcPr>
            <w:tcW w:w="5480" w:type="dxa"/>
            <w:vAlign w:val="bottom"/>
            <w:gridSpan w:val="2"/>
          </w:tcPr>
          <w:p>
            <w:pPr>
              <w:jc w:val="center"/>
              <w:ind w:right="540"/>
              <w:spacing w:after="0"/>
              <w:rPr>
                <w:sz w:val="20"/>
                <w:szCs w:val="20"/>
                <w:color w:val="auto"/>
              </w:rPr>
            </w:pPr>
            <w:r>
              <w:rPr>
                <w:rFonts w:ascii="Arial" w:cs="Arial" w:eastAsia="Arial" w:hAnsi="Arial"/>
                <w:sz w:val="14"/>
                <w:szCs w:val="14"/>
                <w:color w:val="auto"/>
                <w:w w:val="92"/>
              </w:rPr>
              <w:t>Preferred Stock, $0.001 par value</w:t>
            </w:r>
          </w:p>
        </w:tc>
        <w:tc>
          <w:tcPr>
            <w:tcW w:w="5040" w:type="dxa"/>
            <w:vAlign w:val="bottom"/>
          </w:tcPr>
          <w:p>
            <w:pPr>
              <w:spacing w:after="0"/>
              <w:rPr>
                <w:sz w:val="15"/>
                <w:szCs w:val="15"/>
                <w:color w:val="auto"/>
              </w:rPr>
            </w:pPr>
          </w:p>
        </w:tc>
      </w:tr>
      <w:tr>
        <w:trPr>
          <w:trHeight w:val="169"/>
        </w:trPr>
        <w:tc>
          <w:tcPr>
            <w:tcW w:w="5480" w:type="dxa"/>
            <w:vAlign w:val="bottom"/>
            <w:gridSpan w:val="2"/>
          </w:tcPr>
          <w:p>
            <w:pPr>
              <w:jc w:val="center"/>
              <w:ind w:right="540"/>
              <w:spacing w:after="0"/>
              <w:rPr>
                <w:sz w:val="20"/>
                <w:szCs w:val="20"/>
                <w:color w:val="auto"/>
              </w:rPr>
            </w:pPr>
            <w:r>
              <w:rPr>
                <w:rFonts w:ascii="Arial" w:cs="Arial" w:eastAsia="Arial" w:hAnsi="Arial"/>
                <w:sz w:val="14"/>
                <w:szCs w:val="14"/>
                <w:color w:val="auto"/>
                <w:w w:val="92"/>
              </w:rPr>
              <w:t>7.8% Series F Cumulative Redeemable</w:t>
            </w:r>
          </w:p>
        </w:tc>
        <w:tc>
          <w:tcPr>
            <w:tcW w:w="5040" w:type="dxa"/>
            <w:vAlign w:val="bottom"/>
          </w:tcPr>
          <w:p>
            <w:pPr>
              <w:jc w:val="center"/>
              <w:spacing w:after="0"/>
              <w:rPr>
                <w:sz w:val="20"/>
                <w:szCs w:val="20"/>
                <w:color w:val="auto"/>
              </w:rPr>
            </w:pPr>
            <w:r>
              <w:rPr>
                <w:rFonts w:ascii="Arial" w:cs="Arial" w:eastAsia="Arial" w:hAnsi="Arial"/>
                <w:sz w:val="14"/>
                <w:szCs w:val="14"/>
                <w:color w:val="auto"/>
                <w:w w:val="92"/>
              </w:rPr>
              <w:t>New York Stock Exchange</w:t>
            </w:r>
          </w:p>
        </w:tc>
      </w:tr>
      <w:tr>
        <w:trPr>
          <w:trHeight w:val="182"/>
        </w:trPr>
        <w:tc>
          <w:tcPr>
            <w:tcW w:w="5480" w:type="dxa"/>
            <w:vAlign w:val="bottom"/>
            <w:gridSpan w:val="2"/>
          </w:tcPr>
          <w:p>
            <w:pPr>
              <w:jc w:val="center"/>
              <w:ind w:right="540"/>
              <w:spacing w:after="0"/>
              <w:rPr>
                <w:sz w:val="20"/>
                <w:szCs w:val="20"/>
                <w:color w:val="auto"/>
              </w:rPr>
            </w:pPr>
            <w:r>
              <w:rPr>
                <w:rFonts w:ascii="Arial" w:cs="Arial" w:eastAsia="Arial" w:hAnsi="Arial"/>
                <w:sz w:val="14"/>
                <w:szCs w:val="14"/>
                <w:color w:val="auto"/>
                <w:w w:val="92"/>
              </w:rPr>
              <w:t>Preferred Stock, $0.001 par value</w:t>
            </w:r>
          </w:p>
        </w:tc>
        <w:tc>
          <w:tcPr>
            <w:tcW w:w="5040" w:type="dxa"/>
            <w:vAlign w:val="bottom"/>
          </w:tcPr>
          <w:p>
            <w:pPr>
              <w:spacing w:after="0"/>
              <w:rPr>
                <w:sz w:val="15"/>
                <w:szCs w:val="15"/>
                <w:color w:val="auto"/>
              </w:rPr>
            </w:pPr>
          </w:p>
        </w:tc>
      </w:tr>
      <w:tr>
        <w:trPr>
          <w:trHeight w:val="169"/>
        </w:trPr>
        <w:tc>
          <w:tcPr>
            <w:tcW w:w="5480" w:type="dxa"/>
            <w:vAlign w:val="bottom"/>
            <w:gridSpan w:val="2"/>
          </w:tcPr>
          <w:p>
            <w:pPr>
              <w:jc w:val="center"/>
              <w:ind w:right="540"/>
              <w:spacing w:after="0"/>
              <w:rPr>
                <w:sz w:val="20"/>
                <w:szCs w:val="20"/>
                <w:color w:val="auto"/>
              </w:rPr>
            </w:pPr>
            <w:r>
              <w:rPr>
                <w:rFonts w:ascii="Arial" w:cs="Arial" w:eastAsia="Arial" w:hAnsi="Arial"/>
                <w:sz w:val="14"/>
                <w:szCs w:val="14"/>
                <w:color w:val="auto"/>
                <w:w w:val="91"/>
              </w:rPr>
              <w:t>7.65% Series G Cumulative Redeemable</w:t>
            </w:r>
          </w:p>
        </w:tc>
        <w:tc>
          <w:tcPr>
            <w:tcW w:w="5040" w:type="dxa"/>
            <w:vAlign w:val="bottom"/>
          </w:tcPr>
          <w:p>
            <w:pPr>
              <w:jc w:val="center"/>
              <w:spacing w:after="0"/>
              <w:rPr>
                <w:sz w:val="20"/>
                <w:szCs w:val="20"/>
                <w:color w:val="auto"/>
              </w:rPr>
            </w:pPr>
            <w:r>
              <w:rPr>
                <w:rFonts w:ascii="Arial" w:cs="Arial" w:eastAsia="Arial" w:hAnsi="Arial"/>
                <w:sz w:val="14"/>
                <w:szCs w:val="14"/>
                <w:color w:val="auto"/>
                <w:w w:val="92"/>
              </w:rPr>
              <w:t>New York Stock Exchange</w:t>
            </w:r>
          </w:p>
        </w:tc>
      </w:tr>
      <w:tr>
        <w:trPr>
          <w:trHeight w:val="182"/>
        </w:trPr>
        <w:tc>
          <w:tcPr>
            <w:tcW w:w="5480" w:type="dxa"/>
            <w:vAlign w:val="bottom"/>
            <w:gridSpan w:val="2"/>
          </w:tcPr>
          <w:p>
            <w:pPr>
              <w:jc w:val="center"/>
              <w:ind w:right="540"/>
              <w:spacing w:after="0"/>
              <w:rPr>
                <w:sz w:val="20"/>
                <w:szCs w:val="20"/>
                <w:color w:val="auto"/>
              </w:rPr>
            </w:pPr>
            <w:r>
              <w:rPr>
                <w:rFonts w:ascii="Arial" w:cs="Arial" w:eastAsia="Arial" w:hAnsi="Arial"/>
                <w:sz w:val="14"/>
                <w:szCs w:val="14"/>
                <w:color w:val="auto"/>
                <w:w w:val="92"/>
              </w:rPr>
              <w:t>Preferred Stock, $0.001 par value</w:t>
            </w:r>
          </w:p>
        </w:tc>
        <w:tc>
          <w:tcPr>
            <w:tcW w:w="5040" w:type="dxa"/>
            <w:vAlign w:val="bottom"/>
          </w:tcPr>
          <w:p>
            <w:pPr>
              <w:spacing w:after="0"/>
              <w:rPr>
                <w:sz w:val="15"/>
                <w:szCs w:val="15"/>
                <w:color w:val="auto"/>
              </w:rPr>
            </w:pPr>
          </w:p>
        </w:tc>
      </w:tr>
      <w:tr>
        <w:trPr>
          <w:trHeight w:val="169"/>
        </w:trPr>
        <w:tc>
          <w:tcPr>
            <w:tcW w:w="5480" w:type="dxa"/>
            <w:vAlign w:val="bottom"/>
            <w:gridSpan w:val="2"/>
          </w:tcPr>
          <w:p>
            <w:pPr>
              <w:jc w:val="center"/>
              <w:ind w:right="540"/>
              <w:spacing w:after="0"/>
              <w:rPr>
                <w:sz w:val="20"/>
                <w:szCs w:val="20"/>
                <w:color w:val="auto"/>
              </w:rPr>
            </w:pPr>
            <w:r>
              <w:rPr>
                <w:rFonts w:ascii="Arial" w:cs="Arial" w:eastAsia="Arial" w:hAnsi="Arial"/>
                <w:sz w:val="14"/>
                <w:szCs w:val="14"/>
                <w:color w:val="auto"/>
                <w:w w:val="92"/>
              </w:rPr>
              <w:t>7.50% Series I Cumulative Redeemable</w:t>
            </w:r>
          </w:p>
        </w:tc>
        <w:tc>
          <w:tcPr>
            <w:tcW w:w="5040" w:type="dxa"/>
            <w:vAlign w:val="bottom"/>
          </w:tcPr>
          <w:p>
            <w:pPr>
              <w:jc w:val="center"/>
              <w:spacing w:after="0"/>
              <w:rPr>
                <w:sz w:val="20"/>
                <w:szCs w:val="20"/>
                <w:color w:val="auto"/>
              </w:rPr>
            </w:pPr>
            <w:r>
              <w:rPr>
                <w:rFonts w:ascii="Arial" w:cs="Arial" w:eastAsia="Arial" w:hAnsi="Arial"/>
                <w:sz w:val="14"/>
                <w:szCs w:val="14"/>
                <w:color w:val="auto"/>
                <w:w w:val="92"/>
              </w:rPr>
              <w:t>New York Stock Exchange</w:t>
            </w:r>
          </w:p>
        </w:tc>
      </w:tr>
      <w:tr>
        <w:trPr>
          <w:trHeight w:val="182"/>
        </w:trPr>
        <w:tc>
          <w:tcPr>
            <w:tcW w:w="5480" w:type="dxa"/>
            <w:vAlign w:val="bottom"/>
            <w:gridSpan w:val="2"/>
          </w:tcPr>
          <w:p>
            <w:pPr>
              <w:jc w:val="center"/>
              <w:ind w:right="540"/>
              <w:spacing w:after="0"/>
              <w:rPr>
                <w:sz w:val="20"/>
                <w:szCs w:val="20"/>
                <w:color w:val="auto"/>
              </w:rPr>
            </w:pPr>
            <w:r>
              <w:rPr>
                <w:rFonts w:ascii="Arial" w:cs="Arial" w:eastAsia="Arial" w:hAnsi="Arial"/>
                <w:sz w:val="14"/>
                <w:szCs w:val="14"/>
                <w:color w:val="auto"/>
                <w:w w:val="92"/>
              </w:rPr>
              <w:t>Preferred Stock, $0.001 par value</w:t>
            </w:r>
          </w:p>
        </w:tc>
        <w:tc>
          <w:tcPr>
            <w:tcW w:w="5040" w:type="dxa"/>
            <w:vAlign w:val="bottom"/>
          </w:tcPr>
          <w:p>
            <w:pPr>
              <w:spacing w:after="0"/>
              <w:rPr>
                <w:sz w:val="15"/>
                <w:szCs w:val="15"/>
                <w:color w:val="auto"/>
              </w:rPr>
            </w:pPr>
          </w:p>
        </w:tc>
      </w:tr>
    </w:tbl>
    <w:p>
      <w:pPr>
        <w:spacing w:after="0" w:line="155"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Securities registered pursuant to Section 12(g) of the Act:</w:t>
      </w:r>
    </w:p>
    <w:p>
      <w:pPr>
        <w:sectPr>
          <w:pgSz w:w="11900" w:h="16838" w:orient="portrait"/>
          <w:cols w:equalWidth="0" w:num="1">
            <w:col w:w="10980"/>
          </w:cols>
          <w:pgMar w:left="240" w:top="225" w:right="679" w:bottom="1440" w:gutter="0" w:footer="0" w:header="0"/>
        </w:sectPr>
      </w:pPr>
    </w:p>
    <w:p>
      <w:pPr>
        <w:spacing w:after="0" w:line="200" w:lineRule="exact"/>
        <w:rPr>
          <w:sz w:val="24"/>
          <w:szCs w:val="24"/>
          <w:color w:val="auto"/>
        </w:rPr>
      </w:pPr>
    </w:p>
    <w:p>
      <w:pPr>
        <w:spacing w:after="0" w:line="310" w:lineRule="exact"/>
        <w:rPr>
          <w:sz w:val="24"/>
          <w:szCs w:val="24"/>
          <w:color w:val="auto"/>
        </w:rPr>
      </w:pPr>
    </w:p>
    <w:p>
      <w:pPr>
        <w:jc w:val="center"/>
        <w:ind w:left="98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931545</wp:posOffset>
            </wp:positionH>
            <wp:positionV relativeFrom="paragraph">
              <wp:posOffset>23495</wp:posOffset>
            </wp:positionV>
            <wp:extent cx="25730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9" w:lineRule="exact"/>
        <w:rPr>
          <w:sz w:val="24"/>
          <w:szCs w:val="24"/>
          <w:color w:val="auto"/>
        </w:rPr>
      </w:pPr>
    </w:p>
    <w:p>
      <w:pPr>
        <w:ind w:left="2420"/>
        <w:spacing w:after="0"/>
        <w:rPr>
          <w:sz w:val="20"/>
          <w:szCs w:val="20"/>
          <w:color w:val="auto"/>
        </w:rPr>
      </w:pPr>
      <w:r>
        <w:rPr>
          <w:rFonts w:ascii="Arial" w:cs="Arial" w:eastAsia="Arial" w:hAnsi="Arial"/>
          <w:sz w:val="12"/>
          <w:szCs w:val="12"/>
          <w:color w:val="auto"/>
        </w:rPr>
        <w:t>4.50% Series J Convertible Perpetual</w:t>
      </w:r>
    </w:p>
    <w:p>
      <w:pPr>
        <w:spacing w:after="0" w:line="23" w:lineRule="exact"/>
        <w:rPr>
          <w:sz w:val="24"/>
          <w:szCs w:val="24"/>
          <w:color w:val="auto"/>
        </w:rPr>
      </w:pPr>
    </w:p>
    <w:p>
      <w:pPr>
        <w:ind w:left="2520"/>
        <w:spacing w:after="0"/>
        <w:rPr>
          <w:sz w:val="20"/>
          <w:szCs w:val="20"/>
          <w:color w:val="auto"/>
        </w:rPr>
      </w:pPr>
      <w:r>
        <w:rPr>
          <w:rFonts w:ascii="Arial" w:cs="Arial" w:eastAsia="Arial" w:hAnsi="Arial"/>
          <w:sz w:val="13"/>
          <w:szCs w:val="13"/>
          <w:color w:val="auto"/>
        </w:rPr>
        <w:t>Preferred Stock, $0.001 par value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0" w:lineRule="exact"/>
        <w:rPr>
          <w:sz w:val="24"/>
          <w:szCs w:val="24"/>
          <w:color w:val="auto"/>
        </w:rPr>
      </w:pPr>
    </w:p>
    <w:p>
      <w:pPr>
        <w:jc w:val="center"/>
        <w:ind w:right="1820"/>
        <w:spacing w:after="0"/>
        <w:rPr>
          <w:sz w:val="20"/>
          <w:szCs w:val="20"/>
          <w:color w:val="auto"/>
        </w:rPr>
      </w:pPr>
      <w:r>
        <w:rPr>
          <w:rFonts w:ascii="Arial" w:cs="Arial" w:eastAsia="Arial" w:hAnsi="Arial"/>
          <w:sz w:val="12"/>
          <w:szCs w:val="12"/>
          <w:b w:val="1"/>
          <w:bCs w:val="1"/>
          <w:color w:val="auto"/>
        </w:rPr>
        <w:t>Name of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-513715</wp:posOffset>
            </wp:positionH>
            <wp:positionV relativeFrom="paragraph">
              <wp:posOffset>38100</wp:posOffset>
            </wp:positionV>
            <wp:extent cx="25730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62" w:lineRule="exact"/>
        <w:rPr>
          <w:sz w:val="24"/>
          <w:szCs w:val="24"/>
          <w:color w:val="auto"/>
        </w:rPr>
      </w:pPr>
    </w:p>
    <w:p>
      <w:pPr>
        <w:ind w:left="1100"/>
        <w:spacing w:after="0"/>
        <w:rPr>
          <w:sz w:val="20"/>
          <w:szCs w:val="20"/>
          <w:color w:val="auto"/>
        </w:rPr>
      </w:pPr>
      <w:r>
        <w:rPr>
          <w:rFonts w:ascii="Arial" w:cs="Arial" w:eastAsia="Arial" w:hAnsi="Arial"/>
          <w:sz w:val="14"/>
          <w:szCs w:val="14"/>
          <w:color w:val="auto"/>
        </w:rPr>
        <w:t>N/A</w:t>
      </w:r>
    </w:p>
    <w:p>
      <w:pPr>
        <w:sectPr>
          <w:pgSz w:w="11900" w:h="16838" w:orient="portrait"/>
          <w:cols w:equalWidth="0" w:num="2">
            <w:col w:w="6000" w:space="720"/>
            <w:col w:w="4260"/>
          </w:cols>
          <w:pgMar w:left="240" w:top="225" w:right="679" w:bottom="1440" w:gutter="0" w:footer="0" w:header="0"/>
          <w:type w:val="continuous"/>
        </w:sectPr>
      </w:pPr>
    </w:p>
    <w:bookmarkStart w:id="1" w:name="page2"/>
    <w:bookmarkEnd w:id="1"/>
    <w:p>
      <w:pPr>
        <w:spacing w:after="0"/>
        <w:rPr>
          <w:rFonts w:ascii="Arial" w:cs="Arial" w:eastAsia="Arial" w:hAnsi="Arial"/>
          <w:sz w:val="13"/>
          <w:szCs w:val="13"/>
          <w:b w:val="1"/>
          <w:bCs w:val="1"/>
          <w:u w:val="single" w:color="auto"/>
          <w:color w:val="0000EE"/>
        </w:rPr>
      </w:pPr>
      <w:hyperlink w:anchor="page47">
        <w:r>
          <w:rPr>
            <w:rFonts w:ascii="Arial" w:cs="Arial" w:eastAsia="Arial" w:hAnsi="Arial"/>
            <w:sz w:val="13"/>
            <w:szCs w:val="13"/>
            <w:b w:val="1"/>
            <w:bCs w:val="1"/>
            <w:u w:val="single" w:color="auto"/>
            <w:color w:val="0000EE"/>
          </w:rPr>
          <w:t>Table of Contents</w:t>
        </w:r>
      </w:hyperlink>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0"/>
        <w:spacing w:after="0" w:line="15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No o</w:t>
      </w:r>
    </w:p>
    <w:p>
      <w:pPr>
        <w:spacing w:after="0" w:line="200" w:lineRule="exact"/>
        <w:rPr>
          <w:sz w:val="20"/>
          <w:szCs w:val="20"/>
          <w:color w:val="auto"/>
        </w:rPr>
      </w:pPr>
    </w:p>
    <w:p>
      <w:pPr>
        <w:sectPr>
          <w:pgSz w:w="11900" w:h="16838" w:orient="portrait"/>
          <w:cols w:equalWidth="0" w:num="2">
            <w:col w:w="7760" w:space="160"/>
            <w:col w:w="3500"/>
          </w:cols>
          <w:pgMar w:left="240" w:top="118" w:right="239" w:bottom="1440" w:gutter="0" w:footer="0" w:header="0"/>
          <w:type w:val="continuous"/>
        </w:sectPr>
      </w:pPr>
    </w:p>
    <w:p>
      <w:pPr>
        <w:spacing w:after="0" w:line="44" w:lineRule="exact"/>
        <w:rPr>
          <w:sz w:val="20"/>
          <w:szCs w:val="20"/>
          <w:color w:val="auto"/>
        </w:rPr>
      </w:pPr>
    </w:p>
    <w:p>
      <w:pPr>
        <w:ind w:left="600"/>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o No </w:t>
      </w:r>
      <w:r>
        <w:rPr>
          <w:rFonts w:ascii="MS PGothic" w:cs="MS PGothic" w:eastAsia="MS PGothic" w:hAnsi="MS PGothic"/>
          <w:sz w:val="14"/>
          <w:szCs w:val="14"/>
          <w:color w:val="auto"/>
        </w:rPr>
        <w:t>☒</w:t>
      </w:r>
    </w:p>
    <w:p>
      <w:pPr>
        <w:spacing w:after="0" w:line="299" w:lineRule="exact"/>
        <w:rPr>
          <w:sz w:val="20"/>
          <w:szCs w:val="20"/>
          <w:color w:val="auto"/>
        </w:rPr>
      </w:pPr>
    </w:p>
    <w:p>
      <w:pPr>
        <w:ind w:right="20" w:firstLine="594"/>
        <w:spacing w:after="0" w:line="180" w:lineRule="exact"/>
        <w:rPr>
          <w:sz w:val="20"/>
          <w:szCs w:val="20"/>
          <w:color w:val="auto"/>
        </w:rPr>
      </w:pPr>
      <w:r>
        <w:rPr>
          <w:rFonts w:ascii="Arial" w:cs="Arial" w:eastAsia="Arial" w:hAnsi="Arial"/>
          <w:sz w:val="14"/>
          <w:szCs w:val="14"/>
          <w:color w:val="auto"/>
        </w:rPr>
        <w:t xml:space="preserve">Indicate by check mark whether the registrant: (i) has filed all reports required to be filed by Section 13 or 15(d) of the Securities Exchange Act of 1934 during the preceding twelve months (or for such shorter period that the registrant was required to file such reports); and (ii)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235" w:lineRule="exact"/>
        <w:rPr>
          <w:sz w:val="20"/>
          <w:szCs w:val="20"/>
          <w:color w:val="auto"/>
        </w:rPr>
      </w:pPr>
    </w:p>
    <w:p>
      <w:pPr>
        <w:ind w:firstLine="594"/>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ectPr>
          <w:pgSz w:w="11900" w:h="16838" w:orient="portrait"/>
          <w:cols w:equalWidth="0" w:num="1">
            <w:col w:w="11420"/>
          </w:cols>
          <w:pgMar w:left="240" w:top="118" w:right="239" w:bottom="1440" w:gutter="0" w:footer="0" w:header="0"/>
          <w:type w:val="continuous"/>
        </w:sectPr>
      </w:pPr>
    </w:p>
    <w:p>
      <w:pPr>
        <w:spacing w:after="0" w:line="234" w:lineRule="exact"/>
        <w:rPr>
          <w:sz w:val="20"/>
          <w:szCs w:val="20"/>
          <w:color w:val="auto"/>
        </w:rPr>
      </w:pPr>
    </w:p>
    <w:p>
      <w:pPr>
        <w:ind w:firstLine="594"/>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235" w:lineRule="exact"/>
        <w:rPr>
          <w:sz w:val="20"/>
          <w:szCs w:val="20"/>
          <w:color w:val="auto"/>
        </w:rPr>
      </w:pPr>
    </w:p>
    <w:p>
      <w:pPr>
        <w:ind w:firstLine="59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00" w:lineRule="exact"/>
        <w:rPr>
          <w:sz w:val="20"/>
          <w:szCs w:val="20"/>
          <w:color w:val="auto"/>
        </w:rPr>
      </w:pPr>
    </w:p>
    <w:p>
      <w:pPr>
        <w:spacing w:after="0" w:line="379" w:lineRule="exact"/>
        <w:rPr>
          <w:sz w:val="20"/>
          <w:szCs w:val="20"/>
          <w:color w:val="auto"/>
        </w:rPr>
      </w:pPr>
    </w:p>
    <w:tbl>
      <w:tblPr>
        <w:tblLayout w:type="fixed"/>
        <w:tblInd w:w="300" w:type="dxa"/>
        <w:tblCellMar>
          <w:top w:w="0" w:type="dxa"/>
          <w:left w:w="0" w:type="dxa"/>
          <w:bottom w:w="0" w:type="dxa"/>
          <w:right w:w="0" w:type="dxa"/>
        </w:tblCellMar>
      </w:tblPr>
      <w:tr>
        <w:trPr>
          <w:trHeight w:val="182"/>
        </w:trPr>
        <w:tc>
          <w:tcPr>
            <w:tcW w:w="21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380" w:type="dxa"/>
            <w:vAlign w:val="bottom"/>
          </w:tcPr>
          <w:p>
            <w:pPr>
              <w:jc w:val="center"/>
              <w:spacing w:after="0"/>
              <w:rPr>
                <w:sz w:val="20"/>
                <w:szCs w:val="20"/>
                <w:color w:val="auto"/>
              </w:rPr>
            </w:pPr>
            <w:r>
              <w:rPr>
                <w:rFonts w:ascii="Arial" w:cs="Arial" w:eastAsia="Arial" w:hAnsi="Arial"/>
                <w:sz w:val="14"/>
                <w:szCs w:val="14"/>
                <w:color w:val="auto"/>
                <w:w w:val="93"/>
              </w:rPr>
              <w:t>Non-accelerated filer o</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6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2620" w:type="dxa"/>
            <w:vAlign w:val="bottom"/>
          </w:tcPr>
          <w:p>
            <w:pPr>
              <w:spacing w:after="0"/>
              <w:rPr>
                <w:sz w:val="15"/>
                <w:szCs w:val="15"/>
                <w:color w:val="auto"/>
              </w:rPr>
            </w:pPr>
          </w:p>
        </w:tc>
        <w:tc>
          <w:tcPr>
            <w:tcW w:w="3380" w:type="dxa"/>
            <w:vAlign w:val="bottom"/>
          </w:tcPr>
          <w:p>
            <w:pPr>
              <w:ind w:left="1180"/>
              <w:spacing w:after="0"/>
              <w:rPr>
                <w:sz w:val="20"/>
                <w:szCs w:val="20"/>
                <w:color w:val="auto"/>
              </w:rPr>
            </w:pPr>
            <w:r>
              <w:rPr>
                <w:rFonts w:ascii="Arial" w:cs="Arial" w:eastAsia="Arial" w:hAnsi="Arial"/>
                <w:sz w:val="14"/>
                <w:szCs w:val="14"/>
                <w:color w:val="auto"/>
              </w:rPr>
              <w:t>(Do not check if a</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160" w:type="dxa"/>
            <w:vAlign w:val="bottom"/>
            <w:vMerge w:val="continue"/>
          </w:tcPr>
          <w:p>
            <w:pPr>
              <w:spacing w:after="0"/>
              <w:rPr>
                <w:sz w:val="16"/>
                <w:szCs w:val="16"/>
                <w:color w:val="auto"/>
              </w:rPr>
            </w:pPr>
          </w:p>
        </w:tc>
        <w:tc>
          <w:tcPr>
            <w:tcW w:w="2620" w:type="dxa"/>
            <w:vAlign w:val="bottom"/>
          </w:tcPr>
          <w:p>
            <w:pPr>
              <w:ind w:left="680"/>
              <w:spacing w:after="0"/>
              <w:rPr>
                <w:sz w:val="20"/>
                <w:szCs w:val="20"/>
                <w:color w:val="auto"/>
              </w:rPr>
            </w:pPr>
            <w:r>
              <w:rPr>
                <w:rFonts w:ascii="Arial" w:cs="Arial" w:eastAsia="Arial" w:hAnsi="Arial"/>
                <w:sz w:val="14"/>
                <w:szCs w:val="14"/>
                <w:color w:val="auto"/>
              </w:rPr>
              <w:t>Accelerated filer o</w:t>
            </w:r>
          </w:p>
        </w:tc>
        <w:tc>
          <w:tcPr>
            <w:tcW w:w="3380" w:type="dxa"/>
            <w:vAlign w:val="bottom"/>
          </w:tcPr>
          <w:p>
            <w:pPr>
              <w:jc w:val="center"/>
              <w:spacing w:after="0"/>
              <w:rPr>
                <w:sz w:val="20"/>
                <w:szCs w:val="20"/>
                <w:color w:val="auto"/>
              </w:rPr>
            </w:pPr>
            <w:r>
              <w:rPr>
                <w:rFonts w:ascii="Arial" w:cs="Arial" w:eastAsia="Arial" w:hAnsi="Arial"/>
                <w:sz w:val="14"/>
                <w:szCs w:val="14"/>
                <w:color w:val="auto"/>
                <w:w w:val="94"/>
              </w:rPr>
              <w:t>smaller reporting company)</w:t>
            </w:r>
          </w:p>
        </w:tc>
        <w:tc>
          <w:tcPr>
            <w:tcW w:w="2600" w:type="dxa"/>
            <w:vAlign w:val="bottom"/>
          </w:tcPr>
          <w:p>
            <w:pPr>
              <w:ind w:left="920"/>
              <w:spacing w:after="0"/>
              <w:rPr>
                <w:sz w:val="20"/>
                <w:szCs w:val="20"/>
                <w:color w:val="auto"/>
              </w:rPr>
            </w:pPr>
            <w:r>
              <w:rPr>
                <w:rFonts w:ascii="Arial" w:cs="Arial" w:eastAsia="Arial" w:hAnsi="Arial"/>
                <w:sz w:val="14"/>
                <w:szCs w:val="14"/>
                <w:color w:val="auto"/>
                <w:w w:val="92"/>
              </w:rPr>
              <w:t>Smaller reporting company o</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600"/>
        <w:spacing w:after="0" w:line="161" w:lineRule="exact"/>
        <w:tabs>
          <w:tab w:leader="none" w:pos="70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 Yes o</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299" w:lineRule="exact"/>
        <w:rPr>
          <w:sz w:val="20"/>
          <w:szCs w:val="20"/>
          <w:color w:val="auto"/>
        </w:rPr>
      </w:pPr>
    </w:p>
    <w:p>
      <w:pPr>
        <w:ind w:firstLine="594"/>
        <w:spacing w:after="0" w:line="273" w:lineRule="auto"/>
        <w:rPr>
          <w:sz w:val="20"/>
          <w:szCs w:val="20"/>
          <w:color w:val="auto"/>
        </w:rPr>
      </w:pPr>
      <w:r>
        <w:rPr>
          <w:rFonts w:ascii="Arial" w:cs="Arial" w:eastAsia="Arial" w:hAnsi="Arial"/>
          <w:sz w:val="14"/>
          <w:szCs w:val="14"/>
          <w:color w:val="auto"/>
        </w:rPr>
        <w:t>As of June 30, 2013, the aggregate market value of the common stock, $0.001 par value per share of iStar Financial Inc. ("Common Stock"), held by non-affiliates (1) of the registrant was approximately $926.4 million, based upon the closing price of $11.29 on the New York Stock Exchange composite tape on such date.</w:t>
      </w:r>
    </w:p>
    <w:p>
      <w:pPr>
        <w:spacing w:after="0" w:line="228" w:lineRule="exact"/>
        <w:rPr>
          <w:sz w:val="20"/>
          <w:szCs w:val="20"/>
          <w:color w:val="auto"/>
        </w:rPr>
      </w:pPr>
    </w:p>
    <w:p>
      <w:pPr>
        <w:ind w:left="600"/>
        <w:spacing w:after="0"/>
        <w:rPr>
          <w:sz w:val="20"/>
          <w:szCs w:val="20"/>
          <w:color w:val="auto"/>
        </w:rPr>
      </w:pPr>
      <w:r>
        <w:rPr>
          <w:rFonts w:ascii="Arial" w:cs="Arial" w:eastAsia="Arial" w:hAnsi="Arial"/>
          <w:sz w:val="14"/>
          <w:szCs w:val="14"/>
          <w:color w:val="auto"/>
        </w:rPr>
        <w:t>As of February 21, 2014, there were 84,871,977 shares of Common Stock outstanding.</w:t>
      </w:r>
    </w:p>
    <w:p>
      <w:pPr>
        <w:spacing w:after="0" w:line="13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purposes of this Annual Report only, includes all outstanding Common Stock other than Common Stock held directly by the registrant's directors and executive officers.</w:t>
      </w:r>
    </w:p>
    <w:p>
      <w:pPr>
        <w:spacing w:after="0" w:line="132" w:lineRule="exact"/>
        <w:rPr>
          <w:rFonts w:ascii="Arial" w:cs="Arial" w:eastAsia="Arial" w:hAnsi="Arial"/>
          <w:sz w:val="14"/>
          <w:szCs w:val="14"/>
          <w:color w:val="auto"/>
        </w:rPr>
      </w:pPr>
    </w:p>
    <w:p>
      <w:pPr>
        <w:ind w:left="4060"/>
        <w:spacing w:after="0"/>
        <w:rPr>
          <w:rFonts w:ascii="Arial" w:cs="Arial" w:eastAsia="Arial" w:hAnsi="Arial"/>
          <w:sz w:val="14"/>
          <w:szCs w:val="14"/>
          <w:color w:val="auto"/>
        </w:rPr>
      </w:pPr>
      <w:r>
        <w:rPr>
          <w:rFonts w:ascii="Arial" w:cs="Arial" w:eastAsia="Arial" w:hAnsi="Arial"/>
          <w:sz w:val="14"/>
          <w:szCs w:val="14"/>
          <w:b w:val="1"/>
          <w:bCs w:val="1"/>
          <w:color w:val="auto"/>
        </w:rPr>
        <w:t>DOCUMENTS INCORPORATED BY REFERENCE</w:t>
      </w:r>
    </w:p>
    <w:p>
      <w:pPr>
        <w:spacing w:after="0" w:line="275" w:lineRule="exact"/>
        <w:rPr>
          <w:sz w:val="20"/>
          <w:szCs w:val="20"/>
          <w:color w:val="auto"/>
        </w:rPr>
      </w:pPr>
    </w:p>
    <w:p>
      <w:pPr>
        <w:ind w:left="660" w:right="40" w:hanging="328"/>
        <w:spacing w:after="0" w:line="273"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Portions of the registrant's definitive proxy statement for the registrant's 2013 Annual Meeting, to be filed within 120 days after the close of the registrant's fiscal year,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774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 w:name="page3"/>
    <w:bookmarkEnd w:id="2"/>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320" w:type="dxa"/>
            <w:vAlign w:val="bottom"/>
            <w:gridSpan w:val="10"/>
          </w:tcPr>
          <w:p>
            <w:pPr>
              <w:ind w:left="34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50"/>
        </w:trPr>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Page</w:t>
            </w:r>
          </w:p>
        </w:tc>
      </w:tr>
      <w:tr>
        <w:trPr>
          <w:trHeight w:val="196"/>
        </w:trPr>
        <w:tc>
          <w:tcPr>
            <w:tcW w:w="1160" w:type="dxa"/>
            <w:vAlign w:val="bottom"/>
            <w:gridSpan w:val="3"/>
          </w:tcPr>
          <w:p>
            <w:pPr>
              <w:spacing w:after="0" w:line="170"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80" w:type="dxa"/>
            <w:vAlign w:val="bottom"/>
            <w:gridSpan w:val="5"/>
          </w:tcPr>
          <w:p>
            <w:pPr>
              <w:jc w:val="right"/>
              <w:ind w:right="20"/>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57"/>
        </w:trPr>
        <w:tc>
          <w:tcPr>
            <w:tcW w:w="500" w:type="dxa"/>
            <w:vAlign w:val="bottom"/>
            <w:tcBorders>
              <w:top w:val="single" w:sz="8" w:color="0000EE"/>
            </w:tcBorders>
          </w:tcPr>
          <w:p>
            <w:pPr>
              <w:spacing w:after="0"/>
              <w:rPr>
                <w:rFonts w:ascii="Arial" w:cs="Arial" w:eastAsia="Arial" w:hAnsi="Arial"/>
                <w:sz w:val="18"/>
                <w:szCs w:val="18"/>
                <w:color w:val="0000EE"/>
                <w:w w:val="83"/>
              </w:rPr>
            </w:pPr>
            <w:hyperlink w:anchor="page4">
              <w:r>
                <w:rPr>
                  <w:rFonts w:ascii="Arial" w:cs="Arial" w:eastAsia="Arial" w:hAnsi="Arial"/>
                  <w:sz w:val="18"/>
                  <w:szCs w:val="18"/>
                  <w:color w:val="0000EE"/>
                  <w:w w:val="83"/>
                </w:rPr>
                <w:t>Item 1.</w:t>
              </w:r>
            </w:hyperlink>
          </w:p>
        </w:tc>
        <w:tc>
          <w:tcPr>
            <w:tcW w:w="100" w:type="dxa"/>
            <w:vAlign w:val="bottom"/>
            <w:tcBorders>
              <w:top w:val="single" w:sz="8" w:color="0000EE"/>
            </w:tcBorders>
          </w:tcPr>
          <w:p>
            <w:pPr>
              <w:spacing w:after="0"/>
              <w:rPr>
                <w:sz w:val="22"/>
                <w:szCs w:val="22"/>
                <w:color w:val="auto"/>
              </w:rPr>
            </w:pPr>
          </w:p>
        </w:tc>
        <w:tc>
          <w:tcPr>
            <w:tcW w:w="560" w:type="dxa"/>
            <w:vAlign w:val="bottom"/>
          </w:tcPr>
          <w:p>
            <w:pPr>
              <w:spacing w:after="0"/>
              <w:rPr>
                <w:sz w:val="22"/>
                <w:szCs w:val="22"/>
                <w:color w:val="auto"/>
              </w:rPr>
            </w:pPr>
          </w:p>
        </w:tc>
        <w:tc>
          <w:tcPr>
            <w:tcW w:w="954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60" w:type="dxa"/>
            <w:vAlign w:val="bottom"/>
            <w:gridSpan w:val="3"/>
          </w:tcPr>
          <w:p>
            <w:pPr>
              <w:spacing w:after="0"/>
              <w:rPr>
                <w:sz w:val="22"/>
                <w:szCs w:val="22"/>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Pr>
          <w:p>
            <w:pPr>
              <w:spacing w:after="0"/>
              <w:rPr>
                <w:sz w:val="22"/>
                <w:szCs w:val="22"/>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2"/>
          </w:tcPr>
          <w:p>
            <w:pPr>
              <w:spacing w:after="0"/>
              <w:rPr>
                <w:rFonts w:ascii="Arial" w:cs="Arial" w:eastAsia="Arial" w:hAnsi="Arial"/>
                <w:sz w:val="18"/>
                <w:szCs w:val="18"/>
                <w:color w:val="0000EE"/>
                <w:w w:val="86"/>
              </w:rPr>
            </w:pPr>
            <w:hyperlink w:anchor="page14">
              <w:r>
                <w:rPr>
                  <w:rFonts w:ascii="Arial" w:cs="Arial" w:eastAsia="Arial" w:hAnsi="Arial"/>
                  <w:sz w:val="18"/>
                  <w:szCs w:val="18"/>
                  <w:color w:val="0000EE"/>
                  <w:w w:val="86"/>
                </w:rPr>
                <w:t>Item 1a.</w:t>
              </w:r>
            </w:hyperlink>
          </w:p>
        </w:tc>
        <w:tc>
          <w:tcPr>
            <w:tcW w:w="56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12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2"/>
          </w:tcPr>
          <w:p>
            <w:pPr>
              <w:spacing w:after="0"/>
              <w:rPr>
                <w:rFonts w:ascii="Arial" w:cs="Arial" w:eastAsia="Arial" w:hAnsi="Arial"/>
                <w:sz w:val="18"/>
                <w:szCs w:val="18"/>
                <w:color w:val="0000EE"/>
                <w:w w:val="86"/>
              </w:rPr>
            </w:pPr>
            <w:hyperlink w:anchor="page23">
              <w:r>
                <w:rPr>
                  <w:rFonts w:ascii="Arial" w:cs="Arial" w:eastAsia="Arial" w:hAnsi="Arial"/>
                  <w:sz w:val="18"/>
                  <w:szCs w:val="18"/>
                  <w:color w:val="0000EE"/>
                  <w:w w:val="86"/>
                </w:rPr>
                <w:t>Item 1b.</w:t>
              </w:r>
            </w:hyperlink>
          </w:p>
        </w:tc>
        <w:tc>
          <w:tcPr>
            <w:tcW w:w="56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Unresolved Staff Comments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23">
              <w:r>
                <w:rPr>
                  <w:rFonts w:ascii="Arial" w:cs="Arial" w:eastAsia="Arial" w:hAnsi="Arial"/>
                  <w:sz w:val="18"/>
                  <w:szCs w:val="18"/>
                  <w:color w:val="0000EE"/>
                  <w:w w:val="83"/>
                </w:rPr>
                <w:t>Item 2.</w:t>
              </w:r>
            </w:hyperlink>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gridSpan w:val="2"/>
          </w:tcPr>
          <w:p>
            <w:pPr>
              <w:spacing w:after="0"/>
              <w:rPr>
                <w:rFonts w:ascii="Arial" w:cs="Arial" w:eastAsia="Arial" w:hAnsi="Arial"/>
                <w:sz w:val="18"/>
                <w:szCs w:val="18"/>
                <w:color w:val="0000EE"/>
                <w:w w:val="85"/>
              </w:rPr>
            </w:pPr>
            <w:hyperlink w:anchor="page23">
              <w:r>
                <w:rPr>
                  <w:rFonts w:ascii="Arial" w:cs="Arial" w:eastAsia="Arial" w:hAnsi="Arial"/>
                  <w:sz w:val="18"/>
                  <w:szCs w:val="18"/>
                  <w:color w:val="0000EE"/>
                  <w:w w:val="85"/>
                </w:rPr>
                <w:t>Properties</w:t>
              </w:r>
            </w:hyperlink>
          </w:p>
        </w:tc>
        <w:tc>
          <w:tcPr>
            <w:tcW w:w="1300" w:type="dxa"/>
            <w:vAlign w:val="bottom"/>
            <w:gridSpan w:val="5"/>
          </w:tcPr>
          <w:p>
            <w:pPr>
              <w:spacing w:after="0"/>
              <w:rPr>
                <w:sz w:val="21"/>
                <w:szCs w:val="21"/>
                <w:color w:val="auto"/>
              </w:rPr>
            </w:pPr>
          </w:p>
        </w:tc>
        <w:tc>
          <w:tcPr>
            <w:tcW w:w="7520" w:type="dxa"/>
            <w:vAlign w:val="bottom"/>
            <w:gridSpan w:val="11"/>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23">
              <w:r>
                <w:rPr>
                  <w:rFonts w:ascii="Arial" w:cs="Arial" w:eastAsia="Arial" w:hAnsi="Arial"/>
                  <w:sz w:val="18"/>
                  <w:szCs w:val="18"/>
                  <w:color w:val="0000EE"/>
                  <w:w w:val="83"/>
                </w:rPr>
                <w:t>Item 3.</w:t>
              </w:r>
            </w:hyperlink>
          </w:p>
        </w:tc>
        <w:tc>
          <w:tcPr>
            <w:tcW w:w="660" w:type="dxa"/>
            <w:vAlign w:val="bottom"/>
            <w:gridSpan w:val="2"/>
          </w:tcPr>
          <w:p>
            <w:pPr>
              <w:spacing w:after="0"/>
              <w:rPr>
                <w:sz w:val="21"/>
                <w:szCs w:val="21"/>
                <w:color w:val="auto"/>
              </w:rPr>
            </w:pPr>
          </w:p>
        </w:tc>
        <w:tc>
          <w:tcPr>
            <w:tcW w:w="1320" w:type="dxa"/>
            <w:vAlign w:val="bottom"/>
            <w:gridSpan w:val="4"/>
          </w:tcPr>
          <w:p>
            <w:pPr>
              <w:spacing w:after="0"/>
              <w:rPr>
                <w:rFonts w:ascii="Arial" w:cs="Arial" w:eastAsia="Arial" w:hAnsi="Arial"/>
                <w:sz w:val="18"/>
                <w:szCs w:val="18"/>
                <w:color w:val="0000EE"/>
                <w:w w:val="85"/>
              </w:rPr>
            </w:pPr>
            <w:hyperlink w:anchor="page23">
              <w:r>
                <w:rPr>
                  <w:rFonts w:ascii="Arial" w:cs="Arial" w:eastAsia="Arial" w:hAnsi="Arial"/>
                  <w:sz w:val="18"/>
                  <w:szCs w:val="18"/>
                  <w:color w:val="0000EE"/>
                  <w:w w:val="85"/>
                </w:rPr>
                <w:t>Legal Proceedings</w:t>
              </w:r>
            </w:hyperlink>
          </w:p>
        </w:tc>
        <w:tc>
          <w:tcPr>
            <w:tcW w:w="8220" w:type="dxa"/>
            <w:vAlign w:val="bottom"/>
            <w:gridSpan w:val="14"/>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24">
              <w:r>
                <w:rPr>
                  <w:rFonts w:ascii="Arial" w:cs="Arial" w:eastAsia="Arial" w:hAnsi="Arial"/>
                  <w:sz w:val="18"/>
                  <w:szCs w:val="18"/>
                  <w:color w:val="0000EE"/>
                  <w:w w:val="83"/>
                </w:rPr>
                <w:t>Item 4.</w:t>
              </w:r>
            </w:hyperlink>
          </w:p>
        </w:tc>
        <w:tc>
          <w:tcPr>
            <w:tcW w:w="660" w:type="dxa"/>
            <w:vAlign w:val="bottom"/>
            <w:gridSpan w:val="2"/>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620" w:type="dxa"/>
            <w:vAlign w:val="bottom"/>
            <w:tcBorders>
              <w:bottom w:val="single" w:sz="8" w:color="0000EE"/>
            </w:tcBorders>
            <w:shd w:val="clear" w:color="auto" w:fill="0000EE"/>
          </w:tcPr>
          <w:p>
            <w:pPr>
              <w:spacing w:after="0" w:line="20" w:lineRule="exact"/>
              <w:rPr>
                <w:sz w:val="1"/>
                <w:szCs w:val="1"/>
                <w:color w:val="auto"/>
              </w:rPr>
            </w:pPr>
          </w:p>
        </w:tc>
        <w:tc>
          <w:tcPr>
            <w:tcW w:w="100" w:type="dxa"/>
            <w:vAlign w:val="bottom"/>
            <w:tcBorders>
              <w:bottom w:val="single" w:sz="8" w:color="0000EE"/>
            </w:tcBorders>
            <w:shd w:val="clear" w:color="auto" w:fill="0000EE"/>
          </w:tcPr>
          <w:p>
            <w:pPr>
              <w:spacing w:after="0" w:line="20" w:lineRule="exact"/>
              <w:rPr>
                <w:sz w:val="1"/>
                <w:szCs w:val="1"/>
                <w:color w:val="auto"/>
              </w:rPr>
            </w:pPr>
          </w:p>
        </w:tc>
        <w:tc>
          <w:tcPr>
            <w:tcW w:w="160" w:type="dxa"/>
            <w:vAlign w:val="bottom"/>
            <w:tcBorders>
              <w:bottom w:val="single" w:sz="8" w:color="0000EE"/>
            </w:tcBorders>
            <w:shd w:val="clear" w:color="auto" w:fill="0000EE"/>
          </w:tcPr>
          <w:p>
            <w:pPr>
              <w:spacing w:after="0" w:line="20" w:lineRule="exact"/>
              <w:rPr>
                <w:sz w:val="1"/>
                <w:szCs w:val="1"/>
                <w:color w:val="auto"/>
              </w:rPr>
            </w:pPr>
          </w:p>
        </w:tc>
        <w:tc>
          <w:tcPr>
            <w:tcW w:w="440" w:type="dxa"/>
            <w:vAlign w:val="bottom"/>
            <w:tcBorders>
              <w:bottom w:val="single" w:sz="8" w:color="0000EE"/>
              <w:right w:val="single" w:sz="8" w:color="0000EE"/>
            </w:tcBorders>
            <w:shd w:val="clear" w:color="auto" w:fill="0000EE"/>
          </w:tcPr>
          <w:p>
            <w:pPr>
              <w:spacing w:after="0" w:line="20" w:lineRule="exact"/>
              <w:rPr>
                <w:sz w:val="1"/>
                <w:szCs w:val="1"/>
                <w:color w:val="auto"/>
              </w:rPr>
            </w:pPr>
          </w:p>
        </w:tc>
        <w:tc>
          <w:tcPr>
            <w:tcW w:w="380" w:type="dxa"/>
            <w:vAlign w:val="bottom"/>
            <w:tcBorders>
              <w:bottom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600" w:type="dxa"/>
            <w:vAlign w:val="bottom"/>
            <w:gridSpan w:val="2"/>
          </w:tcPr>
          <w:p>
            <w:pPr>
              <w:spacing w:after="0"/>
              <w:rPr>
                <w:rFonts w:ascii="Arial" w:cs="Arial" w:eastAsia="Arial" w:hAnsi="Arial"/>
                <w:sz w:val="18"/>
                <w:szCs w:val="18"/>
                <w:b w:val="1"/>
                <w:bCs w:val="1"/>
                <w:color w:val="0000EE"/>
                <w:w w:val="87"/>
              </w:rPr>
            </w:pPr>
            <w:hyperlink w:anchor="page24">
              <w:r>
                <w:rPr>
                  <w:rFonts w:ascii="Arial" w:cs="Arial" w:eastAsia="Arial" w:hAnsi="Arial"/>
                  <w:sz w:val="18"/>
                  <w:szCs w:val="18"/>
                  <w:b w:val="1"/>
                  <w:bCs w:val="1"/>
                  <w:color w:val="0000EE"/>
                  <w:w w:val="87"/>
                </w:rPr>
                <w:t>PART II</w:t>
              </w:r>
            </w:hyperlink>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24">
              <w:r>
                <w:rPr>
                  <w:rFonts w:ascii="Arial" w:cs="Arial" w:eastAsia="Arial" w:hAnsi="Arial"/>
                  <w:sz w:val="18"/>
                  <w:szCs w:val="18"/>
                  <w:color w:val="0000EE"/>
                  <w:w w:val="83"/>
                </w:rPr>
                <w:t>Item 5.</w:t>
              </w:r>
            </w:hyperlink>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120" w:type="dxa"/>
            <w:vAlign w:val="bottom"/>
            <w:gridSpan w:val="9"/>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Market for Registrant's Equity and Related Share Matters</w:t>
              </w:r>
            </w:hyperlink>
          </w:p>
        </w:tc>
        <w:tc>
          <w:tcPr>
            <w:tcW w:w="5420" w:type="dxa"/>
            <w:vAlign w:val="bottom"/>
            <w:gridSpan w:val="9"/>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25">
              <w:r>
                <w:rPr>
                  <w:rFonts w:ascii="Arial" w:cs="Arial" w:eastAsia="Arial" w:hAnsi="Arial"/>
                  <w:sz w:val="18"/>
                  <w:szCs w:val="18"/>
                  <w:color w:val="0000EE"/>
                  <w:w w:val="83"/>
                </w:rPr>
                <w:t>Item 6.</w:t>
              </w:r>
            </w:hyperlink>
          </w:p>
        </w:tc>
        <w:tc>
          <w:tcPr>
            <w:tcW w:w="660" w:type="dxa"/>
            <w:vAlign w:val="bottom"/>
            <w:gridSpan w:val="2"/>
          </w:tcPr>
          <w:p>
            <w:pPr>
              <w:spacing w:after="0"/>
              <w:rPr>
                <w:sz w:val="21"/>
                <w:szCs w:val="21"/>
                <w:color w:val="auto"/>
              </w:rPr>
            </w:pPr>
          </w:p>
        </w:tc>
        <w:tc>
          <w:tcPr>
            <w:tcW w:w="1700" w:type="dxa"/>
            <w:vAlign w:val="bottom"/>
            <w:gridSpan w:val="5"/>
          </w:tcPr>
          <w:p>
            <w:pPr>
              <w:spacing w:after="0"/>
              <w:rPr>
                <w:rFonts w:ascii="Arial" w:cs="Arial" w:eastAsia="Arial" w:hAnsi="Arial"/>
                <w:sz w:val="18"/>
                <w:szCs w:val="18"/>
                <w:color w:val="0000EE"/>
                <w:w w:val="87"/>
              </w:rPr>
            </w:pPr>
            <w:hyperlink w:anchor="page25">
              <w:r>
                <w:rPr>
                  <w:rFonts w:ascii="Arial" w:cs="Arial" w:eastAsia="Arial" w:hAnsi="Arial"/>
                  <w:sz w:val="18"/>
                  <w:szCs w:val="18"/>
                  <w:color w:val="0000EE"/>
                  <w:w w:val="87"/>
                </w:rPr>
                <w:t>Selected Financial Data</w:t>
              </w:r>
            </w:hyperlink>
          </w:p>
        </w:tc>
        <w:tc>
          <w:tcPr>
            <w:tcW w:w="2420" w:type="dxa"/>
            <w:vAlign w:val="bottom"/>
            <w:gridSpan w:val="4"/>
          </w:tcPr>
          <w:p>
            <w:pPr>
              <w:spacing w:after="0"/>
              <w:rPr>
                <w:sz w:val="21"/>
                <w:szCs w:val="21"/>
                <w:color w:val="auto"/>
              </w:rPr>
            </w:pPr>
          </w:p>
        </w:tc>
        <w:tc>
          <w:tcPr>
            <w:tcW w:w="5420" w:type="dxa"/>
            <w:vAlign w:val="bottom"/>
            <w:gridSpan w:val="9"/>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27">
              <w:r>
                <w:rPr>
                  <w:rFonts w:ascii="Arial" w:cs="Arial" w:eastAsia="Arial" w:hAnsi="Arial"/>
                  <w:sz w:val="18"/>
                  <w:szCs w:val="18"/>
                  <w:color w:val="0000EE"/>
                  <w:w w:val="83"/>
                </w:rPr>
                <w:t>Item 7.</w:t>
              </w:r>
            </w:hyperlink>
          </w:p>
        </w:tc>
        <w:tc>
          <w:tcPr>
            <w:tcW w:w="660" w:type="dxa"/>
            <w:vAlign w:val="bottom"/>
            <w:gridSpan w:val="2"/>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2"/>
          </w:tcPr>
          <w:p>
            <w:pPr>
              <w:spacing w:after="0"/>
              <w:rPr>
                <w:rFonts w:ascii="Arial" w:cs="Arial" w:eastAsia="Arial" w:hAnsi="Arial"/>
                <w:sz w:val="18"/>
                <w:szCs w:val="18"/>
                <w:color w:val="0000EE"/>
                <w:w w:val="86"/>
              </w:rPr>
            </w:pPr>
            <w:hyperlink w:anchor="page45">
              <w:r>
                <w:rPr>
                  <w:rFonts w:ascii="Arial" w:cs="Arial" w:eastAsia="Arial" w:hAnsi="Arial"/>
                  <w:sz w:val="18"/>
                  <w:szCs w:val="18"/>
                  <w:color w:val="0000EE"/>
                  <w:w w:val="86"/>
                </w:rPr>
                <w:t>Item 7a.</w:t>
              </w:r>
            </w:hyperlink>
          </w:p>
        </w:tc>
        <w:tc>
          <w:tcPr>
            <w:tcW w:w="560" w:type="dxa"/>
            <w:vAlign w:val="bottom"/>
          </w:tcPr>
          <w:p>
            <w:pPr>
              <w:spacing w:after="0"/>
              <w:rPr>
                <w:sz w:val="21"/>
                <w:szCs w:val="21"/>
                <w:color w:val="auto"/>
              </w:rPr>
            </w:pPr>
          </w:p>
        </w:tc>
        <w:tc>
          <w:tcPr>
            <w:tcW w:w="4300" w:type="dxa"/>
            <w:vAlign w:val="bottom"/>
            <w:gridSpan w:val="10"/>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Quantitative and Qualitative Disclosures about Market Risk</w:t>
              </w:r>
            </w:hyperlink>
          </w:p>
        </w:tc>
        <w:tc>
          <w:tcPr>
            <w:tcW w:w="5240" w:type="dxa"/>
            <w:vAlign w:val="bottom"/>
            <w:gridSpan w:val="8"/>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42</w:t>
              </w:r>
            </w:hyperlink>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46">
              <w:r>
                <w:rPr>
                  <w:rFonts w:ascii="Arial" w:cs="Arial" w:eastAsia="Arial" w:hAnsi="Arial"/>
                  <w:sz w:val="18"/>
                  <w:szCs w:val="18"/>
                  <w:color w:val="0000EE"/>
                  <w:w w:val="83"/>
                </w:rPr>
                <w:t>Item 8.</w:t>
              </w:r>
            </w:hyperlink>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20" w:type="dxa"/>
            <w:vAlign w:val="bottom"/>
            <w:gridSpan w:val="8"/>
          </w:tcPr>
          <w:p>
            <w:pPr>
              <w:spacing w:after="0"/>
              <w:rPr>
                <w:rFonts w:ascii="Arial" w:cs="Arial" w:eastAsia="Arial" w:hAnsi="Arial"/>
                <w:sz w:val="18"/>
                <w:szCs w:val="18"/>
                <w:color w:val="0000EE"/>
                <w:w w:val="88"/>
              </w:rPr>
            </w:pPr>
            <w:hyperlink w:anchor="page46">
              <w:r>
                <w:rPr>
                  <w:rFonts w:ascii="Arial" w:cs="Arial" w:eastAsia="Arial" w:hAnsi="Arial"/>
                  <w:sz w:val="18"/>
                  <w:szCs w:val="18"/>
                  <w:color w:val="0000EE"/>
                  <w:w w:val="88"/>
                </w:rPr>
                <w:t>Financial Statements and Supplemental Data</w:t>
              </w:r>
            </w:hyperlink>
          </w:p>
        </w:tc>
        <w:tc>
          <w:tcPr>
            <w:tcW w:w="1080" w:type="dxa"/>
            <w:vAlign w:val="bottom"/>
            <w:gridSpan w:val="2"/>
          </w:tcPr>
          <w:p>
            <w:pPr>
              <w:spacing w:after="0"/>
              <w:rPr>
                <w:sz w:val="21"/>
                <w:szCs w:val="21"/>
                <w:color w:val="auto"/>
              </w:rPr>
            </w:pPr>
          </w:p>
        </w:tc>
        <w:tc>
          <w:tcPr>
            <w:tcW w:w="5240" w:type="dxa"/>
            <w:vAlign w:val="bottom"/>
            <w:gridSpan w:val="8"/>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Borders>
              <w:bottom w:val="single" w:sz="8" w:color="0000EE"/>
            </w:tcBorders>
          </w:tcPr>
          <w:p>
            <w:pPr>
              <w:spacing w:after="0"/>
              <w:rPr>
                <w:rFonts w:ascii="Arial" w:cs="Arial" w:eastAsia="Arial" w:hAnsi="Arial"/>
                <w:sz w:val="18"/>
                <w:szCs w:val="18"/>
                <w:color w:val="0000EE"/>
                <w:w w:val="83"/>
              </w:rPr>
            </w:pPr>
            <w:hyperlink w:anchor="page112">
              <w:r>
                <w:rPr>
                  <w:rFonts w:ascii="Arial" w:cs="Arial" w:eastAsia="Arial" w:hAnsi="Arial"/>
                  <w:sz w:val="18"/>
                  <w:szCs w:val="18"/>
                  <w:color w:val="0000EE"/>
                  <w:w w:val="83"/>
                </w:rPr>
                <w:t>Item 9.</w:t>
              </w:r>
            </w:hyperlink>
          </w:p>
        </w:tc>
        <w:tc>
          <w:tcPr>
            <w:tcW w:w="660" w:type="dxa"/>
            <w:vAlign w:val="bottom"/>
            <w:gridSpan w:val="2"/>
          </w:tcPr>
          <w:p>
            <w:pPr>
              <w:spacing w:after="0"/>
              <w:rPr>
                <w:sz w:val="21"/>
                <w:szCs w:val="21"/>
                <w:color w:val="auto"/>
              </w:rPr>
            </w:pPr>
          </w:p>
        </w:tc>
        <w:tc>
          <w:tcPr>
            <w:tcW w:w="794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12">
              <w:r>
                <w:rPr>
                  <w:rFonts w:ascii="Arial" w:cs="Arial" w:eastAsia="Arial" w:hAnsi="Arial"/>
                  <w:sz w:val="18"/>
                  <w:szCs w:val="18"/>
                  <w:color w:val="0000EE"/>
                  <w:w w:val="90"/>
                </w:rPr>
                <w:t>Changes and Disagreements with Registered Public Accounting Firm on Accounting and Financial Disclosure</w:t>
              </w:r>
            </w:hyperlink>
          </w:p>
        </w:tc>
        <w:tc>
          <w:tcPr>
            <w:tcW w:w="1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12">
              <w:r>
                <w:rPr>
                  <w:rFonts w:ascii="Arial" w:cs="Arial" w:eastAsia="Arial" w:hAnsi="Arial"/>
                  <w:sz w:val="18"/>
                  <w:szCs w:val="18"/>
                  <w:color w:val="0000EE"/>
                  <w:w w:val="86"/>
                </w:rPr>
                <w:t>108</w:t>
              </w:r>
            </w:hyperlink>
          </w:p>
        </w:tc>
        <w:tc>
          <w:tcPr>
            <w:tcW w:w="20" w:type="dxa"/>
            <w:vAlign w:val="bottom"/>
          </w:tcPr>
          <w:p>
            <w:pPr>
              <w:spacing w:after="0"/>
              <w:rPr>
                <w:sz w:val="21"/>
                <w:szCs w:val="21"/>
                <w:color w:val="auto"/>
              </w:rPr>
            </w:pPr>
          </w:p>
        </w:tc>
      </w:tr>
      <w:tr>
        <w:trPr>
          <w:trHeight w:val="250"/>
        </w:trPr>
        <w:tc>
          <w:tcPr>
            <w:tcW w:w="60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113">
              <w:r>
                <w:rPr>
                  <w:rFonts w:ascii="Arial" w:cs="Arial" w:eastAsia="Arial" w:hAnsi="Arial"/>
                  <w:sz w:val="18"/>
                  <w:szCs w:val="18"/>
                  <w:color w:val="0000EE"/>
                  <w:w w:val="86"/>
                </w:rPr>
                <w:t>Item 9a.</w:t>
              </w:r>
            </w:hyperlink>
          </w:p>
        </w:tc>
        <w:tc>
          <w:tcPr>
            <w:tcW w:w="560" w:type="dxa"/>
            <w:vAlign w:val="bottom"/>
          </w:tcPr>
          <w:p>
            <w:pPr>
              <w:spacing w:after="0"/>
              <w:rPr>
                <w:sz w:val="21"/>
                <w:szCs w:val="21"/>
                <w:color w:val="auto"/>
              </w:rPr>
            </w:pPr>
          </w:p>
        </w:tc>
        <w:tc>
          <w:tcPr>
            <w:tcW w:w="1700" w:type="dxa"/>
            <w:vAlign w:val="bottom"/>
            <w:tcBorders>
              <w:bottom w:val="single" w:sz="8" w:color="0000EE"/>
            </w:tcBorders>
            <w:gridSpan w:val="5"/>
          </w:tcPr>
          <w:p>
            <w:pPr>
              <w:spacing w:after="0"/>
              <w:rPr>
                <w:rFonts w:ascii="Arial" w:cs="Arial" w:eastAsia="Arial" w:hAnsi="Arial"/>
                <w:sz w:val="18"/>
                <w:szCs w:val="18"/>
                <w:color w:val="0000EE"/>
                <w:w w:val="83"/>
              </w:rPr>
            </w:pPr>
            <w:hyperlink w:anchor="page113">
              <w:r>
                <w:rPr>
                  <w:rFonts w:ascii="Arial" w:cs="Arial" w:eastAsia="Arial" w:hAnsi="Arial"/>
                  <w:sz w:val="18"/>
                  <w:szCs w:val="18"/>
                  <w:color w:val="0000EE"/>
                  <w:w w:val="83"/>
                </w:rPr>
                <w:t>Controls and Procedures</w:t>
              </w:r>
            </w:hyperlink>
          </w:p>
        </w:tc>
        <w:tc>
          <w:tcPr>
            <w:tcW w:w="7840" w:type="dxa"/>
            <w:vAlign w:val="bottom"/>
            <w:gridSpan w:val="13"/>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13">
              <w:r>
                <w:rPr>
                  <w:rFonts w:ascii="Arial" w:cs="Arial" w:eastAsia="Arial" w:hAnsi="Arial"/>
                  <w:sz w:val="18"/>
                  <w:szCs w:val="18"/>
                  <w:color w:val="0000EE"/>
                  <w:w w:val="86"/>
                </w:rPr>
                <w:t>108</w:t>
              </w:r>
            </w:hyperlink>
          </w:p>
        </w:tc>
        <w:tc>
          <w:tcPr>
            <w:tcW w:w="20" w:type="dxa"/>
            <w:vAlign w:val="bottom"/>
          </w:tcPr>
          <w:p>
            <w:pPr>
              <w:spacing w:after="0"/>
              <w:rPr>
                <w:sz w:val="21"/>
                <w:szCs w:val="21"/>
                <w:color w:val="auto"/>
              </w:rPr>
            </w:pPr>
          </w:p>
        </w:tc>
      </w:tr>
      <w:tr>
        <w:trPr>
          <w:trHeight w:val="250"/>
        </w:trPr>
        <w:tc>
          <w:tcPr>
            <w:tcW w:w="60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113">
              <w:r>
                <w:rPr>
                  <w:rFonts w:ascii="Arial" w:cs="Arial" w:eastAsia="Arial" w:hAnsi="Arial"/>
                  <w:sz w:val="18"/>
                  <w:szCs w:val="18"/>
                  <w:color w:val="0000EE"/>
                  <w:w w:val="86"/>
                </w:rPr>
                <w:t>Item 9b.</w:t>
              </w:r>
            </w:hyperlink>
          </w:p>
        </w:tc>
        <w:tc>
          <w:tcPr>
            <w:tcW w:w="560" w:type="dxa"/>
            <w:vAlign w:val="bottom"/>
          </w:tcPr>
          <w:p>
            <w:pPr>
              <w:spacing w:after="0"/>
              <w:rPr>
                <w:sz w:val="21"/>
                <w:szCs w:val="21"/>
                <w:color w:val="auto"/>
              </w:rPr>
            </w:pPr>
          </w:p>
        </w:tc>
        <w:tc>
          <w:tcPr>
            <w:tcW w:w="13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13">
              <w:r>
                <w:rPr>
                  <w:rFonts w:ascii="Arial" w:cs="Arial" w:eastAsia="Arial" w:hAnsi="Arial"/>
                  <w:sz w:val="18"/>
                  <w:szCs w:val="18"/>
                  <w:color w:val="0000EE"/>
                  <w:w w:val="91"/>
                </w:rPr>
                <w:t>Other Information</w:t>
              </w:r>
            </w:hyperlink>
          </w:p>
        </w:tc>
        <w:tc>
          <w:tcPr>
            <w:tcW w:w="8220" w:type="dxa"/>
            <w:vAlign w:val="bottom"/>
            <w:gridSpan w:val="14"/>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13">
              <w:r>
                <w:rPr>
                  <w:rFonts w:ascii="Arial" w:cs="Arial" w:eastAsia="Arial" w:hAnsi="Arial"/>
                  <w:sz w:val="18"/>
                  <w:szCs w:val="18"/>
                  <w:color w:val="0000EE"/>
                  <w:w w:val="86"/>
                </w:rPr>
                <w:t>108</w:t>
              </w:r>
            </w:hyperlink>
          </w:p>
        </w:tc>
        <w:tc>
          <w:tcPr>
            <w:tcW w:w="20" w:type="dxa"/>
            <w:vAlign w:val="bottom"/>
          </w:tcPr>
          <w:p>
            <w:pPr>
              <w:spacing w:after="0"/>
              <w:rPr>
                <w:sz w:val="21"/>
                <w:szCs w:val="21"/>
                <w:color w:val="auto"/>
              </w:rPr>
            </w:pPr>
          </w:p>
        </w:tc>
      </w:tr>
      <w:tr>
        <w:trPr>
          <w:trHeight w:val="250"/>
        </w:trPr>
        <w:tc>
          <w:tcPr>
            <w:tcW w:w="600" w:type="dxa"/>
            <w:vAlign w:val="bottom"/>
            <w:tcBorders>
              <w:bottom w:val="single" w:sz="8" w:color="0000EE"/>
            </w:tcBorders>
            <w:gridSpan w:val="2"/>
          </w:tcPr>
          <w:p>
            <w:pPr>
              <w:spacing w:after="0"/>
              <w:rPr>
                <w:rFonts w:ascii="Arial" w:cs="Arial" w:eastAsia="Arial" w:hAnsi="Arial"/>
                <w:sz w:val="18"/>
                <w:szCs w:val="18"/>
                <w:b w:val="1"/>
                <w:bCs w:val="1"/>
                <w:color w:val="0000EE"/>
              </w:rPr>
            </w:pPr>
            <w:hyperlink w:anchor="page114">
              <w:r>
                <w:rPr>
                  <w:rFonts w:ascii="Arial" w:cs="Arial" w:eastAsia="Arial" w:hAnsi="Arial"/>
                  <w:sz w:val="18"/>
                  <w:szCs w:val="18"/>
                  <w:b w:val="1"/>
                  <w:bCs w:val="1"/>
                  <w:color w:val="0000EE"/>
                </w:rPr>
                <w:t>Part III</w:t>
              </w:r>
            </w:hyperlink>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14">
              <w:r>
                <w:rPr>
                  <w:rFonts w:ascii="Arial" w:cs="Arial" w:eastAsia="Arial" w:hAnsi="Arial"/>
                  <w:sz w:val="18"/>
                  <w:szCs w:val="18"/>
                  <w:color w:val="0000EE"/>
                  <w:w w:val="86"/>
                </w:rPr>
                <w:t>109</w:t>
              </w:r>
            </w:hyperlink>
          </w:p>
        </w:tc>
        <w:tc>
          <w:tcPr>
            <w:tcW w:w="20" w:type="dxa"/>
            <w:vAlign w:val="bottom"/>
          </w:tcPr>
          <w:p>
            <w:pPr>
              <w:spacing w:after="0"/>
              <w:rPr>
                <w:sz w:val="21"/>
                <w:szCs w:val="21"/>
                <w:color w:val="auto"/>
              </w:rPr>
            </w:pPr>
          </w:p>
        </w:tc>
      </w:tr>
      <w:tr>
        <w:trPr>
          <w:trHeight w:val="250"/>
        </w:trPr>
        <w:tc>
          <w:tcPr>
            <w:tcW w:w="600" w:type="dxa"/>
            <w:vAlign w:val="bottom"/>
            <w:gridSpan w:val="2"/>
          </w:tcPr>
          <w:p>
            <w:pPr>
              <w:spacing w:after="0"/>
              <w:rPr>
                <w:rFonts w:ascii="Arial" w:cs="Arial" w:eastAsia="Arial" w:hAnsi="Arial"/>
                <w:sz w:val="18"/>
                <w:szCs w:val="18"/>
                <w:color w:val="0000EE"/>
                <w:w w:val="86"/>
              </w:rPr>
            </w:pPr>
            <w:hyperlink w:anchor="page114">
              <w:r>
                <w:rPr>
                  <w:rFonts w:ascii="Arial" w:cs="Arial" w:eastAsia="Arial" w:hAnsi="Arial"/>
                  <w:sz w:val="18"/>
                  <w:szCs w:val="18"/>
                  <w:color w:val="0000EE"/>
                  <w:w w:val="86"/>
                </w:rPr>
                <w:t>Item 10.</w:t>
              </w:r>
            </w:hyperlink>
          </w:p>
        </w:tc>
        <w:tc>
          <w:tcPr>
            <w:tcW w:w="56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Directors, Executive Officers and Corporate Governance of the Registrant</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114">
              <w:r>
                <w:rPr>
                  <w:rFonts w:ascii="Arial" w:cs="Arial" w:eastAsia="Arial" w:hAnsi="Arial"/>
                  <w:sz w:val="18"/>
                  <w:szCs w:val="18"/>
                  <w:color w:val="0000EE"/>
                </w:rPr>
                <w:t>109</w:t>
              </w:r>
            </w:hyperlink>
          </w:p>
        </w:tc>
      </w:tr>
      <w:tr>
        <w:trPr>
          <w:trHeight w:val="250"/>
        </w:trPr>
        <w:tc>
          <w:tcPr>
            <w:tcW w:w="600" w:type="dxa"/>
            <w:vAlign w:val="bottom"/>
            <w:tcBorders>
              <w:top w:val="single" w:sz="8" w:color="0000EE"/>
            </w:tcBorders>
            <w:gridSpan w:val="2"/>
          </w:tcPr>
          <w:p>
            <w:pPr>
              <w:spacing w:after="0"/>
              <w:rPr>
                <w:rFonts w:ascii="Arial" w:cs="Arial" w:eastAsia="Arial" w:hAnsi="Arial"/>
                <w:sz w:val="18"/>
                <w:szCs w:val="18"/>
                <w:color w:val="0000EE"/>
                <w:w w:val="86"/>
              </w:rPr>
            </w:pPr>
            <w:hyperlink w:anchor="page114">
              <w:r>
                <w:rPr>
                  <w:rFonts w:ascii="Arial" w:cs="Arial" w:eastAsia="Arial" w:hAnsi="Arial"/>
                  <w:sz w:val="18"/>
                  <w:szCs w:val="18"/>
                  <w:color w:val="0000EE"/>
                  <w:w w:val="86"/>
                </w:rPr>
                <w:t>Item 11.</w:t>
              </w:r>
            </w:hyperlink>
          </w:p>
        </w:tc>
        <w:tc>
          <w:tcPr>
            <w:tcW w:w="560" w:type="dxa"/>
            <w:vAlign w:val="bottom"/>
          </w:tcPr>
          <w:p>
            <w:pPr>
              <w:spacing w:after="0"/>
              <w:rPr>
                <w:sz w:val="21"/>
                <w:szCs w:val="21"/>
                <w:color w:val="auto"/>
              </w:rPr>
            </w:pPr>
          </w:p>
        </w:tc>
        <w:tc>
          <w:tcPr>
            <w:tcW w:w="5320" w:type="dxa"/>
            <w:vAlign w:val="bottom"/>
            <w:tcBorders>
              <w:top w:val="single" w:sz="8" w:color="0000EE"/>
            </w:tcBorders>
            <w:gridSpan w:val="14"/>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Executive Compensation</w:t>
              </w:r>
            </w:hyperlink>
          </w:p>
        </w:tc>
        <w:tc>
          <w:tcPr>
            <w:tcW w:w="4220" w:type="dxa"/>
            <w:vAlign w:val="bottom"/>
            <w:gridSpan w:val="4"/>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14">
              <w:r>
                <w:rPr>
                  <w:rFonts w:ascii="Arial" w:cs="Arial" w:eastAsia="Arial" w:hAnsi="Arial"/>
                  <w:sz w:val="18"/>
                  <w:szCs w:val="18"/>
                  <w:color w:val="0000EE"/>
                  <w:w w:val="86"/>
                </w:rPr>
                <w:t>109</w:t>
              </w:r>
            </w:hyperlink>
          </w:p>
        </w:tc>
        <w:tc>
          <w:tcPr>
            <w:tcW w:w="20" w:type="dxa"/>
            <w:vAlign w:val="bottom"/>
          </w:tcPr>
          <w:p>
            <w:pPr>
              <w:spacing w:after="0"/>
              <w:rPr>
                <w:sz w:val="21"/>
                <w:szCs w:val="21"/>
                <w:color w:val="auto"/>
              </w:rPr>
            </w:pPr>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1780" w:type="dxa"/>
            <w:vAlign w:val="bottom"/>
            <w:gridSpan w:val="6"/>
            <w:shd w:val="clear" w:color="auto" w:fill="0000EE"/>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114">
              <w:r>
                <w:rPr>
                  <w:rFonts w:ascii="Arial" w:cs="Arial" w:eastAsia="Arial" w:hAnsi="Arial"/>
                  <w:sz w:val="18"/>
                  <w:szCs w:val="18"/>
                  <w:color w:val="0000EE"/>
                  <w:w w:val="86"/>
                </w:rPr>
                <w:t>Item 12.</w:t>
              </w:r>
            </w:hyperlink>
          </w:p>
        </w:tc>
        <w:tc>
          <w:tcPr>
            <w:tcW w:w="560" w:type="dxa"/>
            <w:vAlign w:val="bottom"/>
          </w:tcPr>
          <w:p>
            <w:pPr>
              <w:spacing w:after="0"/>
              <w:rPr>
                <w:sz w:val="21"/>
                <w:szCs w:val="21"/>
                <w:color w:val="auto"/>
              </w:rPr>
            </w:pPr>
          </w:p>
        </w:tc>
        <w:tc>
          <w:tcPr>
            <w:tcW w:w="728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14">
              <w:r>
                <w:rPr>
                  <w:rFonts w:ascii="Arial" w:cs="Arial" w:eastAsia="Arial" w:hAnsi="Arial"/>
                  <w:sz w:val="18"/>
                  <w:szCs w:val="18"/>
                  <w:color w:val="0000EE"/>
                  <w:w w:val="90"/>
                </w:rPr>
                <w:t>Security Ownership of Certain Beneficial Owners and Management and Related Stockholder Matters</w:t>
              </w:r>
            </w:hyperlink>
          </w:p>
        </w:tc>
        <w:tc>
          <w:tcPr>
            <w:tcW w:w="2260" w:type="dxa"/>
            <w:vAlign w:val="bottom"/>
            <w:gridSpan w:val="2"/>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14">
              <w:r>
                <w:rPr>
                  <w:rFonts w:ascii="Arial" w:cs="Arial" w:eastAsia="Arial" w:hAnsi="Arial"/>
                  <w:sz w:val="18"/>
                  <w:szCs w:val="18"/>
                  <w:color w:val="0000EE"/>
                  <w:w w:val="86"/>
                </w:rPr>
                <w:t>109</w:t>
              </w:r>
            </w:hyperlink>
          </w:p>
        </w:tc>
        <w:tc>
          <w:tcPr>
            <w:tcW w:w="20" w:type="dxa"/>
            <w:vAlign w:val="bottom"/>
          </w:tcPr>
          <w:p>
            <w:pPr>
              <w:spacing w:after="0"/>
              <w:rPr>
                <w:sz w:val="21"/>
                <w:szCs w:val="21"/>
                <w:color w:val="auto"/>
              </w:rPr>
            </w:pPr>
          </w:p>
        </w:tc>
      </w:tr>
      <w:tr>
        <w:trPr>
          <w:trHeight w:val="250"/>
        </w:trPr>
        <w:tc>
          <w:tcPr>
            <w:tcW w:w="600" w:type="dxa"/>
            <w:vAlign w:val="bottom"/>
            <w:gridSpan w:val="2"/>
          </w:tcPr>
          <w:p>
            <w:pPr>
              <w:spacing w:after="0"/>
              <w:rPr>
                <w:rFonts w:ascii="Arial" w:cs="Arial" w:eastAsia="Arial" w:hAnsi="Arial"/>
                <w:sz w:val="18"/>
                <w:szCs w:val="18"/>
                <w:color w:val="0000EE"/>
                <w:w w:val="86"/>
              </w:rPr>
            </w:pPr>
            <w:hyperlink w:anchor="page114">
              <w:r>
                <w:rPr>
                  <w:rFonts w:ascii="Arial" w:cs="Arial" w:eastAsia="Arial" w:hAnsi="Arial"/>
                  <w:sz w:val="18"/>
                  <w:szCs w:val="18"/>
                  <w:color w:val="0000EE"/>
                  <w:w w:val="86"/>
                </w:rPr>
                <w:t>Item 13.</w:t>
              </w:r>
            </w:hyperlink>
          </w:p>
        </w:tc>
        <w:tc>
          <w:tcPr>
            <w:tcW w:w="56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Certain Relationships, Related Transactions and Director Independence</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114">
              <w:r>
                <w:rPr>
                  <w:rFonts w:ascii="Arial" w:cs="Arial" w:eastAsia="Arial" w:hAnsi="Arial"/>
                  <w:sz w:val="18"/>
                  <w:szCs w:val="18"/>
                  <w:color w:val="0000EE"/>
                </w:rPr>
                <w:t>109</w:t>
              </w:r>
            </w:hyperlink>
          </w:p>
        </w:tc>
      </w:tr>
      <w:tr>
        <w:trPr>
          <w:trHeight w:val="250"/>
        </w:trPr>
        <w:tc>
          <w:tcPr>
            <w:tcW w:w="600" w:type="dxa"/>
            <w:vAlign w:val="bottom"/>
            <w:tcBorders>
              <w:top w:val="single" w:sz="8" w:color="0000EE"/>
            </w:tcBorders>
            <w:gridSpan w:val="2"/>
          </w:tcPr>
          <w:p>
            <w:pPr>
              <w:spacing w:after="0"/>
              <w:rPr>
                <w:rFonts w:ascii="Arial" w:cs="Arial" w:eastAsia="Arial" w:hAnsi="Arial"/>
                <w:sz w:val="18"/>
                <w:szCs w:val="18"/>
                <w:color w:val="0000EE"/>
                <w:w w:val="86"/>
              </w:rPr>
            </w:pPr>
            <w:hyperlink w:anchor="page114">
              <w:r>
                <w:rPr>
                  <w:rFonts w:ascii="Arial" w:cs="Arial" w:eastAsia="Arial" w:hAnsi="Arial"/>
                  <w:sz w:val="18"/>
                  <w:szCs w:val="18"/>
                  <w:color w:val="0000EE"/>
                  <w:w w:val="86"/>
                </w:rPr>
                <w:t>Item 14.</w:t>
              </w:r>
            </w:hyperlink>
          </w:p>
        </w:tc>
        <w:tc>
          <w:tcPr>
            <w:tcW w:w="560" w:type="dxa"/>
            <w:vAlign w:val="bottom"/>
          </w:tcPr>
          <w:p>
            <w:pPr>
              <w:spacing w:after="0"/>
              <w:rPr>
                <w:sz w:val="21"/>
                <w:szCs w:val="21"/>
                <w:color w:val="auto"/>
              </w:rPr>
            </w:pPr>
          </w:p>
        </w:tc>
        <w:tc>
          <w:tcPr>
            <w:tcW w:w="5120" w:type="dxa"/>
            <w:vAlign w:val="bottom"/>
            <w:tcBorders>
              <w:top w:val="single" w:sz="8" w:color="0000EE"/>
            </w:tcBorders>
            <w:gridSpan w:val="13"/>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Principal Registered Public Accounting Firm Fees and Services</w:t>
              </w:r>
            </w:hyperlink>
          </w:p>
        </w:tc>
        <w:tc>
          <w:tcPr>
            <w:tcW w:w="4420" w:type="dxa"/>
            <w:vAlign w:val="bottom"/>
            <w:gridSpan w:val="5"/>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14">
              <w:r>
                <w:rPr>
                  <w:rFonts w:ascii="Arial" w:cs="Arial" w:eastAsia="Arial" w:hAnsi="Arial"/>
                  <w:sz w:val="18"/>
                  <w:szCs w:val="18"/>
                  <w:color w:val="0000EE"/>
                  <w:w w:val="86"/>
                </w:rPr>
                <w:t>109</w:t>
              </w:r>
            </w:hyperlink>
          </w:p>
        </w:tc>
        <w:tc>
          <w:tcPr>
            <w:tcW w:w="20" w:type="dxa"/>
            <w:vAlign w:val="bottom"/>
          </w:tcPr>
          <w:p>
            <w:pPr>
              <w:spacing w:after="0"/>
              <w:rPr>
                <w:sz w:val="21"/>
                <w:szCs w:val="21"/>
                <w:color w:val="auto"/>
              </w:rPr>
            </w:pPr>
          </w:p>
        </w:tc>
      </w:tr>
      <w:tr>
        <w:trPr>
          <w:trHeight w:val="250"/>
        </w:trPr>
        <w:tc>
          <w:tcPr>
            <w:tcW w:w="60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98"/>
              </w:rPr>
            </w:pPr>
            <w:hyperlink w:anchor="page114">
              <w:r>
                <w:rPr>
                  <w:rFonts w:ascii="Arial" w:cs="Arial" w:eastAsia="Arial" w:hAnsi="Arial"/>
                  <w:sz w:val="18"/>
                  <w:szCs w:val="18"/>
                  <w:b w:val="1"/>
                  <w:bCs w:val="1"/>
                  <w:color w:val="0000EE"/>
                  <w:w w:val="98"/>
                </w:rPr>
                <w:t>Part IV</w:t>
              </w:r>
            </w:hyperlink>
          </w:p>
        </w:tc>
        <w:tc>
          <w:tcPr>
            <w:tcW w:w="560" w:type="dxa"/>
            <w:vAlign w:val="bottom"/>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1200" w:type="dxa"/>
            <w:vAlign w:val="bottom"/>
            <w:tcBorders>
              <w:top w:val="single" w:sz="8" w:color="0000EE"/>
            </w:tcBorders>
          </w:tcPr>
          <w:p>
            <w:pPr>
              <w:spacing w:after="0"/>
              <w:rPr>
                <w:sz w:val="21"/>
                <w:szCs w:val="21"/>
                <w:color w:val="auto"/>
              </w:rPr>
            </w:pPr>
          </w:p>
        </w:tc>
        <w:tc>
          <w:tcPr>
            <w:tcW w:w="90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86"/>
              </w:rPr>
            </w:pPr>
            <w:hyperlink w:anchor="page114">
              <w:r>
                <w:rPr>
                  <w:rFonts w:ascii="Arial" w:cs="Arial" w:eastAsia="Arial" w:hAnsi="Arial"/>
                  <w:sz w:val="18"/>
                  <w:szCs w:val="18"/>
                  <w:color w:val="0000EE"/>
                  <w:w w:val="86"/>
                </w:rPr>
                <w:t>109</w:t>
              </w:r>
            </w:hyperlink>
          </w:p>
        </w:tc>
        <w:tc>
          <w:tcPr>
            <w:tcW w:w="20" w:type="dxa"/>
            <w:vAlign w:val="bottom"/>
          </w:tcPr>
          <w:p>
            <w:pPr>
              <w:spacing w:after="0"/>
              <w:rPr>
                <w:sz w:val="21"/>
                <w:szCs w:val="21"/>
                <w:color w:val="auto"/>
              </w:rPr>
            </w:pPr>
          </w:p>
        </w:tc>
      </w:tr>
      <w:tr>
        <w:trPr>
          <w:trHeight w:val="250"/>
        </w:trPr>
        <w:tc>
          <w:tcPr>
            <w:tcW w:w="60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114">
              <w:r>
                <w:rPr>
                  <w:rFonts w:ascii="Arial" w:cs="Arial" w:eastAsia="Arial" w:hAnsi="Arial"/>
                  <w:sz w:val="18"/>
                  <w:szCs w:val="18"/>
                  <w:color w:val="0000EE"/>
                  <w:w w:val="86"/>
                </w:rPr>
                <w:t>Item 15.</w:t>
              </w:r>
            </w:hyperlink>
          </w:p>
        </w:tc>
        <w:tc>
          <w:tcPr>
            <w:tcW w:w="560" w:type="dxa"/>
            <w:vAlign w:val="bottom"/>
          </w:tcPr>
          <w:p>
            <w:pPr>
              <w:spacing w:after="0"/>
              <w:rPr>
                <w:sz w:val="21"/>
                <w:szCs w:val="21"/>
                <w:color w:val="auto"/>
              </w:rPr>
            </w:pPr>
          </w:p>
        </w:tc>
        <w:tc>
          <w:tcPr>
            <w:tcW w:w="47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114">
              <w:r>
                <w:rPr>
                  <w:rFonts w:ascii="Arial" w:cs="Arial" w:eastAsia="Arial" w:hAnsi="Arial"/>
                  <w:sz w:val="18"/>
                  <w:szCs w:val="18"/>
                  <w:color w:val="0000EE"/>
                  <w:w w:val="89"/>
                </w:rPr>
                <w:t>Exhibits, Financial Statement Schedules and Reports on Form 8-K</w:t>
              </w:r>
            </w:hyperlink>
          </w:p>
        </w:tc>
        <w:tc>
          <w:tcPr>
            <w:tcW w:w="4760" w:type="dxa"/>
            <w:vAlign w:val="bottom"/>
            <w:gridSpan w:val="6"/>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14">
              <w:r>
                <w:rPr>
                  <w:rFonts w:ascii="Arial" w:cs="Arial" w:eastAsia="Arial" w:hAnsi="Arial"/>
                  <w:sz w:val="18"/>
                  <w:szCs w:val="18"/>
                  <w:color w:val="0000EE"/>
                  <w:w w:val="86"/>
                </w:rPr>
                <w:t>109</w:t>
              </w:r>
            </w:hyperlink>
          </w:p>
        </w:tc>
        <w:tc>
          <w:tcPr>
            <w:tcW w:w="20" w:type="dxa"/>
            <w:vAlign w:val="bottom"/>
          </w:tcPr>
          <w:p>
            <w:pPr>
              <w:spacing w:after="0"/>
              <w:rPr>
                <w:sz w:val="21"/>
                <w:szCs w:val="21"/>
                <w:color w:val="auto"/>
              </w:rPr>
            </w:pPr>
          </w:p>
        </w:tc>
      </w:tr>
      <w:tr>
        <w:trPr>
          <w:trHeight w:val="250"/>
        </w:trPr>
        <w:tc>
          <w:tcPr>
            <w:tcW w:w="1160" w:type="dxa"/>
            <w:vAlign w:val="bottom"/>
            <w:tcBorders>
              <w:bottom w:val="single" w:sz="8" w:color="0000EE"/>
            </w:tcBorders>
            <w:gridSpan w:val="3"/>
          </w:tcPr>
          <w:p>
            <w:pPr>
              <w:spacing w:after="0"/>
              <w:rPr>
                <w:rFonts w:ascii="Arial" w:cs="Arial" w:eastAsia="Arial" w:hAnsi="Arial"/>
                <w:sz w:val="18"/>
                <w:szCs w:val="18"/>
                <w:b w:val="1"/>
                <w:bCs w:val="1"/>
                <w:color w:val="0000EE"/>
                <w:w w:val="94"/>
              </w:rPr>
            </w:pPr>
            <w:hyperlink w:anchor="page118">
              <w:r>
                <w:rPr>
                  <w:rFonts w:ascii="Arial" w:cs="Arial" w:eastAsia="Arial" w:hAnsi="Arial"/>
                  <w:sz w:val="18"/>
                  <w:szCs w:val="18"/>
                  <w:b w:val="1"/>
                  <w:bCs w:val="1"/>
                  <w:color w:val="0000EE"/>
                  <w:w w:val="94"/>
                </w:rPr>
                <w:t>SIGNATURES</w:t>
              </w:r>
            </w:hyperlink>
          </w:p>
        </w:tc>
        <w:tc>
          <w:tcPr>
            <w:tcW w:w="9540" w:type="dxa"/>
            <w:vAlign w:val="bottom"/>
            <w:gridSpan w:val="18"/>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18">
              <w:r>
                <w:rPr>
                  <w:rFonts w:ascii="Arial" w:cs="Arial" w:eastAsia="Arial" w:hAnsi="Arial"/>
                  <w:sz w:val="18"/>
                  <w:szCs w:val="18"/>
                  <w:color w:val="0000EE"/>
                  <w:w w:val="86"/>
                </w:rPr>
                <w:t>114</w:t>
              </w:r>
            </w:hyperlink>
          </w:p>
        </w:tc>
        <w:tc>
          <w:tcPr>
            <w:tcW w:w="20" w:type="dxa"/>
            <w:vAlign w:val="bottom"/>
          </w:tcPr>
          <w:p>
            <w:pPr>
              <w:spacing w:after="0"/>
              <w:rPr>
                <w:sz w:val="21"/>
                <w:szCs w:val="21"/>
                <w:color w:val="auto"/>
              </w:rPr>
            </w:pPr>
          </w:p>
        </w:tc>
      </w:tr>
    </w:tbl>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9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 for Purposes of the "Safe Harbor Provisions" of Section 21E of the Securities Exchange Act of 1934, as amended</w:t>
      </w:r>
    </w:p>
    <w:p>
      <w:pPr>
        <w:spacing w:after="0" w:line="283"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as amended, and Section 21E of the Securities Exchange Act of 1934, as amended. Forward-looking statements are included with respect to, among other things, iStar Financial Inc.'s current business plan, business strategy, portfolio management, prospects and liquidity.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Important factors that iStar Financial Inc. believes might cause such differences are discussed in the section entitled, "Risk Factors" in Part I, Item 1a of this Form 10-K or otherwise accompany the forward-looking statements contained in this Form 10-K.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10-K.</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iStar Financial Inc., or the “Company,” is a fully-integrated finance and investment company focused on the commercial real estate industry. The Company provides custom-tailored investment capital to high-end private and corporate owners of real estate and invests directly across a range of real estate sectors. The Company, which is taxed as a real estate investment trust, or “REIT,” has invested more than $35 billion over the past two decades. The Company's primary business segments are real estate finance, net lease, operating properties and land.</w:t>
      </w:r>
    </w:p>
    <w:p>
      <w:pPr>
        <w:spacing w:after="0" w:line="1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real estate finance portfolio is comprised of senior and mezzanine real estate loans that may be either fixed-rate or variable-rate and are structured to meet the specific financing needs of borrowers. The Company's portfolio also includes preferred equity investments and senior and subordinated loans to corporations, particularly those engaged in real estate or real estate related businesses, and may be either secured or unsecured. The Company's loan portfolio includes whole loans and loan participations.</w:t>
      </w:r>
    </w:p>
    <w:p>
      <w:pPr>
        <w:spacing w:after="0" w:line="14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net lease portfolio is primarily comprised of properties owned by the Company and leased to single creditworthy tenants where the properties are subject to long-term leases. Most of the leases provide for expenses at the facility to be paid by the tenant on a triple net lease basis. The properties in this portfolio are diversified by property type and geographic location.</w:t>
      </w:r>
    </w:p>
    <w:p>
      <w:pPr>
        <w:spacing w:after="0" w:line="14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operating properties portfolio is comprised of commercial and residential properties which represent a diverse pool of assets across a broad range of geographies and property types. The Company generally seeks to reposition or redevelop these assets with the objective of maximizing their value through the infusion of capital and/or intensive asset management efforts. The commercial properties within this portfolio include office, retail, hotel and other property types. The residential properties within this portfolio are generally luxury condominium projects located in major U.S. cities where the Company's strategy is to sell individual condominium units through retail distribution channels.</w:t>
      </w:r>
    </w:p>
    <w:p>
      <w:pPr>
        <w:spacing w:after="0" w:line="14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land portfolio is primarily comprised of land entitled for master planned communities as well as waterfront and urban infill land parcels located throughout the U.S. Master planned communities represent large-scale residential projects that the Company will entitle, plan and/or develop and may sell through retail channels to home builders or in bulk. Waterfront parcels are generally entitled for residential projects and urban infill parcels are generally entitled for mixed-use projects. The Company may develop these properties itself or sell to or partner with commercial real estate developers.</w:t>
      </w:r>
    </w:p>
    <w:p>
      <w:pPr>
        <w:spacing w:after="0" w:line="13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primary sources of revenues are operating lease income, which is the rent and reimbursements that tenants pay to lease its properties, and interest income, which is the interest that borrowers pay on loans. The Company primarily generates income through a “spread” or “margin,” which is the difference between the revenues generated from leases and loans and interest expense and the cost of real estate operations. In addition, the Company expects to generate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income from commercial operating property revenue and sales of its remaining residential condominium assets and from its land portfolio over time.</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 and Recent Developments</w:t>
      </w:r>
    </w:p>
    <w:p>
      <w:pPr>
        <w:spacing w:after="0" w:line="14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began its business in 1993 through the management of private investment funds and became publicly traded in 1998. Since that time, the Company has grown through the origination of new lending and leasing transactions, as well as through corporate acquisitions. During the last several years, the composition of the Company's portfolio changed as loans were repaid and the Company acquired title to assets of defaulting borrowers. The size of the Company's lending portfolio declined and its real estate portfolio increased to include operating properties and land, in addition to net lease assets. As conditions in the economy and financing markets have improved, the Company has been increasing its originations of new lending and net lease investments, repositioning or redeveloping its operating properties and progressing on the entitlement and development of its land assets. We intend to continue these efforts, with the objective of having these assets contribute positively to earnings in the future. The Company's business segments are discussed in further detail below.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Strategy</w:t>
      </w:r>
    </w:p>
    <w:p>
      <w:pPr>
        <w:spacing w:after="0" w:line="14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has continued to strengthen its balance sheet through its financing activities. During 2012, the Company's credit ratings were upgraded and over the last two years, it has executed 10 capital markets transactions, including issuing secured and unsecured debt and preferred stock. As a result of these transactions, the Company has satisfied all of its significant near term debt maturities while meaningfully extending its debt maturity profile. These transactions, along with fundamental improvements in the overall economy and real estate markets, have allowed the Company to reduce its overall cost of capital while maintaining lower leverage. Going forward, the Company will seek to raise capital through a variety of means, which may include secured and unsecured debt financing, debt refinancings, asset sales, issuances of equity, joint ventures and other third party capital arrangements. A more detailed discussion of the Company's current liquidity and capital resources is provided in Item 7—"Management's Discussion and Analysis of Financial Condition and 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Strategy</w:t>
      </w:r>
    </w:p>
    <w:p>
      <w:pPr>
        <w:spacing w:after="0" w:line="148"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During 2013, the Company funded a total of $483.7 million of investments, including $259.1 million in lending and other investments, $128.6 million to acquire and invest in net lease assets and $96.0 million of capital to reposition or redevelop its operating properties and develop its land assets.</w:t>
      </w:r>
    </w:p>
    <w:p>
      <w:pPr>
        <w:spacing w:after="0" w:line="8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One of the Company's objectives is to continue to increase its new investment activities. In making new investments, the Company expects its strategy will focus on the following:</w:t>
      </w:r>
    </w:p>
    <w:p>
      <w:pPr>
        <w:spacing w:after="0" w:line="130" w:lineRule="exact"/>
        <w:rPr>
          <w:sz w:val="20"/>
          <w:szCs w:val="20"/>
          <w:color w:val="auto"/>
        </w:rPr>
      </w:pPr>
    </w:p>
    <w:p>
      <w:pPr>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Targeting the origination of custom-tailored mortgage, corporate and lease financings where customers require flexible financial solutions and "one-call" responsiveness post-closing;</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Avoiding commodity businesses where there is significant direct competition from other providers of capital;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Developing direct relationships with borrowers and corporate customers in addition to sourcing transactions through intermediaries;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Adding value beyond simply providing capital by offering borrowers and corporate customers specific lending expertise, flexibility, certainty of closing and continuing relationships beyond the closing of a particular financing transaction;</w:t>
      </w: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Taking advantage of market anomalies in the real estate financing markets when, in the Company's view, credit is mispriced by other providers of capital; and</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Evaluating relative risk adjusted returns across multiple investment markets.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Process</w:t>
      </w:r>
    </w:p>
    <w:p>
      <w:pPr>
        <w:spacing w:after="0" w:line="14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Company reviews investment opportunities with its investment professionals, as well as representatives from its legal, credit, risk management and capital markets areas. The Company has developed a process for screening potential investments called the Six Point Methodology</w:t>
      </w:r>
      <w:r>
        <w:rPr>
          <w:rFonts w:ascii="Arial" w:cs="Arial" w:eastAsia="Arial" w:hAnsi="Arial"/>
          <w:sz w:val="13"/>
          <w:szCs w:val="13"/>
          <w:color w:val="auto"/>
        </w:rPr>
        <w:t>sm</w:t>
      </w:r>
      <w:r>
        <w:rPr>
          <w:rFonts w:ascii="Arial" w:cs="Arial" w:eastAsia="Arial" w:hAnsi="Arial"/>
          <w:sz w:val="16"/>
          <w:szCs w:val="16"/>
          <w:color w:val="auto"/>
        </w:rPr>
        <w:t>. Through this process, the Company evaluates an investment opportunity prior to beginning its formal due diligence process by: (1) evaluating the source of the opportunity;</w:t>
      </w:r>
    </w:p>
    <w:p>
      <w:pPr>
        <w:spacing w:after="0" w:line="2" w:lineRule="exact"/>
        <w:rPr>
          <w:sz w:val="20"/>
          <w:szCs w:val="20"/>
          <w:color w:val="auto"/>
        </w:rPr>
      </w:pPr>
    </w:p>
    <w:p>
      <w:pPr>
        <w:jc w:val="both"/>
        <w:ind w:firstLine="8"/>
        <w:spacing w:after="0" w:line="255" w:lineRule="auto"/>
        <w:tabs>
          <w:tab w:leader="none" w:pos="283"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evaluating the quality of the collateral, corporate credit or lessee, as well as the market and industry dynamics; (3) evaluating the borrower equity, corporate sponsorship and/or guarantors; (4) determining the optimal legal and financial structure for the transaction given its risk profile; (5) performing an alternative investment test; and (6) evaluating the liquidity of the investment and the ability to match fund the asset. Participation is encouraged from professionals in all disciplines throughout the entire origination process, from the initial consideration of the opportunity, through the Six Point Methodology</w:t>
      </w:r>
      <w:r>
        <w:rPr>
          <w:rFonts w:ascii="Arial" w:cs="Arial" w:eastAsia="Arial" w:hAnsi="Arial"/>
          <w:sz w:val="14"/>
          <w:szCs w:val="14"/>
          <w:color w:val="auto"/>
        </w:rPr>
        <w:t>sm</w:t>
      </w:r>
      <w:r>
        <w:rPr>
          <w:rFonts w:ascii="Arial" w:cs="Arial" w:eastAsia="Arial" w:hAnsi="Arial"/>
          <w:sz w:val="18"/>
          <w:szCs w:val="18"/>
          <w:color w:val="auto"/>
        </w:rPr>
        <w:t xml:space="preserve"> and into the preparation and distribution of an approval memorandum for the Company's internal and/or Board of Directors investment committees and into the documentation and closing process.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Any commitment to make an investment of $25 million or less ($50 million or less in the case of a corporate debt instrument or aggregate debt instruments issued by a single corporate issuer) in any transaction or series of related transactions requires the approval of the Chief Executive Officer and Chief Investment Officer. Any commitment in excess of $25 million but less than or equal to $50 million requires the further approval of the Company's internal investment committee, consisting of senior management representatives from all of the Company's key disciplines. Any commitment in excess of $50 million but less than or equal to $75 million requires the further approval of the Investment Committee of the Board of Directors. Any commitment in excess of $75 million, and any strategic investment such as a corporate merger, acquisition or material transaction involving the Company's entry into a new line of business, requires the approval of the full Board of Directors.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Strategy</w:t>
      </w:r>
    </w:p>
    <w:p>
      <w:pPr>
        <w:spacing w:after="0" w:line="14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Company finances its business with a combination of fixed-rate and variable-rate debt and its asset base consists of fixed-rate and variable-rate investments. Its variable-rate assets and liabilities create a natural hedge against changes in variable interest rates. This means that as interest rates increase, the Company earns more on its variable-rate lending assets and pays more on its variable-rate debt obligations and, conversely, as interest rates decrease, the Company earns less on its variable-rate lending assets and pays less on its variable-rate debt obligations. When the Company's variable-rate debt obligations differ significantly from its variable-rate lending assets, the Company may utilize derivative instruments to limit the impact of changing interest rates on its net income. The Company also uses derivative instruments to limit its exposure to changes in currency rates in respect of certain investments denominated in foreign currencies. The Company does not use derivative instruments for speculative purposes. The derivative instruments the Company uses are typically in the form of interest rate swaps, interest rate caps and foreign exchange contracts.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Overview</w:t>
      </w:r>
    </w:p>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2013, based on current gross carrying values, the Company's total investment portfolio has the following characteristics ($ in thousands)(1):</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Asset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154940</wp:posOffset>
            </wp:positionV>
            <wp:extent cx="5659755" cy="3336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9755" cy="3336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Property Type</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Property/Collateral Types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Real Estate</w:t>
            </w:r>
          </w:p>
        </w:tc>
        <w:tc>
          <w:tcPr>
            <w:tcW w:w="220" w:type="dxa"/>
            <w:vAlign w:val="bottom"/>
          </w:tcPr>
          <w:p>
            <w:pPr>
              <w:spacing w:after="0"/>
              <w:rPr>
                <w:sz w:val="14"/>
                <w:szCs w:val="14"/>
                <w:color w:val="auto"/>
              </w:rPr>
            </w:pPr>
          </w:p>
        </w:tc>
        <w:tc>
          <w:tcPr>
            <w:tcW w:w="1020" w:type="dxa"/>
            <w:vAlign w:val="bottom"/>
            <w:gridSpan w:val="2"/>
            <w:vMerge w:val="restart"/>
          </w:tcPr>
          <w:p>
            <w:pPr>
              <w:jc w:val="right"/>
              <w:ind w:right="230"/>
              <w:spacing w:after="0"/>
              <w:rPr>
                <w:sz w:val="20"/>
                <w:szCs w:val="20"/>
                <w:color w:val="auto"/>
              </w:rPr>
            </w:pPr>
            <w:r>
              <w:rPr>
                <w:rFonts w:ascii="Arial" w:cs="Arial" w:eastAsia="Arial" w:hAnsi="Arial"/>
                <w:sz w:val="14"/>
                <w:szCs w:val="14"/>
                <w:b w:val="1"/>
                <w:bCs w:val="1"/>
                <w:color w:val="auto"/>
              </w:rPr>
              <w:t>Net Lease</w:t>
            </w:r>
          </w:p>
        </w:tc>
        <w:tc>
          <w:tcPr>
            <w:tcW w:w="1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Operating</w:t>
            </w:r>
          </w:p>
        </w:tc>
        <w:tc>
          <w:tcPr>
            <w:tcW w:w="280" w:type="dxa"/>
            <w:vAlign w:val="bottom"/>
          </w:tcPr>
          <w:p>
            <w:pPr>
              <w:spacing w:after="0"/>
              <w:rPr>
                <w:sz w:val="14"/>
                <w:szCs w:val="14"/>
                <w:color w:val="auto"/>
              </w:rPr>
            </w:pPr>
          </w:p>
        </w:tc>
        <w:tc>
          <w:tcPr>
            <w:tcW w:w="96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Land</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1320" w:type="dxa"/>
            <w:vAlign w:val="bottom"/>
          </w:tcPr>
          <w:p>
            <w:pPr>
              <w:ind w:left="5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4"/>
              </w:rPr>
              <w:t>Finance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Properties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152,992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965,192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1,118,184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Office</w:t>
            </w:r>
          </w:p>
        </w:tc>
        <w:tc>
          <w:tcPr>
            <w:tcW w:w="18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9,889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484,535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293,928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788,352</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Industrial / R&amp;D</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96,283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550,413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52,258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698,954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3"/>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Entertainment / Leisure</w:t>
            </w:r>
          </w:p>
        </w:tc>
        <w:tc>
          <w:tcPr>
            <w:tcW w:w="18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77,427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475,437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552,864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Hotel</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246,180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136,080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96,708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478,968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Mixed Use / Mixed Collateral</w:t>
            </w:r>
          </w:p>
        </w:tc>
        <w:tc>
          <w:tcPr>
            <w:tcW w:w="18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237,161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169,120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406,281</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208,990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57,348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129,604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395,942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Condominium</w:t>
            </w:r>
          </w:p>
        </w:tc>
        <w:tc>
          <w:tcPr>
            <w:tcW w:w="18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107,975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223,250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331,225</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Property Types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262,412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9,483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271,895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Strategic Investments</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145,004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1,399,309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1,713,296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964,868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965,192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5,187,669</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88"/>
              </w:rPr>
              <w:t>Geography</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Real Estate</w:t>
            </w: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Operating</w:t>
            </w: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line="20" w:lineRule="exact"/>
              <w:rPr>
                <w:sz w:val="1"/>
                <w:szCs w:val="1"/>
                <w:color w:val="auto"/>
              </w:rPr>
            </w:pPr>
          </w:p>
        </w:tc>
      </w:tr>
      <w:tr>
        <w:trPr>
          <w:trHeight w:val="362"/>
        </w:trPr>
        <w:tc>
          <w:tcPr>
            <w:tcW w:w="3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Geographic Region</w:t>
            </w:r>
          </w:p>
        </w:tc>
        <w:tc>
          <w:tcPr>
            <w:tcW w:w="12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vMerge w:val="restart"/>
          </w:tcPr>
          <w:p>
            <w:pPr>
              <w:jc w:val="right"/>
              <w:ind w:right="230"/>
              <w:spacing w:after="0"/>
              <w:rPr>
                <w:sz w:val="20"/>
                <w:szCs w:val="20"/>
                <w:color w:val="auto"/>
              </w:rPr>
            </w:pPr>
            <w:r>
              <w:rPr>
                <w:rFonts w:ascii="Arial" w:cs="Arial" w:eastAsia="Arial" w:hAnsi="Arial"/>
                <w:sz w:val="14"/>
                <w:szCs w:val="14"/>
                <w:b w:val="1"/>
                <w:bCs w:val="1"/>
                <w:color w:val="auto"/>
              </w:rPr>
              <w:t>Net Lease</w:t>
            </w:r>
          </w:p>
        </w:tc>
        <w:tc>
          <w:tcPr>
            <w:tcW w:w="1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Land</w:t>
            </w:r>
          </w:p>
        </w:tc>
        <w:tc>
          <w:tcPr>
            <w:tcW w:w="12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4"/>
              </w:rPr>
              <w:t>Finance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Properties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Northeast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391,967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374,478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152,779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193,055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1,112,279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43"/>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West</w:t>
            </w:r>
          </w:p>
        </w:tc>
        <w:tc>
          <w:tcPr>
            <w:tcW w:w="18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142,029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427,052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190,356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351,374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1,110,811</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33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Southeast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264,100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237,433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229,504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86,472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817,509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43"/>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Mid-Atlantic</w:t>
            </w:r>
          </w:p>
        </w:tc>
        <w:tc>
          <w:tcPr>
            <w:tcW w:w="18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160,091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193,735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158,148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183,102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695,076</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33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Southwest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171,815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220,714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179,806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694,495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Central</w:t>
            </w:r>
          </w:p>
        </w:tc>
        <w:tc>
          <w:tcPr>
            <w:tcW w:w="18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87,390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102,755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47,332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9,500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246,977</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33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Northwest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50,118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80,858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157,448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International(2)</w:t>
            </w:r>
          </w:p>
        </w:tc>
        <w:tc>
          <w:tcPr>
            <w:tcW w:w="18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121,733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121,733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3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Various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76,271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86,337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Strategic Investments(2)</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145,004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1,399,309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1,713,296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964,868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965,192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5,187,669</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Based on the carrying value of our total investment portfolio gross of accumulated depreciation and general loan loss reserves.</w:t>
      </w:r>
    </w:p>
    <w:p>
      <w:pPr>
        <w:spacing w:after="0" w:line="13" w:lineRule="exact"/>
        <w:rPr>
          <w:rFonts w:ascii="Arial" w:cs="Arial" w:eastAsia="Arial" w:hAnsi="Arial"/>
          <w:sz w:val="14"/>
          <w:szCs w:val="14"/>
          <w:color w:val="auto"/>
        </w:rPr>
      </w:pPr>
    </w:p>
    <w:p>
      <w:pPr>
        <w:ind w:left="660" w:hanging="652"/>
        <w:spacing w:after="0" w:line="255"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Strategic investments include $47.0 million of international assets. Additionally, international and strategic investments include $118.8 million of European assets, including $79.8 million in Germany and $39.0 million in the United Kingdom.</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Segments</w:t>
      </w:r>
    </w:p>
    <w:p>
      <w:pPr>
        <w:spacing w:after="0" w:line="1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Company has four business segments: Real Estate Finance, Net Lease, Operating Properties and Land. The following describes the Company's reportable segments ($ in thousands) as of December 31, 2013:</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Real Estate</w:t>
            </w:r>
          </w:p>
        </w:tc>
        <w:tc>
          <w:tcPr>
            <w:tcW w:w="180" w:type="dxa"/>
            <w:vAlign w:val="bottom"/>
          </w:tcPr>
          <w:p>
            <w:pPr>
              <w:spacing w:after="0"/>
              <w:rPr>
                <w:sz w:val="14"/>
                <w:szCs w:val="14"/>
                <w:color w:val="auto"/>
              </w:rPr>
            </w:pPr>
          </w:p>
        </w:tc>
        <w:tc>
          <w:tcPr>
            <w:tcW w:w="9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99"/>
              </w:rPr>
              <w:t>Net Lease</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Operating</w:t>
            </w:r>
          </w:p>
        </w:tc>
        <w:tc>
          <w:tcPr>
            <w:tcW w:w="260" w:type="dxa"/>
            <w:vAlign w:val="bottom"/>
          </w:tcPr>
          <w:p>
            <w:pPr>
              <w:spacing w:after="0"/>
              <w:rPr>
                <w:sz w:val="14"/>
                <w:szCs w:val="14"/>
                <w:color w:val="auto"/>
              </w:rPr>
            </w:pPr>
          </w:p>
        </w:tc>
        <w:tc>
          <w:tcPr>
            <w:tcW w:w="8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 /</w:t>
            </w:r>
          </w:p>
        </w:tc>
        <w:tc>
          <w:tcPr>
            <w:tcW w:w="280" w:type="dxa"/>
            <w:vAlign w:val="bottom"/>
          </w:tcPr>
          <w:p>
            <w:pPr>
              <w:spacing w:after="0"/>
              <w:rPr>
                <w:sz w:val="14"/>
                <w:szCs w:val="14"/>
                <w:color w:val="auto"/>
              </w:rPr>
            </w:pPr>
          </w:p>
        </w:tc>
        <w:tc>
          <w:tcPr>
            <w:tcW w:w="98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Finance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Properties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Other(1)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at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1,696,888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720,508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803,238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3,220,634</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(338,640)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(82,420)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(424,453)</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1,358,248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638,088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799,845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2,796,181</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Real estate available and held for sale</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228,328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132,189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360,517</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1,358,248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866,416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932,034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3,156,698</w:t>
            </w:r>
          </w:p>
        </w:tc>
        <w:tc>
          <w:tcPr>
            <w:tcW w:w="0" w:type="dxa"/>
            <w:vAlign w:val="bottom"/>
          </w:tcPr>
          <w:p>
            <w:pPr>
              <w:spacing w:after="0"/>
              <w:rPr>
                <w:sz w:val="1"/>
                <w:szCs w:val="1"/>
                <w:color w:val="auto"/>
              </w:rPr>
            </w:pPr>
          </w:p>
        </w:tc>
      </w:tr>
      <w:tr>
        <w:trPr>
          <w:trHeight w:val="229"/>
        </w:trPr>
        <w:tc>
          <w:tcPr>
            <w:tcW w:w="3900" w:type="dxa"/>
            <w:vAlign w:val="bottom"/>
          </w:tcPr>
          <w:p>
            <w:pPr>
              <w:ind w:left="40"/>
              <w:spacing w:after="0"/>
              <w:rPr>
                <w:sz w:val="20"/>
                <w:szCs w:val="20"/>
                <w:color w:val="auto"/>
              </w:rPr>
            </w:pPr>
            <w:r>
              <w:rPr>
                <w:rFonts w:ascii="Arial" w:cs="Arial" w:eastAsia="Arial" w:hAnsi="Arial"/>
                <w:sz w:val="18"/>
                <w:szCs w:val="18"/>
                <w:color w:val="auto"/>
                <w:w w:val="99"/>
              </w:rPr>
              <w:t>Loans receivable and other lending investments,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net</w:t>
            </w:r>
          </w:p>
        </w:tc>
        <w:tc>
          <w:tcPr>
            <w:tcW w:w="180" w:type="dxa"/>
            <w:vAlign w:val="bottom"/>
          </w:tcPr>
          <w:p>
            <w:pPr>
              <w:spacing w:after="0"/>
              <w:rPr>
                <w:sz w:val="20"/>
                <w:szCs w:val="20"/>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1,370,109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1,370,109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16,408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145,004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207,209</w:t>
            </w:r>
          </w:p>
        </w:tc>
        <w:tc>
          <w:tcPr>
            <w:tcW w:w="0" w:type="dxa"/>
            <w:vAlign w:val="bottom"/>
          </w:tcPr>
          <w:p>
            <w:pPr>
              <w:spacing w:after="0"/>
              <w:rPr>
                <w:sz w:val="1"/>
                <w:szCs w:val="1"/>
                <w:color w:val="auto"/>
              </w:rPr>
            </w:pPr>
          </w:p>
        </w:tc>
      </w:tr>
      <w:tr>
        <w:trPr>
          <w:trHeight w:val="257"/>
        </w:trPr>
        <w:tc>
          <w:tcPr>
            <w:tcW w:w="3900" w:type="dxa"/>
            <w:vAlign w:val="bottom"/>
          </w:tcPr>
          <w:p>
            <w:pPr>
              <w:ind w:left="40"/>
              <w:spacing w:after="0"/>
              <w:rPr>
                <w:sz w:val="20"/>
                <w:szCs w:val="20"/>
                <w:color w:val="auto"/>
              </w:rPr>
            </w:pPr>
            <w:r>
              <w:rPr>
                <w:rFonts w:ascii="Arial" w:cs="Arial" w:eastAsia="Arial" w:hAnsi="Arial"/>
                <w:sz w:val="18"/>
                <w:szCs w:val="18"/>
                <w:color w:val="auto"/>
              </w:rPr>
              <w:t>Total portfolio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1,370,109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1,374,656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882,448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961,799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145,004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4,734,016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line="273"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Corporate/Other includes certain equity investments that are not included in a reportable segment. See Item 8—"Financial Statements and Supplementary Data—Note 6" for further detail on these investments.</w:t>
      </w:r>
    </w:p>
    <w:p>
      <w:pPr>
        <w:spacing w:after="0" w:line="12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Additional information regarding segment revenue and profit information as well as prior period information is presented in Item 8—"Financial Statements and Supplementary Data—Note 15" and a discussion of operating results is presented in Item 7—"Management's Discussion and Analysis of Financial Condition and Results of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Finance</w:t>
      </w:r>
    </w:p>
    <w:p>
      <w:pPr>
        <w:spacing w:after="0" w:line="14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A majority of the Company's real estate finance portfolio consists of senior mortgage loans that are secured by commercial real estate assets where the Company is the first lien holder. The portfolio also consists of subordinated mortgage loans that are secured by subordinated interests in commercial and residential real estate assets where the Company is in either a second lien or junior position, and corporate/partnership loans, which represent mezzanine or subordinated loans to entities for which the Company does not have a lien on the underlying asset, but may have a pledge of underlying equity ownership of such assets. In addition, the Company has a preferred equity investment classified as other lending investments.</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real estate finance portfolio included the following ($ in thousands):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2013</w:t>
            </w:r>
          </w:p>
        </w:tc>
        <w:tc>
          <w:tcPr>
            <w:tcW w:w="12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2012</w:t>
            </w:r>
          </w:p>
        </w:tc>
        <w:tc>
          <w:tcPr>
            <w:tcW w:w="1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0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2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rPr>
              <w:t>Total</w:t>
            </w: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 of Total</w:t>
            </w:r>
          </w:p>
        </w:tc>
        <w:tc>
          <w:tcPr>
            <w:tcW w:w="600" w:type="dxa"/>
            <w:vAlign w:val="bottom"/>
          </w:tcPr>
          <w:p>
            <w:pPr>
              <w:spacing w:after="0"/>
              <w:rPr>
                <w:sz w:val="22"/>
                <w:szCs w:val="22"/>
                <w:color w:val="auto"/>
              </w:rPr>
            </w:pPr>
          </w:p>
        </w:tc>
        <w:tc>
          <w:tcPr>
            <w:tcW w:w="1320" w:type="dxa"/>
            <w:vAlign w:val="bottom"/>
            <w:gridSpan w:val="3"/>
          </w:tcPr>
          <w:p>
            <w:pPr>
              <w:jc w:val="right"/>
              <w:ind w:right="960"/>
              <w:spacing w:after="0"/>
              <w:rPr>
                <w:sz w:val="20"/>
                <w:szCs w:val="20"/>
                <w:color w:val="auto"/>
              </w:rPr>
            </w:pPr>
            <w:r>
              <w:rPr>
                <w:rFonts w:ascii="Arial" w:cs="Arial" w:eastAsia="Arial" w:hAnsi="Arial"/>
                <w:sz w:val="14"/>
                <w:szCs w:val="14"/>
                <w:b w:val="1"/>
                <w:bCs w:val="1"/>
                <w:color w:val="auto"/>
              </w:rPr>
              <w:t>Total</w:t>
            </w:r>
          </w:p>
        </w:tc>
        <w:tc>
          <w:tcPr>
            <w:tcW w:w="1220" w:type="dxa"/>
            <w:vAlign w:val="bottom"/>
          </w:tcPr>
          <w:p>
            <w:pPr>
              <w:jc w:val="right"/>
              <w:ind w:right="311"/>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250"/>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Performing loans(1):</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563,513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829,894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Subordinate mortgages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60,679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98,758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Corporate/partnership loans</w:t>
            </w: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429,586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431,321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1,053,778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1,359,973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Non-performing loans(1):</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Senior mortgages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203,604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478,602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Subordinate mortgages</w:t>
            </w:r>
          </w:p>
        </w:tc>
        <w:tc>
          <w:tcPr>
            <w:tcW w:w="380" w:type="dxa"/>
            <w:vAlign w:val="bottom"/>
          </w:tcPr>
          <w:p>
            <w:pPr>
              <w:spacing w:after="0"/>
              <w:rPr>
                <w:sz w:val="21"/>
                <w:szCs w:val="21"/>
                <w:color w:val="auto"/>
              </w:rPr>
            </w:pP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14,400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Corporate/partnership loans</w:t>
            </w:r>
          </w:p>
        </w:tc>
        <w:tc>
          <w:tcPr>
            <w:tcW w:w="3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5060" w:type="dxa"/>
            <w:vAlign w:val="bottom"/>
          </w:tcPr>
          <w:p>
            <w:pPr>
              <w:ind w:left="18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203,604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503,112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carrying value of loans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1,257,382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1,863,085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Other lending investments—securities</w:t>
            </w: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141,927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carrying value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1,399,309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1,863,085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40"/>
              <w:spacing w:after="0"/>
              <w:rPr>
                <w:sz w:val="20"/>
                <w:szCs w:val="20"/>
                <w:color w:val="auto"/>
              </w:rPr>
            </w:pPr>
            <w:r>
              <w:rPr>
                <w:rFonts w:ascii="Arial" w:cs="Arial" w:eastAsia="Arial" w:hAnsi="Arial"/>
                <w:sz w:val="18"/>
                <w:szCs w:val="18"/>
                <w:color w:val="auto"/>
              </w:rPr>
              <w:t>General reserve for loan losses</w:t>
            </w:r>
          </w:p>
        </w:tc>
        <w:tc>
          <w:tcPr>
            <w:tcW w:w="380" w:type="dxa"/>
            <w:vAlign w:val="bottom"/>
          </w:tcPr>
          <w:p>
            <w:pPr>
              <w:spacing w:after="0" w:line="20" w:lineRule="exact"/>
              <w:rPr>
                <w:sz w:val="1"/>
                <w:szCs w:val="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(29,200)</w:t>
            </w: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(33,100)</w:t>
            </w: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6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loans receivable and other lending investments,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1,370,109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1,829,985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18" w:right="239" w:bottom="1440" w:gutter="0" w:footer="0" w:header="0"/>
          <w:type w:val="continuous"/>
        </w:sectPr>
      </w:pPr>
    </w:p>
    <w:bookmarkStart w:id="8" w:name="page9"/>
    <w:bookmarkEnd w:id="8"/>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660" w:hanging="652"/>
        <w:spacing w:after="0" w:line="257"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Performing and non-performing loans are presented net of asset-specific loan loss reserves of $31.0 million and $317.0 million, respectively, as of December 31, 2013, and $15.3 million and $476.1 million, respectively, as of December 31, 2012. See Item 8—"Financial Statements and Supplemental Data—Note 3" for a discussion of the Company's policies regarding non-performing loans and reserves for loan losses.</w:t>
      </w:r>
    </w:p>
    <w:p>
      <w:pPr>
        <w:spacing w:after="0" w:line="1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Summary of Portfolio Characteristics</w:t>
      </w:r>
      <w:r>
        <w:rPr>
          <w:rFonts w:ascii="Arial" w:cs="Arial" w:eastAsia="Arial" w:hAnsi="Arial"/>
          <w:sz w:val="18"/>
          <w:szCs w:val="18"/>
          <w:color w:val="auto"/>
        </w:rPr>
        <w:t>—As of December 31, 2013, the Company's performing loans and other lending investments had a weighted</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loan to value ratio of 72%, while non-performing loans had a weighted average loan to value ratio of 94%. Additionally, the Company's performing loans were comprised of 68% fixed-rate loans and 32% variable-rate loans that had weighted average accrual rates of 9.3% and 6.2%, respectively, and had a weighted average remaining term of 2.8 years.</w:t>
      </w:r>
    </w:p>
    <w:p>
      <w:pPr>
        <w:spacing w:after="0" w:line="32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Portfolio Activity</w:t>
      </w:r>
      <w:r>
        <w:rPr>
          <w:rFonts w:ascii="Arial" w:cs="Arial" w:eastAsia="Arial" w:hAnsi="Arial"/>
          <w:sz w:val="18"/>
          <w:szCs w:val="18"/>
          <w:color w:val="auto"/>
        </w:rPr>
        <w:t>—During the year ended December 31, 2013, the Company originated and funded $257.6 million of loans, received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repayments of $613.6 million and sold loans with a total carrying value of $95.1 million. In addition, the Company took title to property in full or partial satisfaction of non-performing mortgage loans with a fair value of $31.1 million, for which the properties had served as collateral. See Item 8—"Financial Statements and Supplemental Data—Note 5" for further details on real estate finance activities.</w:t>
      </w:r>
    </w:p>
    <w:p>
      <w:pPr>
        <w:spacing w:after="0" w:line="24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Summary of Interest Rate Characteristics</w:t>
      </w:r>
      <w:r>
        <w:rPr>
          <w:rFonts w:ascii="Arial" w:cs="Arial" w:eastAsia="Arial" w:hAnsi="Arial"/>
          <w:sz w:val="18"/>
          <w:szCs w:val="18"/>
          <w:color w:val="auto"/>
        </w:rPr>
        <w:t>—The Company's loans receivable and other lending investments had the following interest rate</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As of December 31,</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center"/>
              <w:ind w:left="17"/>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Carrying</w:t>
            </w:r>
          </w:p>
        </w:tc>
        <w:tc>
          <w:tcPr>
            <w:tcW w:w="1080" w:type="dxa"/>
            <w:vAlign w:val="bottom"/>
            <w:gridSpan w:val="2"/>
            <w:vMerge w:val="restart"/>
          </w:tcPr>
          <w:p>
            <w:pPr>
              <w:jc w:val="center"/>
              <w:ind w:left="1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3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3"/>
                <w:szCs w:val="13"/>
                <w:color w:val="auto"/>
              </w:rPr>
            </w:pPr>
          </w:p>
        </w:tc>
        <w:tc>
          <w:tcPr>
            <w:tcW w:w="10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Carrying</w:t>
            </w:r>
          </w:p>
        </w:tc>
        <w:tc>
          <w:tcPr>
            <w:tcW w:w="1080" w:type="dxa"/>
            <w:vAlign w:val="bottom"/>
            <w:gridSpan w:val="2"/>
            <w:vMerge w:val="restart"/>
          </w:tcPr>
          <w:p>
            <w:pPr>
              <w:jc w:val="right"/>
              <w:ind w:right="31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39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 Total</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Accrual Rate</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of Total</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Accrual Rate</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Fixed-rate loans and other lending investments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811,128</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704,653</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Variable-rate loans(1)</w:t>
            </w: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384,577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655,320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Non-performing loans(2)</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203,604</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N/A</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503,112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3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carrying value</w:t>
            </w:r>
          </w:p>
        </w:tc>
        <w:tc>
          <w:tcPr>
            <w:tcW w:w="220" w:type="dxa"/>
            <w:vAlign w:val="bottom"/>
            <w:tcBorders>
              <w:top w:val="single" w:sz="8" w:color="auto"/>
              <w:bottom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tcPr>
          <w:p>
            <w:pPr>
              <w:jc w:val="right"/>
              <w:ind w:right="14"/>
              <w:spacing w:after="0"/>
              <w:rPr>
                <w:sz w:val="20"/>
                <w:szCs w:val="20"/>
                <w:color w:val="auto"/>
              </w:rPr>
            </w:pPr>
            <w:r>
              <w:rPr>
                <w:rFonts w:ascii="Arial" w:cs="Arial" w:eastAsia="Arial" w:hAnsi="Arial"/>
                <w:sz w:val="18"/>
                <w:szCs w:val="18"/>
                <w:color w:val="auto"/>
              </w:rPr>
              <w:t>1,399,309</w:t>
            </w:r>
          </w:p>
        </w:tc>
        <w:tc>
          <w:tcPr>
            <w:tcW w:w="100" w:type="dxa"/>
            <w:vAlign w:val="bottom"/>
            <w:tcBorders>
              <w:bottom w:val="single" w:sz="8" w:color="CCEEFF"/>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tcPr>
          <w:p>
            <w:pPr>
              <w:jc w:val="right"/>
              <w:ind w:right="14"/>
              <w:spacing w:after="0"/>
              <w:rPr>
                <w:sz w:val="20"/>
                <w:szCs w:val="20"/>
                <w:color w:val="auto"/>
              </w:rPr>
            </w:pPr>
            <w:r>
              <w:rPr>
                <w:rFonts w:ascii="Arial" w:cs="Arial" w:eastAsia="Arial" w:hAnsi="Arial"/>
                <w:sz w:val="18"/>
                <w:szCs w:val="18"/>
                <w:color w:val="auto"/>
              </w:rPr>
              <w:t>1,863,085</w:t>
            </w:r>
          </w:p>
        </w:tc>
        <w:tc>
          <w:tcPr>
            <w:tcW w:w="120" w:type="dxa"/>
            <w:vAlign w:val="bottom"/>
            <w:tcBorders>
              <w:bottom w:val="single" w:sz="8" w:color="CCEEFF"/>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reserve for loan losses</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(29,200)</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(33,100)</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940" w:type="dxa"/>
            <w:vAlign w:val="bottom"/>
          </w:tcPr>
          <w:p>
            <w:pPr>
              <w:ind w:left="40"/>
              <w:spacing w:after="0"/>
              <w:rPr>
                <w:sz w:val="20"/>
                <w:szCs w:val="20"/>
                <w:color w:val="auto"/>
              </w:rPr>
            </w:pPr>
            <w:r>
              <w:rPr>
                <w:rFonts w:ascii="Arial" w:cs="Arial" w:eastAsia="Arial" w:hAnsi="Arial"/>
                <w:sz w:val="18"/>
                <w:szCs w:val="18"/>
                <w:color w:val="auto"/>
              </w:rPr>
              <w:t>Total loans receivable and other lending</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1,370,109</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1,829,985</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940" w:type="dxa"/>
            <w:vAlign w:val="bottom"/>
          </w:tcPr>
          <w:p>
            <w:pPr>
              <w:ind w:left="40"/>
              <w:spacing w:after="0"/>
              <w:rPr>
                <w:sz w:val="20"/>
                <w:szCs w:val="20"/>
                <w:color w:val="auto"/>
              </w:rPr>
            </w:pPr>
            <w:r>
              <w:rPr>
                <w:rFonts w:ascii="Arial" w:cs="Arial" w:eastAsia="Arial" w:hAnsi="Arial"/>
                <w:sz w:val="18"/>
                <w:szCs w:val="18"/>
                <w:color w:val="auto"/>
              </w:rPr>
              <w:t>investments, net</w:t>
            </w:r>
          </w:p>
        </w:tc>
        <w:tc>
          <w:tcPr>
            <w:tcW w:w="22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As of December 31, 2013 and 2012, includes $117.9 million and $286.3 million, respectively, of loans with a weighted average interest rate floor of 3.2% and 3.3%, respectively.</w:t>
      </w:r>
    </w:p>
    <w:p>
      <w:pPr>
        <w:spacing w:after="0" w:line="24" w:lineRule="exact"/>
        <w:rPr>
          <w:rFonts w:ascii="Arial" w:cs="Arial" w:eastAsia="Arial" w:hAnsi="Arial"/>
          <w:sz w:val="13"/>
          <w:szCs w:val="13"/>
          <w:color w:val="auto"/>
        </w:rPr>
      </w:pPr>
    </w:p>
    <w:p>
      <w:pPr>
        <w:ind w:left="660" w:hanging="652"/>
        <w:spacing w:after="0" w:line="255"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Performing and non-performing loans are presented net of asset-specific loan loss reserves of $31.0 million and $317.0 million, respectively, as of December 31, 2013, and $15.3 million and $476.1 million, respectively, as of December 31, 2012.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i w:val="1"/>
          <w:iCs w:val="1"/>
          <w:color w:val="auto"/>
        </w:rPr>
        <w:t>Summary of Maturities</w:t>
      </w:r>
      <w:r>
        <w:rPr>
          <w:rFonts w:ascii="Arial" w:cs="Arial" w:eastAsia="Arial" w:hAnsi="Arial"/>
          <w:sz w:val="18"/>
          <w:szCs w:val="18"/>
          <w:color w:val="auto"/>
        </w:rPr>
        <w:t>—As of December 31, 2013, the Company's loans receivable and other lending investments had the following maturities ($ in</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thousands)(1):</w:t>
      </w:r>
    </w:p>
    <w:p>
      <w:pPr>
        <w:spacing w:after="0" w:line="231"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left="228"/>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Carrying</w:t>
            </w:r>
          </w:p>
        </w:tc>
        <w:tc>
          <w:tcPr>
            <w:tcW w:w="1760" w:type="dxa"/>
            <w:vAlign w:val="bottom"/>
            <w:gridSpan w:val="2"/>
            <w:vMerge w:val="restart"/>
          </w:tcPr>
          <w:p>
            <w:pPr>
              <w:jc w:val="right"/>
              <w:ind w:right="6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5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of Maturity</w:t>
            </w:r>
          </w:p>
        </w:tc>
        <w:tc>
          <w:tcPr>
            <w:tcW w:w="100" w:type="dxa"/>
            <w:vAlign w:val="bottom"/>
            <w:vMerge w:val="restart"/>
          </w:tcPr>
          <w:p>
            <w:pPr>
              <w:spacing w:after="0"/>
              <w:rPr>
                <w:sz w:val="12"/>
                <w:szCs w:val="12"/>
                <w:color w:val="auto"/>
              </w:rPr>
            </w:pPr>
          </w:p>
        </w:tc>
        <w:tc>
          <w:tcPr>
            <w:tcW w:w="104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2"/>
              </w:rPr>
              <w:t>Loans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8"/>
              </w:rPr>
              <w:t>Maturing</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of Total</w:t>
            </w: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429,523</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111,539</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323,208</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63,784</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14,459</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2019 and thereafter</w:t>
            </w:r>
          </w:p>
        </w:tc>
        <w:tc>
          <w:tcPr>
            <w:tcW w:w="104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253,192</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performing loans and other lending investments</w:t>
            </w: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1,195,705</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4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Non-performing loans</w:t>
            </w:r>
          </w:p>
        </w:tc>
        <w:tc>
          <w:tcPr>
            <w:tcW w:w="104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203,604</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carrying value</w:t>
            </w:r>
          </w:p>
        </w:tc>
        <w:tc>
          <w:tcPr>
            <w:tcW w:w="104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55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1,399,309</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General reserve for loan losses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(29,200)</w:t>
            </w: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60" w:type="dxa"/>
            <w:vAlign w:val="bottom"/>
            <w:gridSpan w:val="2"/>
            <w:vMerge w:val="continue"/>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loans receivable and other lending investments, net</w:t>
            </w:r>
          </w:p>
        </w:tc>
        <w:tc>
          <w:tcPr>
            <w:tcW w:w="10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1,370,109</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Performing and non-performing loans are presented net of asset-specific loan loss reserves of $31.0 million and $317.0 million,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Lease</w:t>
      </w:r>
    </w:p>
    <w:p>
      <w:pPr>
        <w:spacing w:after="0" w:line="2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net lease portfolio is primarily comprised of properties owned by the Company and leased to single creditworthy tenants where the properties are subject to long-term leases. The majority of the leases provide for expenses at the facility to be paid by the tenant on a triple net lease basis. The Company generally intends to hold its net lease assets for long-term investment. However, the Company may dispose of assets if it deems the disposition to be in the Company's best interests.</w:t>
      </w:r>
    </w:p>
    <w:p>
      <w:pPr>
        <w:spacing w:after="0" w:line="24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Under a typical net lease agreement, the tenant agrees to pay a base monthly operating lease payment and most or all of the facility operating expenses (including taxes, utilities, maintenance and insurance). The Company generally targets corporate customers with facilities that are critical to their ongoing businesses.</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net lease portfolio included the following ($ in thousands):</w:t>
      </w:r>
    </w:p>
    <w:p>
      <w:pPr>
        <w:spacing w:after="0" w:line="365" w:lineRule="exact"/>
        <w:rPr>
          <w:sz w:val="20"/>
          <w:szCs w:val="20"/>
          <w:color w:val="auto"/>
        </w:rPr>
      </w:pPr>
    </w:p>
    <w:tbl>
      <w:tblPr>
        <w:tblLayout w:type="fixed"/>
        <w:tblInd w:w="174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44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2012</w:t>
            </w: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at cost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1,696,888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1,626,810</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(338,640)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(310,605)</w:t>
            </w:r>
          </w:p>
        </w:tc>
      </w:tr>
      <w:tr>
        <w:trPr>
          <w:trHeight w:val="27"/>
        </w:trPr>
        <w:tc>
          <w:tcPr>
            <w:tcW w:w="4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net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1,358,248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1,316,205</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Real estate available and held for sale</w:t>
            </w:r>
          </w:p>
        </w:tc>
        <w:tc>
          <w:tcPr>
            <w:tcW w:w="4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investments</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16,408</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16,380</w:t>
            </w:r>
          </w:p>
        </w:tc>
      </w:tr>
      <w:tr>
        <w:trPr>
          <w:trHeight w:val="257"/>
        </w:trPr>
        <w:tc>
          <w:tcPr>
            <w:tcW w:w="4440" w:type="dxa"/>
            <w:vAlign w:val="bottom"/>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1,374,656</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1,332,585</w:t>
            </w:r>
          </w:p>
        </w:tc>
      </w:tr>
      <w:tr>
        <w:trPr>
          <w:trHeight w:val="20"/>
        </w:trPr>
        <w:tc>
          <w:tcPr>
            <w:tcW w:w="4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Summary of Portfolio Characteristics</w:t>
      </w:r>
      <w:r>
        <w:rPr>
          <w:rFonts w:ascii="Arial" w:cs="Arial" w:eastAsia="Arial" w:hAnsi="Arial"/>
          <w:sz w:val="18"/>
          <w:szCs w:val="18"/>
          <w:color w:val="auto"/>
        </w:rPr>
        <w:t>—As of December 31, 2013, the Company owned 263 facilities, comprising 20.4 million square feet in 33 states.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net lease assets were 94% leased with a weighted average remaining lease term of approximately 12 years. The annual average effective base rent per square foot, net of any tenant concessions, was $7.94 per square foot.</w:t>
      </w:r>
    </w:p>
    <w:p>
      <w:pPr>
        <w:spacing w:after="0" w:line="10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Portfolio Activity</w:t>
      </w:r>
      <w:r>
        <w:rPr>
          <w:rFonts w:ascii="Arial" w:cs="Arial" w:eastAsia="Arial" w:hAnsi="Arial"/>
          <w:sz w:val="17"/>
          <w:szCs w:val="17"/>
          <w:color w:val="auto"/>
        </w:rPr>
        <w:t>—During the year ended December 31, 2013, the Company purchased a net lease asset for $93.6 million and funded $33.8 million of</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expenditures on existing net lease assets, including $26.7 million of fundings on a $40.0 million build-to-suit that is subject to an 18 year lease. In addition, the Company sold assets with a net carrying value of $18.7 million and transferred title of assets with a carrying value of $8.7 million to a tenant during 2013. See Item 8 —"Financial Statements and Supplemental Data—Note 4" for further details on net lease asset activities.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Summary of Lease Expirations</w:t>
      </w:r>
      <w:r>
        <w:rPr>
          <w:rFonts w:ascii="Arial" w:cs="Arial" w:eastAsia="Arial" w:hAnsi="Arial"/>
          <w:sz w:val="17"/>
          <w:szCs w:val="17"/>
          <w:color w:val="auto"/>
        </w:rPr>
        <w:t>—As of December 31, 2013, lease expirations on the Company's net lease assets are as follows ($ in thousands):</w:t>
      </w:r>
    </w:p>
    <w:p>
      <w:pPr>
        <w:spacing w:after="0" w:line="29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Square Feet of Leases</w:t>
            </w:r>
          </w:p>
        </w:tc>
        <w:tc>
          <w:tcPr>
            <w:tcW w:w="260" w:type="dxa"/>
            <w:vAlign w:val="bottom"/>
          </w:tcPr>
          <w:p>
            <w:pPr>
              <w:spacing w:after="0"/>
              <w:rPr>
                <w:sz w:val="14"/>
                <w:szCs w:val="14"/>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Annualized NLA</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 of NLA In-Place</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In-Place</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Operating</w:t>
            </w:r>
          </w:p>
        </w:tc>
        <w:tc>
          <w:tcPr>
            <w:tcW w:w="100" w:type="dxa"/>
            <w:vAlign w:val="bottom"/>
          </w:tcPr>
          <w:p>
            <w:pPr>
              <w:spacing w:after="0"/>
              <w:rPr>
                <w:sz w:val="12"/>
                <w:szCs w:val="12"/>
                <w:color w:val="auto"/>
              </w:rPr>
            </w:pPr>
          </w:p>
        </w:tc>
        <w:tc>
          <w:tcPr>
            <w:tcW w:w="13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49"/>
        </w:trPr>
        <w:tc>
          <w:tcPr>
            <w:tcW w:w="2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of Lease Expiration</w:t>
            </w:r>
          </w:p>
        </w:tc>
        <w:tc>
          <w:tcPr>
            <w:tcW w:w="120" w:type="dxa"/>
            <w:vAlign w:val="bottom"/>
            <w:vMerge w:val="restart"/>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Leases</w:t>
            </w: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Expiring (in</w:t>
            </w:r>
          </w:p>
        </w:tc>
        <w:tc>
          <w:tcPr>
            <w:tcW w:w="260" w:type="dxa"/>
            <w:vAlign w:val="bottom"/>
          </w:tcPr>
          <w:p>
            <w:pPr>
              <w:spacing w:after="0"/>
              <w:rPr>
                <w:sz w:val="12"/>
                <w:szCs w:val="12"/>
                <w:color w:val="auto"/>
              </w:rPr>
            </w:pPr>
          </w:p>
        </w:tc>
        <w:tc>
          <w:tcPr>
            <w:tcW w:w="17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Operating</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Lease</w:t>
            </w:r>
          </w:p>
        </w:tc>
        <w:tc>
          <w:tcPr>
            <w:tcW w:w="1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Expiring</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thousands)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2"/>
              </w:rPr>
              <w:t>Lease Income(1)</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Revenue(2)</w:t>
            </w:r>
          </w:p>
        </w:tc>
        <w:tc>
          <w:tcPr>
            <w:tcW w:w="0" w:type="dxa"/>
            <w:vAlign w:val="bottom"/>
          </w:tcPr>
          <w:p>
            <w:pPr>
              <w:spacing w:after="0"/>
              <w:rPr>
                <w:sz w:val="1"/>
                <w:szCs w:val="1"/>
                <w:color w:val="auto"/>
              </w:rPr>
            </w:pPr>
          </w:p>
        </w:tc>
      </w:tr>
      <w:tr>
        <w:trPr>
          <w:trHeight w:val="250"/>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2160" w:type="dxa"/>
            <w:vAlign w:val="bottom"/>
          </w:tcPr>
          <w:p>
            <w:pPr>
              <w:ind w:left="2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2,067</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5,966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2160" w:type="dxa"/>
            <w:vAlign w:val="bottom"/>
          </w:tcPr>
          <w:p>
            <w:pPr>
              <w:ind w:left="2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5,064</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3,743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2160" w:type="dxa"/>
            <w:vAlign w:val="bottom"/>
          </w:tcPr>
          <w:p>
            <w:pPr>
              <w:ind w:left="2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1,076</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3,993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2160" w:type="dxa"/>
            <w:vAlign w:val="bottom"/>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4,513</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9,071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216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6,212</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2024 and thereafter</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108,524</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97"/>
        </w:trPr>
        <w:tc>
          <w:tcPr>
            <w:tcW w:w="2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24"/>
                <w:szCs w:val="24"/>
                <w:color w:val="auto"/>
              </w:rPr>
            </w:pP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19,305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153,198</w:t>
            </w:r>
          </w:p>
        </w:tc>
        <w:tc>
          <w:tcPr>
            <w:tcW w:w="120" w:type="dxa"/>
            <w:vAlign w:val="bottom"/>
            <w:tcBorders>
              <w:bottom w:val="single" w:sz="8" w:color="CCEEFF"/>
            </w:tcBorders>
          </w:tcPr>
          <w:p>
            <w:pPr>
              <w:spacing w:after="0"/>
              <w:rPr>
                <w:sz w:val="24"/>
                <w:szCs w:val="24"/>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2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w w:val="97"/>
              </w:rPr>
              <w:t>Weighted average remaining</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term</w:t>
            </w:r>
          </w:p>
        </w:tc>
        <w:tc>
          <w:tcPr>
            <w:tcW w:w="1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11.6 years</w:t>
            </w: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Reflects annualized GAAP operating lease income for NLA leases in-place.</w:t>
      </w:r>
    </w:p>
    <w:p>
      <w:pPr>
        <w:spacing w:after="0" w:line="13"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Reflects the percentage of annualized GAAP operating lease income for NLA leases in-place as a percentage of annualized total revenue.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Properties</w:t>
      </w:r>
    </w:p>
    <w:p>
      <w:pPr>
        <w:spacing w:after="0" w:line="14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operating properties portfolio is comprised of commercial and residential properties which represent a diverse pool of assets across a broad range of geographies and property types. The Company generally seeks to reposition or redevelop these assets with the objective of maximizing their value through the infusion of capital and/or intensive asset management efforts. The commercial properties within this portfolio include office, retail and hotel properties. The residential properties within this portfolio are generally luxury condominium projects located in major U.S. cities where the Company's strategy is to sell individual condominium units through retail distribution channels.</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operating properties portfolio included the following ($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132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456"/>
              <w:spacing w:after="0"/>
              <w:rPr>
                <w:sz w:val="20"/>
                <w:szCs w:val="20"/>
                <w:color w:val="auto"/>
              </w:rPr>
            </w:pPr>
            <w:r>
              <w:rPr>
                <w:rFonts w:ascii="Arial" w:cs="Arial" w:eastAsia="Arial" w:hAnsi="Arial"/>
                <w:sz w:val="14"/>
                <w:szCs w:val="14"/>
                <w:b w:val="1"/>
                <w:bCs w:val="1"/>
                <w:color w:val="auto"/>
                <w:w w:val="94"/>
              </w:rPr>
              <w:t>Commercial</w:t>
            </w:r>
          </w:p>
        </w:tc>
        <w:tc>
          <w:tcPr>
            <w:tcW w:w="8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Residential</w:t>
            </w:r>
          </w:p>
        </w:tc>
        <w:tc>
          <w:tcPr>
            <w:tcW w:w="800" w:type="dxa"/>
            <w:vAlign w:val="bottom"/>
            <w:tcBorders>
              <w:bottom w:val="single" w:sz="8" w:color="auto"/>
            </w:tcBorders>
          </w:tcPr>
          <w:p>
            <w:pPr>
              <w:spacing w:after="0"/>
              <w:rPr>
                <w:sz w:val="16"/>
                <w:szCs w:val="16"/>
                <w:color w:val="auto"/>
              </w:rPr>
            </w:pPr>
          </w:p>
        </w:tc>
      </w:tr>
      <w:tr>
        <w:trPr>
          <w:trHeight w:val="250"/>
        </w:trPr>
        <w:tc>
          <w:tcPr>
            <w:tcW w:w="3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2"/>
              </w:rPr>
              <w:t>As of December 31,</w:t>
            </w:r>
          </w:p>
        </w:tc>
        <w:tc>
          <w:tcPr>
            <w:tcW w:w="280" w:type="dxa"/>
            <w:vAlign w:val="bottom"/>
          </w:tcPr>
          <w:p>
            <w:pPr>
              <w:spacing w:after="0"/>
              <w:rPr>
                <w:sz w:val="21"/>
                <w:szCs w:val="21"/>
                <w:color w:val="auto"/>
              </w:rPr>
            </w:pPr>
          </w:p>
        </w:tc>
        <w:tc>
          <w:tcPr>
            <w:tcW w:w="214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37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2012</w:t>
            </w: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at cost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720,508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704,481</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w w:val="95"/>
              </w:rPr>
              <w:t>Less: accumulated depreciation and amortization</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(82,420)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(65,409)</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net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638,088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639,072</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Real estate available and held for sale</w:t>
            </w:r>
          </w:p>
        </w:tc>
        <w:tc>
          <w:tcPr>
            <w:tcW w:w="26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7,300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80,504</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221,028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374,083</w:t>
            </w: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13,809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14,599</w:t>
            </w:r>
          </w:p>
        </w:tc>
        <w:tc>
          <w:tcPr>
            <w:tcW w:w="1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11,146</w:t>
            </w:r>
          </w:p>
        </w:tc>
      </w:tr>
      <w:tr>
        <w:trPr>
          <w:trHeight w:val="257"/>
        </w:trPr>
        <w:tc>
          <w:tcPr>
            <w:tcW w:w="3780" w:type="dxa"/>
            <w:vAlign w:val="bottom"/>
          </w:tcPr>
          <w:p>
            <w:pPr>
              <w:ind w:left="20"/>
              <w:spacing w:after="0"/>
              <w:rPr>
                <w:sz w:val="20"/>
                <w:szCs w:val="20"/>
                <w:color w:val="auto"/>
              </w:rPr>
            </w:pPr>
            <w:r>
              <w:rPr>
                <w:rFonts w:ascii="Arial" w:cs="Arial" w:eastAsia="Arial" w:hAnsi="Arial"/>
                <w:sz w:val="18"/>
                <w:szCs w:val="18"/>
                <w:color w:val="auto"/>
              </w:rPr>
              <w:t>Total portfolio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659,197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734,175</w:t>
            </w:r>
          </w:p>
        </w:tc>
        <w:tc>
          <w:tcPr>
            <w:tcW w:w="16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223,251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385,229</w:t>
            </w:r>
          </w:p>
        </w:tc>
      </w:tr>
      <w:tr>
        <w:trPr>
          <w:trHeight w:val="20"/>
        </w:trPr>
        <w:tc>
          <w:tcPr>
            <w:tcW w:w="3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Commercial Properties</w:t>
      </w:r>
    </w:p>
    <w:p>
      <w:pPr>
        <w:spacing w:after="0" w:line="27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Summary of Portfolio Characteristics—</w:t>
      </w:r>
      <w:r>
        <w:rPr>
          <w:rFonts w:ascii="Arial" w:cs="Arial" w:eastAsia="Arial" w:hAnsi="Arial"/>
          <w:sz w:val="18"/>
          <w:szCs w:val="18"/>
          <w:color w:val="auto"/>
        </w:rPr>
        <w:t>As of December 31, 2013, commercial properties within the operating properties portfolio included 28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comprising 5.5 million square feet in 10 states. Excluding hotel properties, the commercial properties were 61% leased with a weighted average remaining lease term of approximately 6.0 years. The Company had 4 commercial properties classified as held for sale as of December 31, 2013 and their operating results are presented in "Income from discontinued operations" on the Company's Consolidated Statements of Operations. As of December 31, 2013, stabilized</w:t>
      </w:r>
    </w:p>
    <w:p>
      <w:pPr>
        <w:sectPr>
          <w:pgSz w:w="11900" w:h="16838" w:orient="portrait"/>
          <w:cols w:equalWidth="0" w:num="1">
            <w:col w:w="11420"/>
          </w:cols>
          <w:pgMar w:left="240" w:top="118"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18" w:right="239" w:bottom="1440" w:gutter="0" w:footer="0" w:header="0"/>
          <w:type w:val="continuous"/>
        </w:sectPr>
      </w:pPr>
    </w:p>
    <w:bookmarkStart w:id="11" w:name="page12"/>
    <w:bookmarkEnd w:id="11"/>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commercial properties had a total carrying value of $134.7 million, or 18% of the portfolio, and generated an unleveraged weighted average effective yield of 9.3% on gross carrying value for the year ended December 31, 2013. Stabilized commercial properties, excluding hotel properties, were 86% leased as of December 31, 2013. Transitional commercial properties had a total carrying value of $606.9 million, or 82% of the portfolio, and generated an unleveraged weighted average effective yield of 3.1% on gross carrying value for the year ended December 31, 2013. Transitional commercial properties, excluding hotel properties, were 56% leased as of December 31, 2013.</w:t>
      </w:r>
    </w:p>
    <w:p>
      <w:pPr>
        <w:spacing w:after="0" w:line="242"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i w:val="1"/>
          <w:iCs w:val="1"/>
          <w:color w:val="auto"/>
        </w:rPr>
        <w:t>Portfolio Activity</w:t>
      </w:r>
      <w:r>
        <w:rPr>
          <w:rFonts w:ascii="Arial" w:cs="Arial" w:eastAsia="Arial" w:hAnsi="Arial"/>
          <w:sz w:val="16"/>
          <w:szCs w:val="16"/>
          <w:color w:val="auto"/>
        </w:rPr>
        <w:t>—During the year ended December 31, 2013, the Company sold properties with a carrying value of $72.6 million, which resulted in a</w:t>
      </w:r>
      <w:r>
        <w:rPr>
          <w:rFonts w:ascii="Arial" w:cs="Arial" w:eastAsia="Arial" w:hAnsi="Arial"/>
          <w:sz w:val="16"/>
          <w:szCs w:val="16"/>
          <w:i w:val="1"/>
          <w:iCs w:val="1"/>
          <w:color w:val="auto"/>
        </w:rPr>
        <w:t xml:space="preserve"> </w:t>
      </w:r>
      <w:r>
        <w:rPr>
          <w:rFonts w:ascii="Arial" w:cs="Arial" w:eastAsia="Arial" w:hAnsi="Arial"/>
          <w:sz w:val="16"/>
          <w:szCs w:val="16"/>
          <w:color w:val="auto"/>
        </w:rPr>
        <w:t>gain of $18.6 million. In addition, the Company funded $19.2 million of capital expenditures. During the year ended December 31, 2013 and 2012, the Company's hotel properties had revenues of $29.3 million and $32.6 million, respectively, and expenses of $28.9 million and $31.9 million, respectively.</w:t>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December 31, 2013, lease expirations on commercial properties within the operating properties portfolio were as follows ($ in thousands)(1):</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Number of Leases</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Square Feet of Leases</w:t>
            </w:r>
          </w:p>
        </w:tc>
        <w:tc>
          <w:tcPr>
            <w:tcW w:w="24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Annualized Operating Property In-</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5"/>
              </w:rPr>
              <w:t>% of In-Place Operating</w:t>
            </w:r>
          </w:p>
        </w:tc>
        <w:tc>
          <w:tcPr>
            <w:tcW w:w="100" w:type="dxa"/>
            <w:vAlign w:val="bottom"/>
          </w:tcPr>
          <w:p>
            <w:pPr>
              <w:spacing w:after="0"/>
              <w:rPr>
                <w:sz w:val="14"/>
                <w:szCs w:val="14"/>
                <w:color w:val="auto"/>
              </w:rPr>
            </w:pPr>
          </w:p>
        </w:tc>
        <w:tc>
          <w:tcPr>
            <w:tcW w:w="15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49"/>
        </w:trPr>
        <w:tc>
          <w:tcPr>
            <w:tcW w:w="21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Year of Lease Expiration</w:t>
            </w:r>
          </w:p>
        </w:tc>
        <w:tc>
          <w:tcPr>
            <w:tcW w:w="120" w:type="dxa"/>
            <w:vAlign w:val="bottom"/>
            <w:vMerge w:val="restart"/>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Expiring (in</w:t>
            </w:r>
          </w:p>
        </w:tc>
        <w:tc>
          <w:tcPr>
            <w:tcW w:w="2480" w:type="dxa"/>
            <w:vAlign w:val="bottom"/>
            <w:gridSpan w:val="3"/>
            <w:vMerge w:val="continue"/>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Property Operating Lease</w:t>
            </w:r>
          </w:p>
        </w:tc>
        <w:tc>
          <w:tcPr>
            <w:tcW w:w="1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Expiring</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thousands)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2"/>
              </w:rPr>
              <w:t>Place Operating Lease Income(2)</w:t>
            </w: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Revenue(3)</w:t>
            </w:r>
          </w:p>
        </w:tc>
        <w:tc>
          <w:tcPr>
            <w:tcW w:w="0" w:type="dxa"/>
            <w:vAlign w:val="bottom"/>
          </w:tcPr>
          <w:p>
            <w:pPr>
              <w:spacing w:after="0"/>
              <w:rPr>
                <w:sz w:val="1"/>
                <w:szCs w:val="1"/>
                <w:color w:val="auto"/>
              </w:rPr>
            </w:pPr>
          </w:p>
        </w:tc>
      </w:tr>
      <w:tr>
        <w:trPr>
          <w:trHeight w:val="250"/>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9,175</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2120" w:type="dxa"/>
            <w:vAlign w:val="bottom"/>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20" w:type="dxa"/>
            <w:vAlign w:val="bottom"/>
          </w:tcPr>
          <w:p>
            <w:pPr>
              <w:jc w:val="right"/>
              <w:ind w:right="11"/>
              <w:spacing w:after="0"/>
              <w:rPr>
                <w:sz w:val="20"/>
                <w:szCs w:val="20"/>
                <w:color w:val="auto"/>
              </w:rPr>
            </w:pPr>
            <w:r>
              <w:rPr>
                <w:rFonts w:ascii="Arial" w:cs="Arial" w:eastAsia="Arial" w:hAnsi="Arial"/>
                <w:sz w:val="18"/>
                <w:szCs w:val="18"/>
                <w:color w:val="auto"/>
              </w:rPr>
              <w:t>2,463</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3,217</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212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20" w:type="dxa"/>
            <w:vAlign w:val="bottom"/>
          </w:tcPr>
          <w:p>
            <w:pPr>
              <w:jc w:val="right"/>
              <w:ind w:right="11"/>
              <w:spacing w:after="0"/>
              <w:rPr>
                <w:sz w:val="20"/>
                <w:szCs w:val="20"/>
                <w:color w:val="auto"/>
              </w:rPr>
            </w:pPr>
            <w:r>
              <w:rPr>
                <w:rFonts w:ascii="Arial" w:cs="Arial" w:eastAsia="Arial" w:hAnsi="Arial"/>
                <w:sz w:val="18"/>
                <w:szCs w:val="18"/>
                <w:color w:val="auto"/>
              </w:rPr>
              <w:t>6,272</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7,246</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2120" w:type="dxa"/>
            <w:vAlign w:val="bottom"/>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20" w:type="dxa"/>
            <w:vAlign w:val="bottom"/>
          </w:tcPr>
          <w:p>
            <w:pPr>
              <w:jc w:val="right"/>
              <w:ind w:right="11"/>
              <w:spacing w:after="0"/>
              <w:rPr>
                <w:sz w:val="20"/>
                <w:szCs w:val="20"/>
                <w:color w:val="auto"/>
              </w:rPr>
            </w:pPr>
            <w:r>
              <w:rPr>
                <w:rFonts w:ascii="Arial" w:cs="Arial" w:eastAsia="Arial" w:hAnsi="Arial"/>
                <w:sz w:val="18"/>
                <w:szCs w:val="18"/>
                <w:color w:val="auto"/>
              </w:rPr>
              <w:t>5,364</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8.8%</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4,214</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2120" w:type="dxa"/>
            <w:vAlign w:val="bottom"/>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20" w:type="dxa"/>
            <w:vAlign w:val="bottom"/>
          </w:tcPr>
          <w:p>
            <w:pPr>
              <w:jc w:val="right"/>
              <w:ind w:right="11"/>
              <w:spacing w:after="0"/>
              <w:rPr>
                <w:sz w:val="20"/>
                <w:szCs w:val="20"/>
                <w:color w:val="auto"/>
              </w:rPr>
            </w:pPr>
            <w:r>
              <w:rPr>
                <w:rFonts w:ascii="Arial" w:cs="Arial" w:eastAsia="Arial" w:hAnsi="Arial"/>
                <w:sz w:val="18"/>
                <w:szCs w:val="18"/>
                <w:color w:val="auto"/>
              </w:rPr>
              <w:t>5,069</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4,800</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2120" w:type="dxa"/>
            <w:vAlign w:val="bottom"/>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20" w:type="dxa"/>
            <w:vAlign w:val="bottom"/>
          </w:tcPr>
          <w:p>
            <w:pPr>
              <w:jc w:val="right"/>
              <w:ind w:right="11"/>
              <w:spacing w:after="0"/>
              <w:rPr>
                <w:sz w:val="20"/>
                <w:szCs w:val="20"/>
                <w:color w:val="auto"/>
              </w:rPr>
            </w:pPr>
            <w:r>
              <w:rPr>
                <w:rFonts w:ascii="Arial" w:cs="Arial" w:eastAsia="Arial" w:hAnsi="Arial"/>
                <w:sz w:val="18"/>
                <w:szCs w:val="18"/>
                <w:color w:val="auto"/>
              </w:rPr>
              <w:t>4,339</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2024 and thereafter</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8,913</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97"/>
        </w:trPr>
        <w:tc>
          <w:tcPr>
            <w:tcW w:w="22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CEEFF"/>
            </w:tcBorders>
          </w:tcPr>
          <w:p>
            <w:pPr>
              <w:spacing w:after="0"/>
              <w:rPr>
                <w:sz w:val="24"/>
                <w:szCs w:val="24"/>
                <w:color w:val="auto"/>
              </w:rPr>
            </w:pPr>
          </w:p>
        </w:tc>
        <w:tc>
          <w:tcPr>
            <w:tcW w:w="14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3,373</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61,072</w:t>
            </w:r>
          </w:p>
        </w:tc>
        <w:tc>
          <w:tcPr>
            <w:tcW w:w="120" w:type="dxa"/>
            <w:vAlign w:val="bottom"/>
            <w:tcBorders>
              <w:bottom w:val="single" w:sz="8" w:color="CCEEFF"/>
            </w:tcBorders>
          </w:tcPr>
          <w:p>
            <w:pPr>
              <w:spacing w:after="0"/>
              <w:rPr>
                <w:sz w:val="24"/>
                <w:szCs w:val="24"/>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24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w w:val="94"/>
              </w:rPr>
              <w:t>Weighted average remaining</w:t>
            </w:r>
          </w:p>
        </w:tc>
        <w:tc>
          <w:tcPr>
            <w:tcW w:w="1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lease term</w:t>
            </w:r>
          </w:p>
        </w:tc>
        <w:tc>
          <w:tcPr>
            <w:tcW w:w="16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6.0 years</w:t>
            </w: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Excludes hotel properties included in the commercial operating properties portfolio.</w:t>
      </w:r>
    </w:p>
    <w:p>
      <w:pPr>
        <w:spacing w:after="0" w:line="13" w:lineRule="exact"/>
        <w:rPr>
          <w:rFonts w:ascii="Arial" w:cs="Arial" w:eastAsia="Arial" w:hAnsi="Arial"/>
          <w:sz w:val="14"/>
          <w:szCs w:val="14"/>
          <w:color w:val="auto"/>
        </w:rPr>
      </w:pPr>
    </w:p>
    <w:p>
      <w:pPr>
        <w:ind w:left="660" w:hanging="65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Reflects annualized GAAP operating lease income for operating property leases in-place.</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Reflects the percentage of annualized GAAP operating lease income for operating property leases in-place as a percentage of annualized total revenue.</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Residential Properties</w:t>
      </w:r>
    </w:p>
    <w:p>
      <w:pPr>
        <w:spacing w:after="0" w:line="27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Summary of Portfolio Characteristics</w:t>
      </w:r>
      <w:r>
        <w:rPr>
          <w:rFonts w:ascii="Arial" w:cs="Arial" w:eastAsia="Arial" w:hAnsi="Arial"/>
          <w:sz w:val="18"/>
          <w:szCs w:val="18"/>
          <w:color w:val="auto"/>
        </w:rPr>
        <w:t>—As of December 31, 2013, residential properties within the operating properties portfolio included 12 residential</w:t>
      </w:r>
      <w:r>
        <w:rPr>
          <w:rFonts w:ascii="Arial" w:cs="Arial" w:eastAsia="Arial" w:hAnsi="Arial"/>
          <w:sz w:val="18"/>
          <w:szCs w:val="18"/>
          <w:i w:val="1"/>
          <w:iCs w:val="1"/>
          <w:color w:val="auto"/>
        </w:rPr>
        <w:t xml:space="preserve"> </w:t>
      </w:r>
      <w:r>
        <w:rPr>
          <w:rFonts w:ascii="Arial" w:cs="Arial" w:eastAsia="Arial" w:hAnsi="Arial"/>
          <w:sz w:val="18"/>
          <w:szCs w:val="18"/>
          <w:color w:val="auto"/>
        </w:rPr>
        <w:t>projects, representing approximately 616 units located in major cities throughout the United States.</w:t>
      </w:r>
    </w:p>
    <w:p>
      <w:pPr>
        <w:spacing w:after="0" w:line="22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i w:val="1"/>
          <w:iCs w:val="1"/>
          <w:color w:val="auto"/>
        </w:rPr>
        <w:t>Portfolio Activity</w:t>
      </w:r>
      <w:r>
        <w:rPr>
          <w:rFonts w:ascii="Arial" w:cs="Arial" w:eastAsia="Arial" w:hAnsi="Arial"/>
          <w:sz w:val="17"/>
          <w:szCs w:val="17"/>
          <w:color w:val="auto"/>
        </w:rPr>
        <w:t>—During the year ended December 31, 2013, the Company sold 393 residential property units for net proceeds of $269.7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resulting in gains on sales of residential units of $82.6 million. During the same period, the Company funded $21.9 million of capital expenditures related to these projects, acquired title to $16.1 million of residential properties through resolution of non-performing loans and incurred $19.8 million of net carrying costs that were reflected in "Real estate expenses" on the Company's Consolidated Statements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land portfolio primarily consists of master planned community projects, urban infill land parcels and waterfront land parcels located throughout the United States. Master planned communities represent large-scale residential projects that the Company will entitle, plan and/or develop and may sell through retail channels to home builders or in bulk. The remainder of the Company’s land includes infill and waterfront parcels located in and around major cities that the Company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will develop, sell to or partner with commercial real estate developers. Waterfront parcels are generally entitled for residential projects and urban infill parcels are generally entitled for mixed-use projects.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land portfolio included the following ($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174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44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2012</w:t>
            </w: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net</w:t>
            </w:r>
          </w:p>
        </w:tc>
        <w:tc>
          <w:tcPr>
            <w:tcW w:w="10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799,845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783,822</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Real estate available and held for sale</w:t>
            </w:r>
          </w:p>
        </w:tc>
        <w:tc>
          <w:tcPr>
            <w:tcW w:w="10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132,189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181,278</w:t>
            </w:r>
          </w:p>
        </w:tc>
      </w:tr>
      <w:tr>
        <w:trPr>
          <w:trHeight w:val="27"/>
        </w:trPr>
        <w:tc>
          <w:tcPr>
            <w:tcW w:w="4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investments</w:t>
            </w:r>
          </w:p>
        </w:tc>
        <w:tc>
          <w:tcPr>
            <w:tcW w:w="10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29,765</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5,493</w:t>
            </w:r>
          </w:p>
        </w:tc>
      </w:tr>
      <w:tr>
        <w:trPr>
          <w:trHeight w:val="257"/>
        </w:trPr>
        <w:tc>
          <w:tcPr>
            <w:tcW w:w="4480" w:type="dxa"/>
            <w:vAlign w:val="bottom"/>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961,799</w:t>
            </w:r>
          </w:p>
        </w:tc>
        <w:tc>
          <w:tcPr>
            <w:tcW w:w="12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970,593</w:t>
            </w:r>
          </w:p>
        </w:tc>
      </w:tr>
      <w:tr>
        <w:trPr>
          <w:trHeight w:val="20"/>
        </w:trPr>
        <w:tc>
          <w:tcPr>
            <w:tcW w:w="4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32"/>
        <w:spacing w:after="0" w:line="303" w:lineRule="auto"/>
        <w:rPr>
          <w:sz w:val="20"/>
          <w:szCs w:val="20"/>
          <w:color w:val="auto"/>
        </w:rPr>
      </w:pPr>
      <w:r>
        <w:rPr>
          <w:rFonts w:ascii="Arial" w:cs="Arial" w:eastAsia="Arial" w:hAnsi="Arial"/>
          <w:sz w:val="17"/>
          <w:szCs w:val="17"/>
          <w:i w:val="1"/>
          <w:iCs w:val="1"/>
          <w:color w:val="auto"/>
        </w:rPr>
        <w:t>Summary of Portfolio Characteristics</w:t>
      </w:r>
      <w:r>
        <w:rPr>
          <w:rFonts w:ascii="Arial" w:cs="Arial" w:eastAsia="Arial" w:hAnsi="Arial"/>
          <w:sz w:val="17"/>
          <w:szCs w:val="17"/>
          <w:color w:val="auto"/>
        </w:rPr>
        <w:t>—As of December 31, 2013, the Company's Land Segment included 27 properties, comprised of 11 master</w:t>
      </w:r>
      <w:r>
        <w:rPr>
          <w:rFonts w:ascii="Arial" w:cs="Arial" w:eastAsia="Arial" w:hAnsi="Arial"/>
          <w:sz w:val="17"/>
          <w:szCs w:val="17"/>
          <w:i w:val="1"/>
          <w:iCs w:val="1"/>
          <w:color w:val="auto"/>
        </w:rPr>
        <w:t xml:space="preserve"> </w:t>
      </w:r>
      <w:r>
        <w:rPr>
          <w:rFonts w:ascii="Arial" w:cs="Arial" w:eastAsia="Arial" w:hAnsi="Arial"/>
          <w:sz w:val="17"/>
          <w:szCs w:val="17"/>
          <w:color w:val="auto"/>
        </w:rPr>
        <w:t>planned community projects, 10 infill land parcels and 6 waterfront land parcels located throughout the United States. The master planned communities are currently entitled for more than 25,000 lots and the waterfront and urban infill parcels are currently entitled for approximately 6,000 units.</w:t>
      </w:r>
    </w:p>
    <w:p>
      <w:pPr>
        <w:spacing w:after="0" w:line="20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Portfolio Activity</w:t>
      </w:r>
      <w:r>
        <w:rPr>
          <w:rFonts w:ascii="Arial" w:cs="Arial" w:eastAsia="Arial" w:hAnsi="Arial"/>
          <w:sz w:val="18"/>
          <w:szCs w:val="18"/>
          <w:color w:val="auto"/>
        </w:rPr>
        <w:t>—During the year ended December 31, 2013, the Company funded $36.3 million of capital expenditures in the portfolio and acquired</w:t>
      </w:r>
      <w:r>
        <w:rPr>
          <w:rFonts w:ascii="Arial" w:cs="Arial" w:eastAsia="Arial" w:hAnsi="Arial"/>
          <w:sz w:val="18"/>
          <w:szCs w:val="18"/>
          <w:i w:val="1"/>
          <w:iCs w:val="1"/>
          <w:color w:val="auto"/>
        </w:rPr>
        <w:t xml:space="preserve"> </w:t>
      </w:r>
      <w:r>
        <w:rPr>
          <w:rFonts w:ascii="Arial" w:cs="Arial" w:eastAsia="Arial" w:hAnsi="Arial"/>
          <w:sz w:val="18"/>
          <w:szCs w:val="18"/>
          <w:color w:val="auto"/>
        </w:rPr>
        <w:t>title to $15.6 million of land assets through resolution of non-performing loans. The Company also sold assets with a carrying value of $51.7 million and transferred land assets of $34.7 million to newly formed unconsolidated entities during the year.</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2013, the Company had 5 land projects in production, 11 in development and 11 in the pre-development phase.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with Respect to Other Activities</w:t>
      </w:r>
    </w:p>
    <w:p>
      <w:pPr>
        <w:spacing w:after="0" w:line="28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investment, financing and corporate governance policies (including conflicts of interests policies) are managed under the ultimate supervision of the Company's Board of Directors. The Company can amend, revise or eliminate these policies at any time without a vote of its shareholders. The Company currently intends to make investments in a manner consistent with the requirements of the Internal Revenue Code of 1986, as amended (the "Code") for the Company to qualify as a REIT.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Restrictions or Limitations</w:t>
      </w:r>
    </w:p>
    <w:p>
      <w:pPr>
        <w:spacing w:after="0" w:line="283"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Company does not have any prescribed allocation among investments or product lines. Instead, the Company focuses on corporate and real estate credit underwriting to develop an analysis of the risk/reward trade-offs in determining the pricing and advisability of each particular transaction.</w:t>
      </w:r>
    </w:p>
    <w:p>
      <w:pPr>
        <w:spacing w:after="0" w:line="20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 believes that it is not, and intends to conduct its operations so as not to become, regulated as an investment company under the Investment Company Act. The Investment Company Act generally exempts entities that are "primarily engaged in purchasing or otherwise acquiring mortgages and other liens on and interests in real estate" (collectively, "Qualifying Interests"). The Company intends to rely on current interpretations of the Securities and Exchange Commission in an effort to qualify for this exemption. Based on these interpretations, the Company, among other things, must maintain at least 55% of its assets in Qualifying Interests and at least 25% of its assets in real estate-related assets (subject to reduction to the extent the Company invests more than 55% of its assets in Qualifying Interests). The Company's senior mortgages, real estate assets and certain of its subordinated mortgages generally constitute Qualifying Interests. Subject to the limitations on ownership of certain types of assets and the gross income tests imposed by the Code, the Company also may invest in the securities of other REITs, other entities engaged in real estate activities or other issuers, including for the purpose of exercising control over such entities.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8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operates in a competitive market. See Item 1a—Risk factors—"We compete with a variety of investment, financing and leasing sources for our customers," for a discussion of how we may be affected by competition.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8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operations of the Company are subject, in certain instances, to supervision and regulation by state and federal governmental authorities and may be subject to various laws and judicial and administrative decisions imposing various</w:t>
      </w:r>
    </w:p>
    <w:p>
      <w:pPr>
        <w:sectPr>
          <w:pgSz w:w="11900" w:h="16838" w:orient="portrait"/>
          <w:cols w:equalWidth="0" w:num="1">
            <w:col w:w="11420"/>
          </w:cols>
          <w:pgMar w:left="240" w:top="118"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18" w:right="239" w:bottom="1440" w:gutter="0" w:footer="0" w:header="0"/>
          <w:type w:val="continuous"/>
        </w:sectPr>
      </w:pPr>
    </w:p>
    <w:bookmarkStart w:id="13" w:name="page14"/>
    <w:bookmarkEnd w:id="13"/>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requirements and restrictions, which, among other things: (1) regulate credit granting activities; (2) establish maximum interest rates, finance charges and other charges; (3) require disclosures to customers; (4) govern secured transactions; and (5) set collection, foreclosure, repossession and claims-handling procedures and other trade practices. Although most states do not regulate commercial finance, certain states impose limitations on interest rates and other charges and on certain collection practices and creditor remedies, and require licensing of lenders and financiers and adequate disclosure of certain contract terms. The Company is also required to comply with certain provisions of the Equal Credit Opportunity Act that are applicable to commercial loans.</w:t>
      </w:r>
    </w:p>
    <w:p>
      <w:pPr>
        <w:spacing w:after="0" w:line="21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the judgment of management, existing statutes and regulations have not had a material adverse effect on the business conducted by the Company. It is not possible at this time to forecast the exact nature of any future legislation, regulations, judicial decisions, orders or interpretations, nor their impact upon the future business, financial condition or results of operations or prospects of the Company.</w:t>
      </w:r>
    </w:p>
    <w:p>
      <w:pPr>
        <w:spacing w:after="0" w:line="23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 has elected and expects to continue to qualify to be taxed as a REIT under Section 856 through 860 of the Code. As a REIT, the Company must generally distribute at least 90% of its net taxable income, excluding capital gains, to its shareholders each year. In addition, the Company must distribute 100% of its net taxable income each year to avoid paying federal income taxes. REITs are also subject to a number of organizational and operational requirements in order to elect and maintain REIT qualification. These requirements include specific share ownership tests and asset and gross income tests. If the Company fails to qualify as a REIT in any taxable year, the Company will be subject to federal income tax (including any applicable alternative minimum tax) on its net taxable income at regular corporate tax rates. Even if the Company qualifies for taxation as a REIT, the Company may be subject to state and local taxes and to federal income tax and excise tax on its undistributed income.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83"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 xml:space="preserve">The Company has adopted a Code of Conduct that sets forth the principles of conduct and ethics to be followed by our directors, officers and employees. The purpose of the Code of Conduct is to promote honest and ethical conduct, compliance with applicable governmental rules and regulations, full, fair, accurate, timely and understandable disclosure in periodic reports, prompt internal reporting of violations of the Code of Conduct and a culture of honesty and accountability. A copy of the Code of Conduct has been provided to each of our directors, officers and employees, who are required to acknowledge that they have received and will comply with the Code of Conduct. A copy of the Company's Code of Conduct has been previously filed with the SEC and is incorporated by reference in this Annual Report on Form 10-K as Exhibit 14.0. The Code of Conduct is also available on the Company's website at </w:t>
      </w:r>
      <w:r>
        <w:rPr>
          <w:rFonts w:ascii="Arial" w:cs="Arial" w:eastAsia="Arial" w:hAnsi="Arial"/>
          <w:sz w:val="18"/>
          <w:szCs w:val="18"/>
          <w:i w:val="1"/>
          <w:iCs w:val="1"/>
          <w:color w:val="auto"/>
        </w:rPr>
        <w:t>www.istarfinancial.com</w:t>
      </w:r>
      <w:r>
        <w:rPr>
          <w:rFonts w:ascii="Arial" w:cs="Arial" w:eastAsia="Arial" w:hAnsi="Arial"/>
          <w:sz w:val="18"/>
          <w:szCs w:val="18"/>
          <w:color w:val="auto"/>
        </w:rPr>
        <w:t>. The Company will disclose to shareholders material changes to its Code of Conduct, or any waivers for directors or executive officers, if any, within four business days of any such event. As of December 31, 2013, there were no waivers or changes since adoption of the current Code of Conduct in October 2002.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8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January 31, 2014, the Company had 175 employees and believes it has good relationships with its employees. The Company's employees are not represented by any collective bargaining agreements.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8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 xml:space="preserve">In addition to this Annual Report, the Company files quarterly and special reports, proxy statements and other information with the SEC. All documents are filed with the SEC and are available free of charge on the Company's corporate website, which is </w:t>
      </w:r>
      <w:r>
        <w:rPr>
          <w:rFonts w:ascii="Arial" w:cs="Arial" w:eastAsia="Arial" w:hAnsi="Arial"/>
          <w:sz w:val="17"/>
          <w:szCs w:val="17"/>
          <w:i w:val="1"/>
          <w:iCs w:val="1"/>
          <w:color w:val="auto"/>
        </w:rPr>
        <w:t>www.istarfinancial.com</w:t>
      </w:r>
      <w:r>
        <w:rPr>
          <w:rFonts w:ascii="Arial" w:cs="Arial" w:eastAsia="Arial" w:hAnsi="Arial"/>
          <w:sz w:val="17"/>
          <w:szCs w:val="17"/>
          <w:color w:val="auto"/>
        </w:rPr>
        <w:t xml:space="preserve">. Through the Company's website, the Company makes available free of charge its annual proxy statement, Annual Reports on Form 10-K, Quarterly Reports on Form 10-Q, Current Reports on Form 8-K, and amendments to those Reports filed or furnished pursuant to Section 13(a) or 15(d) of the Exchange Act as soon as reasonably practicable after the Company electronically files such material with, or furnishes it to, the SEC. You may also read and copy any document filed at the public reference facilities at 100 F Street, N.E., Washington, D.C. 25049. Please call the SEC at (800) SEC-0330 for further information about the public reference facilities. These documents also may be accessed through the SEC's electronic data gathering, analysis and retrieval system ("EDGAR") via electronic means, including on the SEC's homepage, which can be found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8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addition to the other information in this report, you should consider carefully the following risk factors in evaluating an investment in our securities. Any of these risks or the occurrence of any one or more of the uncertainties described below could have a material adverse effect on our business, financial condition, results of operations, cash flows and trading price of our common stock. The risks set forth below speak only as of the date of this report and we disclaim any duty to update them except as required by law. For purposes of these risk factors, the terms "our Company," "we," "our" and "us" refer to iStar Financial Inc. and its consolidated subsidiaries, unless the context indicates otherwise.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general economic conditions may adversely affect our business.</w:t>
      </w:r>
    </w:p>
    <w:p>
      <w:pPr>
        <w:spacing w:after="0" w:line="27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success is generally dependent upon economic conditions in the U.S. and, in particular, the geographic areas in which our investments are located. Substantially all businesses, including ours, were negatively affected by the previous economic recession and resulting illiquidity and volatility in the credit and commercial real estate markets. Although the commercial real estate and credit markets have improved, such markets remain volatile and it is not possible for us to predict whether these trends will continue in the future or quantify the impact of these or other trends on our financial results. Deterioration in economic trends could have a material adverse effect on our financial performance and our ability to meet our debt obligations.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suffered adverse consequences as a result of our credit ratings.</w:t>
      </w:r>
    </w:p>
    <w:p>
      <w:pPr>
        <w:spacing w:after="0" w:line="27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borrowing costs and our access to the debt capital markets depend significantly on our credit ratings. Our unsecured corporate credit ratings from major national credit rating agencies are currently below investment grade. Having below investment grade credit ratings increases our borrowing costs and caused restrictive covenants in our public debt instruments to become operative. These restrictive covenants are described below in "Covenants in our indebtedness could limit our flexibility and adversely affect our financial condition." These factors have adversely impacted our financial performance and will continue to do so unless our credit ratings improve.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in our indebtedness could limit our flexibility and adversely affect our financial condition.</w:t>
      </w:r>
    </w:p>
    <w:p>
      <w:pPr>
        <w:spacing w:after="0" w:line="27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Our outstanding unsecured debt securities contain corporate level covenants that include a covenant to maintain a ratio of unencumbered assets to unsecured indebtedness of at least 1.2x and a restriction on debt incurrence based upon the effect of the debt incurrence on our fixed charge coverage. If any of our covenants are breached and not cured within applicable cure periods, the breach could result in acceleration of our debt securities unless a waiver or modification is agreed upon with the requisite percentage of the bondholders. While we expect that our ability to incur new indebtedness under the fixed charge coverage ratio will be limited for the foreseeable future, which may put limitations on our ability to make new investments, we will continue to be permitted to incur indebtedness for the purpose of refinancing existing indebtedness and for other permitted purposes under the indentures.</w:t>
      </w:r>
    </w:p>
    <w:p>
      <w:pPr>
        <w:spacing w:after="0" w:line="21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Secured Credit Facilities contain certain covenants, including covenants relating to collateral coverage, dividend payments, restrictions on fundamental changes, transactions with affiliates, matters relating to the liens granted to the lenders and the delivery of information to the lenders. In particular, we are required to maintain collateral coverage of 1.25x outstanding borrowings. In addition, for so long as we maintain our qualification as a REIT, the Secured Credit Facilities permit us to distribute 100% of our REIT taxable income on an annual basis and the February 2013 Secured Credit Facility permits us to distribute up to $200 million of real property assets, or interests therein. We may not pay common dividends if we cease to qualify as a REIT.</w:t>
      </w:r>
    </w:p>
    <w:p>
      <w:pPr>
        <w:spacing w:after="0" w:line="24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Secured Credit Facilities contain cross default provisions that would allow the lenders to declare an event of default and accelerate our indebtedness to them if we fail to pay amounts due in respect of our other recourse indebtedness in excess of specified thresholds or if the lenders under such other indebtedness are otherwise permitted to accelerate such indebtedness for any reason. The indentures governing our unsecured public debt securities permit the bondholders to declare an event of default and accelerate our indebtedness to them if our other recourse indebtedness in excess of specified thresholds is not paid at final maturity or if such indebtedness is accelerated. A default by us on our indebtedness would have a material adverse effect on our business and the market prices of our Common Stock.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significant indebtedness and limitations on our liquidity and ability to raise capital may adversely affect us.</w:t>
      </w:r>
    </w:p>
    <w:p>
      <w:pPr>
        <w:spacing w:after="0" w:line="27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Sufficient liquidity is critical to the management of our balance sheet and our ability to meet our scheduled debt payments. We have relied on secured borrowings, proceeds from issuance of unsecured debt, repayments from our loan assets and proceeds from asset sales to fund our operations and meet our debt maturities, and we expect to continue to rely primarily on these sources of liquidity for the foreseeable future. While we had access to various sources of capital in 2013, our ability to access capital in the future will be subject to a number of factors, many of which are outside of our control, such as conditions prevailing in the</w:t>
      </w:r>
    </w:p>
    <w:p>
      <w:pPr>
        <w:sectPr>
          <w:pgSz w:w="11900" w:h="16838" w:orient="portrait"/>
          <w:cols w:equalWidth="0" w:num="1">
            <w:col w:w="11420"/>
          </w:cols>
          <w:pgMar w:left="240" w:top="118"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18" w:right="239" w:bottom="1440" w:gutter="0" w:footer="0" w:header="0"/>
          <w:type w:val="continuous"/>
        </w:sectPr>
      </w:pPr>
    </w:p>
    <w:bookmarkStart w:id="15" w:name="page16"/>
    <w:bookmarkEnd w:id="15"/>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credit and real estate markets. There can be no assurance that we will have access to liquidity when needed or, on terms that are acceptable to us. We may also encounter difficulty in selling assets or executing capital raising strategies on acceptable terms in a timely manner, which could impact our ability to make scheduled repayments on our outstanding debt. Failure to repay or refinance our borrowings as they come due would be an event of default under the relevant debt instruments, which could result in a cross default and acceleration of our other outstanding debt obligations, all of which would have a material adverse effect on our business and stock price.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utilize derivative instruments to hedge risk, which may adversely affect our borrowing cost and expose us to other risks.</w:t>
      </w:r>
    </w:p>
    <w:p>
      <w:pPr>
        <w:spacing w:after="0" w:line="2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derivative instruments we may use are typically in the form of interest rate swaps, interest rate caps and foreign exchange contracts. Interest rate swaps effectively change variable-rate debt obligations to fixed-rate debt obligations or fixed-rate debt obligations to variable-rate debt obligations. Interest rate caps limit our exposure to rising interest rates. Foreign exchange contracts limit or offset our exposure to changes in currency rates in respect of certain investments denominated in foreign currencies.</w:t>
      </w:r>
    </w:p>
    <w:p>
      <w:pPr>
        <w:spacing w:after="0" w:line="24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use of derivative instruments also involves the risk that a counterparty to a hedging arrangement could default on its obligation and the risk that we may have to pay certain costs, such as transaction fees or breakage costs, if a hedging arrangement is terminated by us. As a matter of policy, we enter into hedging arrangements with counterparties that are large, creditworthy financial institutions typically rated at least "A/A2" by S&amp;P and Moody's, respectively.</w:t>
      </w:r>
    </w:p>
    <w:p>
      <w:pPr>
        <w:spacing w:after="0" w:line="20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Developing an effective strategy for dealing with movements in interest rates and foreign currencies is complex and no strategy can completely insulate us from risks associated with such fluctuations. There can be no assurance that any hedging activities will have the desired beneficial impact on our results of operations or financial condition.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increases in interest rates could have an adverse effect on our operating results.</w:t>
      </w:r>
    </w:p>
    <w:p>
      <w:pPr>
        <w:spacing w:after="0" w:line="27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Our operating results depend in part on the difference between the interest and related income earned on our assets and the interest expense incurred in connection with our interest bearing liabilities. Changes in the general level of interest rates prevailing in the financial markets will affect the spread between our interest earning assets and interest bearing liabilities subject to the impact of interest rate floors and caps, as well as the amounts of floating rate assets and liabilities. Any significant compression of the spreads between interest earning assets and interest bearing liabilities could have a material adverse effect on us. In the event of a significant rising interest rate environment, rates could exceed the interest rate floors that exist on certain of our floating rate debt and create a mismatch between our floating rate loans and our floating rate debt that could have a significant adverse effect on our operating results. In addition, an increase in interest rates could, among other things, reduce the value of our fixed-rate interest bearing assets and our ability to realize gains from the sale of such assets. Interest rates are highly sensitive to many factors, including governmental monetary and tax policies, domestic and international economic and political conditions, and other factors beyond our control.</w:t>
      </w:r>
    </w:p>
    <w:p>
      <w:pPr>
        <w:spacing w:after="0" w:line="2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required to make a number of judgments in applying accounting policies, and different estimates and assumptions could result in changes to our financial condition and results of operations.</w:t>
      </w:r>
    </w:p>
    <w:p>
      <w:pPr>
        <w:spacing w:after="0" w:line="2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Material estimates that are particularly susceptible to significant change underlie our determination of the reserve for loan losses, which is based primarily on the estimated fair value of loan collateral, as well as the valuation of real estate assets and deferred tax assets. While we have identified those accounting policies that are considered critical and have procedures in place to facilitate the associated judgments, different assumptions in the application of these policies could have a material adverse effect on our financial performance and results of operations and actual results may differ materially from our estimates.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reserves for loan losses may prove inadequate, which could have a material adverse effect on our financial results.</w:t>
      </w:r>
    </w:p>
    <w:p>
      <w:pPr>
        <w:spacing w:after="0" w:line="27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maintain loan loss reserves to protect against potential losses. Our general loan loss reserve reflects management's then-current estimation of the probability and severity of losses within our portfolio. In addition, our determination of asset-specific loan loss reserves relies on material estimates regarding the fair value of loan collateral. Estimation of ultimate loan losses, provision expenses and loss reserves is a complex and subjective process. As such, there can be no assurance that management's judgment will prove to be correct and that reserves will be adequate over time to protect against potential future losses. Such losses could be caused by factors including, but not limited to, unanticipated adverse changes in the economy or events adversely affecting specific assets, borrowers, industries in which our borrowers operate or markets in which our borrowers or their properties are located. In particular, during the previous financial crisis, the weak economy and disruption of the credit markets adversely impacted the ability and willingness of many of our borrowers to service their debt and refinance our loans to them at maturity. If our reserves for credit losses prove inadequate we may suffer additional losses which would have a material adverse effect on our financial performance and results of operations.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suffered losses when a borrower defaults on a loan and the underlying collateral value is not sufficient, and we may suffer additional losses in the future.</w:t>
      </w:r>
    </w:p>
    <w:p>
      <w:pPr>
        <w:spacing w:after="0" w:line="22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have suffered losses arising from borrower defaults on our loan assets and we may suffer additional losses in the future. In the event of a default by a borrower on a non-recourse loan, we will only have recourse to the real estate-related assets collateralizing the loan. If the underlying collateral value is less than the loan amount, we will suffer a loss. Conversely, we sometimes make loans that are unsecured or are secured only by equity interests in the borrowing entities. These loans are subject to the risk that other lenders may be directly secured by the real estate assets of the borrower. In the event of a default, those collateralized lenders would have priority over us with respect to the proceeds of a sale of the underlying real estate. In cases described above, we may lack control over the underlying asset collateralizing our loan or the underlying assets of the borrower prior to a default, and as a result the value of the collateral may be reduced by acts or omissions by owners or managers of the assets.</w:t>
      </w:r>
    </w:p>
    <w:p>
      <w:pPr>
        <w:spacing w:after="0" w:line="23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sometimes obtain individual or corporate guarantees from borrowers or their affiliates. In cases where guarantees are not fully or partially secured, we typically rely on financial covenants from borrowers and guarantors which are designed to require the borrower or guarantor to maintain certain levels of creditworthiness. Where we do not have recourse to specific collateral pledged to satisfy such guarantees or recourse loans, or where the value of the collateral proves insufficient, we will only have recourse as an unsecured creditor to the general assets of the borrower or guarantor, some or all of which may be pledged to satisfy other lenders. There can be no assurance that a borrower or guarantor will comply with its financial covenants, or that sufficient assets will be available to pay amounts owed to us under our loans and guarantees. As a result of these factors, we may suffer additional losses which could have a material adverse effect on our financial performance.</w:t>
      </w:r>
    </w:p>
    <w:p>
      <w:pPr>
        <w:spacing w:after="0" w:line="232"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 the event of a borrower bankruptcy, we may not have full recourse to the assets of the borrower in order to satisfy our loan. In addition, certain of our loans are subordinate to other debts of the borrower. If a borrower defaults on our loan or on debt senior to our loan, or in the event of a borrower bankruptcy, our loan will be satisfied only after the senior debt receives payment. Where debt senior to our loan exists, the presence of intercreditor arrangements may limit our ability to amend our loan documents, assign our loans, accept prepayments, exercise our remedies (through "standstill" periods) and control decisions made in bankruptcy proceedings relating to borrowers. Bankruptcy and borrower litigation can significantly increase collection costs and losses and the time necessary to acquire title to the underlying collateral, during which time the collateral may decline in value, causing us to suffer additional losses.</w:t>
      </w:r>
    </w:p>
    <w:p>
      <w:pPr>
        <w:spacing w:after="0" w:line="21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If the value of collateral underlying our loan declines or interest rates increase during the term of our loan, a borrower may not be able to obtain the necessary funds to repay our loan at maturity through refinancing. Decreasing collateral value and/or increasing interest rates may hinder a borrower's ability to refinance our loan because the underlying property cannot satisfy the debt service coverage requirements necessary to obtain new financing. If a borrower is unable to repay our loan at maturity, we could suffer additional loss which may adversely impact our financial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additional risks associated with loan participations.</w:t>
      </w:r>
    </w:p>
    <w:p>
      <w:pPr>
        <w:spacing w:after="0" w:line="27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Some of our loans are participation interests or co-lender arrangements in which we share the rights, obligations and benefits of the loan with other lenders. We may need the consent of these parties to exercise our rights under such loans, including rights with respect to amendment of loan documentation, enforcement proceedings in the event of default and the institution of, and control over, foreclosure proceedings. Similarly, a majority of the participants may be able to take actions to which we object but to which we will be bound if our participation interest represents a minority interest. We may be adversely affected by this lack of full control.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additional risk associated with owning and developing real estate.</w:t>
      </w:r>
    </w:p>
    <w:p>
      <w:pPr>
        <w:spacing w:after="0" w:line="27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have obtained title to a number of assets that previously served as collateral on defaulted loans. These assets are predominantly land and operating properties. These assets expose us to additional risks, including, without limitation:</w:t>
      </w:r>
    </w:p>
    <w:p>
      <w:pPr>
        <w:spacing w:after="0" w:line="89" w:lineRule="exact"/>
        <w:rPr>
          <w:sz w:val="20"/>
          <w:szCs w:val="20"/>
          <w:color w:val="auto"/>
        </w:rPr>
      </w:pPr>
    </w:p>
    <w:p>
      <w:pPr>
        <w:ind w:left="660" w:hanging="328"/>
        <w:spacing w:after="0" w:line="291"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must incur costs to carry these assets and in some cases make repairs to defects in construction, make improvements to, or complete the assets, which requires additional liquidity and results in additional expenses that could exceed our original estimates and impact our operating results.</w:t>
      </w: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Real estate projects are not liquid and, to the extent we need to raise liquidity through asset sales, we may be limited in our ability to sell these assets in a short-time frame.</w:t>
      </w:r>
    </w:p>
    <w:p>
      <w:pPr>
        <w:jc w:val="both"/>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Uncertainty associated with rezoning, obtaining governmental permits and approvals, concerns of community associations, reliance on third party contractors, increasing commodity costs and threatened or pending litigation may materially delay our completion of rehabilitation and development activities and materially increase their cost to us.</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values of our real estate investments are subject to a number of factors outside of our control, including changes in the general economic climate, changes in interest rates and the availability of attractive financing, over-building or decreasing demand in the markets where we own assets, and changes in law and governmental regulations.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residential market has experienced significant downturns that could recur and adversely affect us.</w:t>
      </w:r>
    </w:p>
    <w:p>
      <w:pPr>
        <w:spacing w:after="0" w:line="18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December 31, 2013, we owned land and residential operating properties with a net carrying value of $1.19 billion. In recent years, the housing market in the United States was affected by weakness in the economy, including high unemployment levels and weak consumer confidence. Although the economy has begun to strengthen, it is uncertain whether the recovery is sustainable. It is possible another downturn could occur again in the near future and adversely impact our portfolio.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losses if the creditworthiness of our tenants deteriorates and they are unable to meet their lease obligations.</w:t>
      </w:r>
    </w:p>
    <w:p>
      <w:pPr>
        <w:spacing w:after="0" w:line="185"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We own properties leased to tenants of our real estate assets and receive rents from tenants during the contracted term of such leases. A tenant's ability to pay rent is determined by its creditworthiness, among other factors. If a tenant's credit deteriorates, the tenant may default on its obligations under our lease and may also become bankrupt. The bankruptcy or insolvency of our tenants or other failure to pay is likely to adversely affect the income produced by our real estate assets. If a tenant defaults, we may experience delays and incur substantial costs in enforcing our rights as landlord. If a tenant files for bankruptcy, we may not be able to evict the tenant solely because of such bankruptcy or failure to pay. A court, however, may authorize a tenant to reject and terminate its lease with us. In such a case, our claim against the tenant for unpaid, future rent would be subject to a statutory cap that might be substantially less than the remaining rent owed under the lease. In addition, certain amounts paid to us within 90 days prior to the tenant's bankruptcy filing could be required to be returned to the tenant's bankruptcy estate. In any event, it is highly unlikely that a bankrupt or insolvent tenant would pay in full amounts it owes us under a lease that it intends to reject. In other circumstances, where a tenant's financial condition has become impaired, we may agree to partially or wholly terminate the lease in advance of the termination date in consideration for a lease termination fee that is likely less than the total contractual rental amount. Without regard to the manner in which the lease termination occurs, we are likely to incur additional costs in the form of tenant improvements and leasing commissions in our efforts to lease the space to a new tenant. In any of the foregoing circumstances, our financial performance could be materially adversely affected.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relating to our asset concentration.</w:t>
      </w:r>
    </w:p>
    <w:p>
      <w:pPr>
        <w:spacing w:after="0" w:line="18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Our portfolio consists primarily of real estate and commercial real estate loans which are generally diversified by asset type, obligor, property type and geographic location. However, as of December 31, 2013, approximately 22% of the carrying value of our assets related to land, 15% related to office properties, 14% related to industrial/R&amp;D properties and 11% related to entertainment/leisure properties. All of these property types have been adversely affected by the previous economic recession. In addition, as of December 31, 2013, approximately 21% of the carrying value of our assets related to properties located in the northeastern U.S., 21% related to properties located in the western U.S., 16% related to properties located in the southeastern U.S., 13% related to properties located in the mid-Atlantic region of the U.S. and 13% related to properties located in the southwestern U.S. These regions include areas that were particularly hard hit by the prior downturn in the residential real estate markets. In addition, we have $118.8 million of European assets, which are subject to increased risks due to the economic uncertainty in the Eurozone. We may suffer additional losses on our assets due to these concentrations.</w:t>
      </w:r>
    </w:p>
    <w:p>
      <w:pPr>
        <w:spacing w:after="0" w:line="12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underwrite the credit of prospective borrowers and tenants and often require them to provide some form of credit support such as corporate guarantees, letters of credit and/or cash security deposits. Although our loans and real estate assets are geographically diverse and the borrowers and tenants operate in a variety of industries, to the extent we have a significant concentration of interest or operating lease revenues from any single borrower or customer, the inability of that borrower or tenant to make its payment could have an adverse effect on us. As of December 31, 2013, our five largest borrowers or tenants of net lease assets collectively accounted for approximately 25% of our aggregate annualized interest and operating lease revenue, of which no single customer accounts for more than 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expirations, lease defaults and lease terminations may adversely affect our revenue.</w:t>
      </w:r>
    </w:p>
    <w:p>
      <w:pPr>
        <w:spacing w:after="0" w:line="18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Lease expirations and lease terminations may result in reduced revenues if the lease payments received from replacement tenants are less than the lease payments received from the expiring or terminating corporate tenants. In addition, lease defaults or lease terminations by one or more significant tenants or the failure of tenants under expiring leases to elect to renew their leases could cause us to experience long periods of vacancy with no revenue from a facility and to incur substantial capital expenditures and/or lease concessions in order to obtain replacement tenants. Leases representing approximately 22.5% of our in-place operating lease income are scheduled to expire during the next five years.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compete with a variety of financing and leasing sources for our customers.</w:t>
      </w:r>
    </w:p>
    <w:p>
      <w:pPr>
        <w:spacing w:after="0" w:line="1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financial services industry and commercial real estate markets are highly competitive. Our competitors include finance companies, other REITs, commercial banks and thrift institutions, investment banks and hedge funds. Our competitors seek to compete aggressively on the basis of a number of factors including transaction pricing, terms and structure. We may have difficulty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competing to the extent we are unwilling to match our competitors' deal terms in order to maintain our interest margins and/or credit standards. To the extent that we match competitors' pricing, terms or structure, we may experience decreased interest margins and/or increased risk of credit losses, which could have an adverse effect on our financial performance.</w:t>
      </w:r>
    </w:p>
    <w:p>
      <w:pPr>
        <w:spacing w:after="0" w:line="14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face significant competition within our net leasing business from other owners, operators and developers of properties, many of which own properties similar to ours in markets where we operate. Such competition may affect our ability to attract and retain tenants and reduce the rents we are able to charge. These competing properties may have vacancy rates higher than our properties, which may result in their owners offering lower rental rates than we would or providing greater tenant improvement allowances or other leasing concessions. This combination of circumstances could adversely affect our revenues and financial performance.</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certain risks associated with investing in real estate, including potential liabilities under environmental laws and risks of loss from weather conditions, man-made or natural disasters, climate change and terrorism.</w:t>
      </w:r>
    </w:p>
    <w:p>
      <w:pPr>
        <w:spacing w:after="0" w:line="130"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Under various U.S. federal, state and local environmental laws, ordinances and regulations, a current or previous owner of real estate (including, in certain circumstances, a secured lender that succeeds to ownership or control of a property) may become liable for the costs of removal or remediation of certain hazardous or toxic substances at, on, under or in its property. Those laws typically impose cleanup responsibility and liability without regard to whether the owner or control party knew of or was responsible for the release or presence of such hazardous or toxic substances. The costs of investigation, remediation or removal of those substances may be substantial. The owner or control party of a site may be subject to common law claims by third parties based on damages and costs resulting from environmental contamination emanating from a site. Certain environmental laws also impose liability in connection with the handling of or exposure to asbestos-containing materials, pursuant to which third parties may seek recovery from owners of real properties for personal injuries associated with asbestos-containing materials. While a secured lender is not likely to be subject to these forms of environmental liability, when we foreclose on real property, we become an owner and are subject to the risks of environmental liability. Additionally, under our net lease assets we require our tenants to undertake the obligation for environmental compliance and indemnify us from liability with respect thereto. There can be no assurance that our tenants will have sufficient resources to satisfy their obligations to us.</w:t>
      </w:r>
    </w:p>
    <w:p>
      <w:pPr>
        <w:spacing w:after="0" w:line="142"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7"/>
          <w:szCs w:val="17"/>
          <w:color w:val="auto"/>
        </w:rPr>
        <w:t>Weather conditions and man-made or natural disasters such as hurricanes, tornadoes, earthquakes, floods, droughts, fires and other environmental conditions can damage properties we own. As of December 31, 2013, approximately 24% of the carrying value of our assets was located in the western and northwestern U.S., geographic areas at higher risk for earthquakes. Additionally, we own properties located near the coastline and the value of our properties will potentially be subject to the risks associated with long-term effects of climate change. A significant number of our properties are located in major urban areas which, in recent years, have been high risk geographical areas for terrorism and threats of terrorism. Certain forms of terrorism including, but not limited to, nuclear, biological and chemical terrorism, political risks, environmental hazards and/or Acts of God may be deemed to fall completely outside the general coverage limits of our insurance policies or may be uninsurable or cost prohibitive to justify insuring against. Furthermore, if the U.S. Terrorism Risk Insurance Program Reauthorization Act is not extended or renewed upon its expiration in 2014, the cost for terrorism insurance coverage may increase and/or the terms, conditions, exclusions, retentions, limits and sublimits of such insurance may be materially amended, and may effectively decrease the scope and availability of such insurance to the point where it is effectively unavailable. Future weather conditions, man-made or natural disasters, effects of climate change or acts of terrorism could adversely impact the demand for, and value of, our assets and could also directly impact the value of our assets through damage, destruction or loss, and could thereafter materially impact the availability or cost of insurance to protect against these events. Although we believe our owned real estate and the properties collateralizing our loan assets are adequately covered by insurance, we cannot predict at this time if we or our borrowers will be able to obtain appropriate coverage at a reasonable cost in the future, or if we will be able to continue to pass along all of the costs of insurance to our tenants. Any weather conditions, man-made or natural disasters, terrorist attack or effect of climate change, whether or not insured, could have a material adverse effect on our financial performance, the market price of our Common Stock and our ability to pay dividends. In addition, there is a risk that one or more of our property insurers may not be able to fulfill their obligations with respect to claims payments due to a deterioration in its financial condition.</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From time to time we make investments in companies over which we do not have sole control. Some of these companies operate in industries that differ from our current operations, with different risks than investing in real estate.</w:t>
      </w:r>
    </w:p>
    <w:p>
      <w:pPr>
        <w:spacing w:after="0" w:line="13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From time to time we make debt or equity investments in other companies that we may not control or over which we may not have sole control. Although these businesses generally have a significant real estate component, some of them operate in businesses that are different from our primary business segments. Consequently, investments in these businesses, among other risks, subject us to the operating and financial risks of industries other than real estate and to the risk that we do not have sole control over the operations of these businesses.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From time to time we may make additional investments in or acquire other entities that may subject us to similar risks. Investments in entities over which we do not have sole control, including joint ventures, present additional risks such as having differing objectives than our partners or the entities in which we invest, or becoming involved in disputes, or competing with those persons. In addition, we rely on the internal controls and financial reporting controls of these entities and their failure to maintain effectiveness or comply with applicable standards may adversely affect us.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Declines in the market values of our equity investments may adversely affect periodic reported results.</w:t>
      </w:r>
    </w:p>
    <w:p>
      <w:pPr>
        <w:spacing w:after="0" w:line="18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Most of our equity investments are in funds or companies that are not publicly traded and their fair value may not be readily determinable. We may periodically estimate the fair value of these investments, based upon available information and management's judgment. Because such valuations are inherently uncertain, they may fluctuate over short periods of time. In addition, our determinations regarding the fair value of these investments may be materially higher than the values that we ultimately realize upon their disposal, which could result in losses that have a material adverse effect on our financial performance, the market price of our common stock and our ability to pay dividends.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results may fluctuate and may not be indicative of future quarterly performance.</w:t>
      </w:r>
    </w:p>
    <w:p>
      <w:pPr>
        <w:spacing w:after="0" w:line="18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quarterly operating results could fluctuate; therefore, reliance should not be placed on past quarterly results as indicative of our performance in future quarters. Factors that could cause quarterly operating results to fluctuate include, among others, variations in loan and real estate portfolio performance, levels of non-performing assets and related provisions, market values of investments, costs associated with debt, general economic conditions, the state of the real estate and financial markets and the degree to which we encounter competition in our markets.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retain and attract key personnel is critical to our success.</w:t>
      </w:r>
    </w:p>
    <w:p>
      <w:pPr>
        <w:spacing w:after="0" w:line="18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success depends on our ability to retain our senior management and the other key members of our management team and recruit additional qualified personnel. We rely in part on equity compensation to retain and incentivize our personnel. In addition, if members of our management join competitors or form competing companies, the competition could have a material adverse effect on our business. Efforts to retain or attract professionals may result in additional compensation expense, which could affect our financial performance.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highly dependent on information systems, and systems failures or security breaches could significantly disrupt our business.</w:t>
      </w:r>
    </w:p>
    <w:p>
      <w:pPr>
        <w:spacing w:after="0" w:line="185"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Our business is highly dependent on communications, information, financial and operational systems. Any failure or interruption of our systems, including as a result of a security breach could cause delays or other problems in our business activities, which could have a material adverse effect on our operations and financial performance.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change certain of our policies without stockholder approval.</w:t>
      </w:r>
    </w:p>
    <w:p>
      <w:pPr>
        <w:spacing w:after="0" w:line="1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charter does not set forth specific percentages of the types of investments we may make. We can amend, revise or eliminate our investment financing and conflict of interest policies at any time at our discretion without a vote of our shareholders. A change in these policies could adversely affect our financial condition or results of operations or the market price of our common stock.</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provisions in our charter may inhibit a change in control.</w:t>
      </w:r>
    </w:p>
    <w:p>
      <w:pPr>
        <w:spacing w:after="0" w:line="185" w:lineRule="exact"/>
        <w:rPr>
          <w:sz w:val="20"/>
          <w:szCs w:val="20"/>
          <w:color w:val="auto"/>
        </w:rPr>
      </w:pPr>
    </w:p>
    <w:p>
      <w:pPr>
        <w:jc w:val="both"/>
        <w:ind w:right="20" w:firstLine="432"/>
        <w:spacing w:after="0" w:line="257" w:lineRule="auto"/>
        <w:rPr>
          <w:sz w:val="20"/>
          <w:szCs w:val="20"/>
          <w:color w:val="auto"/>
        </w:rPr>
      </w:pPr>
      <w:r>
        <w:rPr>
          <w:rFonts w:ascii="Arial" w:cs="Arial" w:eastAsia="Arial" w:hAnsi="Arial"/>
          <w:sz w:val="18"/>
          <w:szCs w:val="18"/>
          <w:color w:val="auto"/>
        </w:rPr>
        <w:t>Generally, to maintain our qualification as a REIT under the Code, not more than 50% in value of our outstanding shares of stock may be owned, directly or indirectly, by five or fewer individuals at any time during the last half of our taxable year. The Code defines "individuals" for purposes of the requirement described in the preceding sentence to include some types of entities. Under our charter, no person may own more than 9.8% of our outstanding shares of stock, with some exceptions. The restrictions on transferability and ownership may delay, deter or prevent a change in control or other transaction that might involve a premium price or otherwise be in the best interest of the security holders.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would be subject to adverse consequences if we fail to qualify as a REIT.</w:t>
      </w:r>
    </w:p>
    <w:p>
      <w:pPr>
        <w:spacing w:after="0" w:line="18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believe that we have been organized and operated in a manner so as to qualify for taxation as a REIT for U.S. federal income tax purposes commencing with our taxable year ended December 31, 1998. However, our qualification as a REIT has depended and will continue to depend on our ability to meet various requirements concerning, among other things, the ownership of our outstanding stock, the nature of our assets, the sources of our income and the amount of our distributions to our shareholders.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If we were to fail to qualify as a REIT for any taxable year, we would not be allowed a deduction for distributions to our shareholders in computing our net taxable income and would be subject to U.S. federal income tax, including any applicable alternative minimum tax, or "AMT," on our net taxable income at regular corporate rates, as well as applicable state and local taxes. Unless entitled to relief under certain Code provisions, we would also be disqualified from treatment as a REIT for the four subsequent taxable years following the year during which our REIT qualification was lost. In that case, we may need to borrow money or sell assets to pay taxes. As a result, cash available for distribution would be reduced for each of the years involved. Furthermore, it is possible that future economic, market, legal, tax or other considerations may cause our REIT qualification to be revoked.</w:t>
      </w:r>
    </w:p>
    <w:p>
      <w:pPr>
        <w:spacing w:after="0" w:line="13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Secured Credit Facilities (see Item 8—"Financial Statements and Supplemental Data—Note 8") prohibit us from paying dividends on our common stock if we no longer qualify as a REIT.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qualify as a REIT, we may be forced to borrow funds, sell assets or take other actions during unfavorable market conditions.</w:t>
      </w:r>
    </w:p>
    <w:p>
      <w:pPr>
        <w:spacing w:after="0" w:line="18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To qualify as a REIT, we generally must distribute to our shareholders at least 90% of our net taxable income, excluding net capital gains each year, and we will be subject to U.S. federal income tax, as well as applicable state and local taxes, to the extent that we distribute less than 100% of our net taxable income each year. In addition, we will be subject to a 4% nondeductible excise tax on the amount, if any, by which distributions paid by us in any calendar year are less than the sum of 85% of our ordinary income, 95% of our capital gain net income and 100% of our undistributed income from prior years.</w:t>
      </w:r>
    </w:p>
    <w:p>
      <w:pPr>
        <w:spacing w:after="0" w:line="11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 the event that principal, premium or interest payments with respect to a particular debt instrument that we hold are not made when due, we may nonetheless be required to continue to recognize the unpaid amounts as taxable income. Due to these and other potential timing differences between income recognition or expense deduction and cash receipts or disbursements, there is a significant risk that we may have substantial taxable income in excess of cash available for distribution. In order to qualify as a REIT and avoid the payment of income and excise taxes, we may need to borrow funds or take other actions to meet our REIT distribution requirements for the taxable year in which the "phantom income" is recognized.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the REIT requirements may cause us to forego and/or liquidate otherwise attractive investments.</w:t>
      </w:r>
    </w:p>
    <w:p>
      <w:pPr>
        <w:spacing w:after="0" w:line="18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order to meet the income, asset and distribution tests under the REIT rules, we may be required to take or forego certain actions. For instance, we may not be able to make certain investments and we may have to liquidate other investments. In addition, we may be required to make distributions to shareholders at disadvantageous times or when we do not have funds readily available for distribution. These actions could have the effect of reducing our income and amounts available for distribution to our shareholders.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of our business activities may potentially be subject to the prohibited transaction tax, which could reduce the return on your investment.</w:t>
      </w:r>
    </w:p>
    <w:p>
      <w:pPr>
        <w:spacing w:after="0" w:line="20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For so long as we qualify as a REIT, our ability to dispose of certain properties may be restricted under the REIT rules, which generally impose a 100% penalty tax on any gain recognized on "prohibited transactions," which refers to the disposition of property that is deemed to be inventory or held primarily for sale to customers in the ordinary course of our business, subject to certain exceptions. Whether property is inventory or otherwise held primarily for sale depends on the particular facts and circumstances. The Internal Revenue Code provides a safe harbor that, if met, allows a REIT to avoid being treated as engaged in a prohibited transaction. No assurance can be given that any property that we sell will not be treated as property held for sale to customers, or that we can comply with the safe harbor. The 100% tax does not apply to gains from the sale of foreclosure property or to property that is held through a taxable REIT subsidiary or other taxable corporation, although such income will be subject to tax in the hands of the corporation at regular corporate rates. We intend to structure our activities to avoid prohibited transaction characterization.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activities, including our use of taxable REIT subsidiaries, are subject to taxes that could reduce our cash flows.</w:t>
      </w:r>
    </w:p>
    <w:p>
      <w:pPr>
        <w:spacing w:after="0" w:line="18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Even if we qualify as a REIT for U.S. federal income tax purposes, we will be required to pay some U.S. federal, state, local and non-U.S. taxes on our income and property, including taxes on any undistributed income, taxes on income from certain activities conducted as a result of foreclosures, and property and transfer taxes. We would be required to pay taxes on net taxable income that we fail to distribute to our shareholders. In addition, we may be required to limit certain activities that generate non-qualifying REIT income, such as land development and sales of condominiums, and/or we may be required to conduct such activities through "taxable REIT subsidiaries," and we hold a significant amount of assets in our "taxable REIT subsidiaries," including assets that we have acquired through foreclosure, assets that may be treated as dealer property and other assets that could adversely affect our ability to qualify as a REIT if held directly by us. As a result, we will be required to pay income taxes on the taxable income generated by these assets. There are also limitations on the ability of taxable REIT subsidiaries to make interest payments to</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affiliated REITs. Furthermore, we will be subject to a 100% penalty tax to the extent our economic arrangements with our tenants or our taxable REIT subsidiaries are not comparable to similar arrangements among unrelated parties. We will also be subject to a 100% tax to the extent we derive income from the sale of assets to customers in the ordinary course of business other than through our taxable REIT subsidiaries. To the extent we or our taxable REIT subsidiaries are required to pay U.S. federal, state, local or non-U.S. taxes, we will have less cash available for distribution to our shareholders.</w:t>
      </w:r>
    </w:p>
    <w:p>
      <w:pPr>
        <w:spacing w:after="0" w:line="11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have substantial net operating and net capital loss carry forwards which we use to offset our tax and distribution requirements. In the event that we experience an "ownership change" for purposes of Section 382 of the Internal Revenue Code of 1986, as amended, or the Internal Revenue Code, our ability to use these losses will be limited. An "ownership change" is determined based upon complex rules which track the changes in ownership that occur in our Common Stock for a trailing three year period. We have experienced volatility and significant trading in our Common Stock in recent years. The occurrence of an ownership change is generally beyond our control and, if triggered, may increase our tax and distribution obligations for which we may not have sufficient cash flow.</w:t>
      </w:r>
    </w:p>
    <w:p>
      <w:pPr>
        <w:spacing w:after="0" w:line="15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 failure to comply with the limits on our ownership of and relationship with our taxable REIT subsidiaries would jeopardize our REIT qualification and may result in the application of a 100% excise tax.</w:t>
      </w:r>
    </w:p>
    <w:p>
      <w:pPr>
        <w:spacing w:after="0" w:line="130"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No more than 25% of the value of a REIT's total assets may consist of stock or securities of one or more taxable REIT subsidiaries. This requirement limits the extent to which we can conduct activities through taxable REIT subsidiaries or expand the activities that we conduct through taxable REIT subsidiaries. The values of some of our assets, including assets that we hold through taxable REIT subsidiaries may not be subject to precise determination, and values are subject to change in the future. In addition, we hold certain mortgage and mezzanine loans to one or more of our taxable REIT subsidiaries that are secured by real property. We treat these loans as qualifying assets for purposes of the REIT assets tests to the extent that such mortgage loans are secured by real property and such mezzanine loans are secured by an interest in a limited liability company that holds real property, and pursuant to a private letter ruling we received from the IRS we do not treat such loans as subject to the limitation that securities from taxable REIT subsidiaries must constitute no more than 25% of our total assets. We are entitled to rely upon this private letter ruling only to the extent that we did not misstate or omit a material fact in the ruling request and that we continue to operate in accordance with the material facts described in such request, and no assurance can be given that we will always be able to do so. To the extent that any loan was recharacterized as equity, it would increase the amount of non-real estate securities that we have in our taxable REIT subsidiaries and could adversely affect our ability to meet the 25% limitation described above. If we were not able to exclude such loans to our taxable REIT subsidiaries from the 25% limitation described above, our ability to meet the REIT asset tests and other REIT requirements could be adversely affected. Accordingly, there can be no assurance that we have met or will be able to continue to comply with the taxable REIT subsidiary 25% limitation.</w:t>
      </w:r>
    </w:p>
    <w:p>
      <w:pPr>
        <w:spacing w:after="0" w:line="14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addition, we may from time to time need to make distributions from a taxable REIT subsidiary in order to keep the value of our taxable REIT subsidiaries below 25% of our total assets. However, taxable REIT subsidiary dividends will generally not constitute qualifying income for purposes of the 75% REIT gross income test. While we will monitor our compliance with both this income test and the limitation on the percentage of our total assets represented by taxable REIT subsidiary securities, and intend to conduct our affairs so as to comply with both, the two may at times be in conflict with one another. For example, it is possible that we may wish to distribute a dividend from a taxable REIT subsidiary in order to reduce the value of our taxable REIT subsidiaries below 25% of our assets, but we may be unable to do so without violating the 75% REIT gross income test.</w:t>
      </w:r>
    </w:p>
    <w:p>
      <w:pPr>
        <w:spacing w:after="0" w:line="13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Although there are other measures we can take in such circumstances in order to remain in compliance with the requirements for REIT qualification, there can be no assurance that we will be able to comply with both of these tests in all market conditions.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Dividends payable by REITs do not qualify for the reduced tax rates on dividend income from regular corporations, which could adversely affect the value of our Common Stock.</w:t>
      </w:r>
    </w:p>
    <w:p>
      <w:pPr>
        <w:spacing w:after="0" w:line="130"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maximum U.S. federal income tax rate for certain qualified dividends payable to U.S. shareholders that are individuals, trusts and estates is 20%. Dividends payable by REITs, however, are generally not eligible for the reduced rates and therefore may be subject to a 39.6% maximum U.S. federal income tax rate on ordinary income when paid to such shareholders. Although the reduced U.S. federal income tax rate applicable to dividend income from regular corporate dividends does not adversely affect the taxation of REITs or dividends paid by REITs, the more favorable rates applicable to regular corporate dividends could cause investors who are individuals, trusts and estates to perceive investments in REITs to be relatively less attractive than investments in the stocks of non-REIT corporations that pay dividends, which could adversely affect the value of the shares of REITs, including our Common Stock.</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or regulatory tax changes related to REITs could materially and adversely affect our business.</w:t>
      </w:r>
    </w:p>
    <w:p>
      <w:pPr>
        <w:spacing w:after="0" w:line="18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At any time, the U.S. federal income tax laws or regulations governing REITs or the administrative interpretations of those laws or regulations may be changed, possibly with retroactive effect. We cannot predict if or when any new U.S. federal income tax law, regulation or administrative interpretation, or any amendment to any existing U.S. federal income tax law, regulation or administrative interpretation, will be adopted, promulgated or become effective or whether any such law, regulation or interpretation may take effect retroactively. We and our shareholders could be adversely affected by any such change in, or any new, U.S. federal income tax law, regulation or administrative interpretation.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 Company Act exemption limits our investment discretion and loss of the exemption would adversely affect us.</w:t>
      </w:r>
    </w:p>
    <w:p>
      <w:pPr>
        <w:spacing w:after="0" w:line="18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believe that we currently are not, and we intend to operate our company so that we will not be, regulated as an investment company under the Investment Company Act because we are "primarily engaged in the business of purchasing or otherwise acquiring mortgages and other liens on and interest in real estate." Specifically, we are required to invest at least 55% of our assets in "qualifying real estate assets" (that is, real estate, mortgage loans and other qualifying interests in real estate), and at least an additional 25% of our assets in other "real estate-related assets," such as mezzanine loans and unsecured investments in real estate entities, or additional qualifying real estate assets.</w:t>
      </w:r>
    </w:p>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will need to monitor our assets to ensure that we continue to satisfy the percentage tests. Maintaining our exemption from regulation as an investment company under the Investment Company Act limits our ability to invest in assets that otherwise would meet our investment strategies. If we fail to qualify for this exemption, we could not operate our business efficiently under the regulatory scheme imposed on investment companies under the Investment Company Act, and we could be required to restructure our activities. This would have a material adverse effect on our financial performance and the market price of our securities.</w:t>
      </w:r>
    </w:p>
    <w:p>
      <w:pPr>
        <w:spacing w:after="0" w:line="148"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Actions of the U.S. government, including the U.S. Congress, Federal Reserve, U.S. Treasury and other governmental and regulatory bodies, to stabilize or reform the financial markets, or market responses to those actions, may not achieve the intended effect and may adversely affect our business.</w:t>
      </w:r>
    </w:p>
    <w:p>
      <w:pPr>
        <w:spacing w:after="0" w:line="6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Obama Administration, Congress and regulators have increased their focus on the regulation of the financial industry. New or modified regulations and related regulatory guidance, including under the Dodd-Frank Wall Street Reform Act, or the Dodd-Frank Act, may have unforeseen or unintended adverse effects on the financial industry. Laws, regulations or policies, including accounting standards and interpretations, currently affecting us may change at any time. Regulatory authorities may also change their interpretation of these statutes and regulations. Therefore, our business may also be adversely affected by future changes in laws, regulations, policies or interpretations or regulatory approaches to compliance and enforcement.</w:t>
      </w:r>
    </w:p>
    <w:p>
      <w:pPr>
        <w:spacing w:after="0" w:line="11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addition to the enactment of the Dodd-Frank Act, various legislative bodies have also considered altering the existing framework governing creditors' rights and mortgage products including legislation that would result in or allow loan modifications of various sorts. Such legislation may change the operating environment in substantial and unpredictable ways. We cannot predict whether new legislation will be enacted, and if enacted, the effect that it or any regulations would have on our activities, financial condition, or results of operations.</w:t>
      </w:r>
    </w:p>
    <w:p>
      <w:pPr>
        <w:spacing w:after="0" w:line="2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8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The Company's principal executive and administrative offices are located at 1114 Avenue of the Americas, New York, NY 10036. Its telephone number and web address are (212) 930-9400 and </w:t>
      </w:r>
      <w:r>
        <w:rPr>
          <w:rFonts w:ascii="Arial" w:cs="Arial" w:eastAsia="Arial" w:hAnsi="Arial"/>
          <w:sz w:val="18"/>
          <w:szCs w:val="18"/>
          <w:i w:val="1"/>
          <w:iCs w:val="1"/>
          <w:color w:val="auto"/>
        </w:rPr>
        <w:t>www.istarfinancial.com</w:t>
      </w:r>
      <w:r>
        <w:rPr>
          <w:rFonts w:ascii="Arial" w:cs="Arial" w:eastAsia="Arial" w:hAnsi="Arial"/>
          <w:sz w:val="18"/>
          <w:szCs w:val="18"/>
          <w:color w:val="auto"/>
        </w:rPr>
        <w:t>, respectively. The lease for the Company's principal executive and administrative offices expires in February 2021. The Company's principal regional offices are located in Atlanta, Georgia; Dallas, Texas; Hartford, Connecticut; San Francisco, California and two offices in the Los Angeles, California metropolitan area.</w:t>
      </w:r>
    </w:p>
    <w:p>
      <w:pPr>
        <w:spacing w:after="0" w:line="24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See Item 1—"Net Lease," "Operating Properties" and "Land" for a discussion of properties held by the Company for investment purposes and Item 8 —"Financial Statements and Supplemental Data—Schedule III," for a detailed listing of such facilities.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and/or one or more of its subsidiaries is party to various pending litigation matters that are considered ordinary routine litigation incidental to its business as a finance and investment company focused on the commercial real estate industry, including loan foreclosure and foreclosure related proceedings.</w:t>
      </w:r>
    </w:p>
    <w:p>
      <w:pPr>
        <w:spacing w:after="0" w:line="2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Equity and Related Share Matters</w:t>
      </w:r>
    </w:p>
    <w:p>
      <w:pPr>
        <w:spacing w:after="0" w:line="28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Beginning December 19, 2013, the Company's Common Stock trades on the New York Stock Exchange ("NYSE") under the symbol "STAR." Prior to that date, the Company's Common Stock previously traded under the symbol "SFI." The high and low sales prices per share of Common Stock are set forth below for the periods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2013</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2012</w:t>
            </w:r>
          </w:p>
        </w:tc>
        <w:tc>
          <w:tcPr>
            <w:tcW w:w="86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Quarter Ended</w:t>
            </w: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Low</w:t>
            </w: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7.12</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September 30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12.25</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8.82</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6.39</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5.37</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March 31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11.00</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7.89</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5.43</w:t>
            </w:r>
          </w:p>
        </w:tc>
      </w:tr>
    </w:tbl>
    <w:p>
      <w:pPr>
        <w:spacing w:after="0" w:line="14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On February 21, 2014, the closing sale price of the Common Stock as reported by the NYSE was $15.69. The Company had 2,281 holders of record of Common Stock as of February 21, 2014.</w:t>
      </w:r>
    </w:p>
    <w:p>
      <w:pPr>
        <w:spacing w:after="0" w:line="22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At December 31, 2013, the Company had six series of preferred stock outstanding: 8.000% Series D Preferred Stock, 7.875% Series E Preferred Stock, 7.8% Series F Preferred Stock, 7.65% Series G Preferred Stock, 7.50% Series I Preferred Stock and 4.50% Series J Preferred Stock. Each of the Series D, E, F, G and I preferred stock is listed on the NYSE. The Series J Preferred Stock is not listed on an exchange.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8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Board of Directors has not established any minimum distribution level. In order to maintain its qualification as a REIT, the Company intends to pay dividends to its shareholders that, on an annual basis, will represent at least 90% of its taxable income (which may not necessarily equal net income as calculated in accordance with GAAP), determined without regard to the deduction for dividends paid and excluding any net capital gains. The Company has recorded net operating losses and may record net operating losses in the future, which may reduce its taxable income in future periods and lower or eliminate entirely the Company's obligation to pay dividends for such periods in order to maintain its REIT qualification.</w:t>
      </w:r>
    </w:p>
    <w:p>
      <w:pPr>
        <w:spacing w:after="0" w:line="22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Holders of Common Stock, vested High Performance Units and certain unvested restricted stock units and common share equivalents will be entitled to receive distributions if, as and when the Board of Directors authorizes and declares distributions. However, rights to distributions may be subordinated to the rights of holders of preferred stock, when preferred stock is issued and outstanding. In addition, the Company's Secured Credit Facilities (see Item 8 —"Financial Statements and Supplemental Data—Note 8") permit the Company to distribute 100% of its REIT taxable income on an annual basis, for so long as the Company maintains its qualification as a REIT. The Secured Credit Facilities generally restrict the Company from paying any common dividends if it ceases to qualify as a REIT. In any liquidation, dissolution or winding up of the Company, each outstanding share of Common Stock and HPU share equivalent will entitle its holder to a proportionate share of the assets that remain after the Company pays its liabilities and any preferential distributions owed to preferred shareholders.</w:t>
      </w:r>
    </w:p>
    <w:p>
      <w:pPr>
        <w:spacing w:after="0" w:line="24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did not declare or pay dividends on its Common Stock for the years ended December 31, 2013 and 2012. The Company declared and paid dividends of $8.0 million, $11.0 million, $7.8 million, $6.1 million, and $9.4 million on its Series D, E, F, G, and I preferred stock, respectively, during each of the years ended December 31, 2013 and 2012. During the year ended December 31, 2013, the Company also declared and paid dividends of $6.7 million on its Series J preferred stock, which was issued in March 2013. All of the dividends qualified as return of capital for tax reporting purposes. There are no dividend arrearages on any of the preferred shares currently outstanding.</w:t>
      </w:r>
    </w:p>
    <w:p>
      <w:pPr>
        <w:spacing w:after="0" w:line="24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Distributions to shareholders will generally be taxable as ordinary income, although all or a portion of such distributions may be designated by the Company as capital gain or may constitute a tax-free return of capital. The Company annually furnishes to each of its shareholders a statement setting forth the distributions paid during the preceding year and their characterization as ordinary income, capital gain or return of capital.</w:t>
      </w:r>
    </w:p>
    <w:p>
      <w:pPr>
        <w:spacing w:after="0" w:line="22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No assurance can be given as to the amounts or timing of future distributions, as such distributions are subject to the Company's taxable income after giving effect to its net operating loss carryforwards, financial condition, capital requirements, debt covenants, any change in the Company's intention to maintain its REIT qualification and such other factors as the Company's Board of Directors deems relevant. The Company may elect to satisfy some of its REIT distribution requirements, if any, through qualifying stock dividends.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Equity Compensation Plan Information</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420" w:type="dxa"/>
            <w:vAlign w:val="bottom"/>
          </w:tcPr>
          <w:p>
            <w:pPr>
              <w:spacing w:after="0"/>
              <w:rPr>
                <w:sz w:val="20"/>
                <w:szCs w:val="20"/>
                <w:color w:val="auto"/>
              </w:rPr>
            </w:pPr>
            <w:r>
              <w:rPr>
                <w:rFonts w:ascii="Arial" w:cs="Arial" w:eastAsia="Arial" w:hAnsi="Arial"/>
                <w:sz w:val="14"/>
                <w:szCs w:val="14"/>
                <w:b w:val="1"/>
                <w:bCs w:val="1"/>
                <w:color w:val="auto"/>
              </w:rPr>
              <w:t>Plans Category</w:t>
            </w:r>
          </w:p>
        </w:tc>
        <w:tc>
          <w:tcPr>
            <w:tcW w:w="3520" w:type="dxa"/>
            <w:vAlign w:val="bottom"/>
          </w:tcPr>
          <w:p>
            <w:pPr>
              <w:jc w:val="center"/>
              <w:ind w:left="788"/>
              <w:spacing w:after="0"/>
              <w:rPr>
                <w:sz w:val="20"/>
                <w:szCs w:val="20"/>
                <w:color w:val="auto"/>
              </w:rPr>
            </w:pPr>
            <w:r>
              <w:rPr>
                <w:rFonts w:ascii="Arial" w:cs="Arial" w:eastAsia="Arial" w:hAnsi="Arial"/>
                <w:sz w:val="14"/>
                <w:szCs w:val="14"/>
                <w:b w:val="1"/>
                <w:bCs w:val="1"/>
                <w:color w:val="auto"/>
              </w:rPr>
              <w:t>(a)</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2280" w:type="dxa"/>
            <w:vAlign w:val="bottom"/>
          </w:tcPr>
          <w:p>
            <w:pPr>
              <w:jc w:val="center"/>
              <w:ind w:left="568"/>
              <w:spacing w:after="0"/>
              <w:rPr>
                <w:sz w:val="20"/>
                <w:szCs w:val="20"/>
                <w:color w:val="auto"/>
              </w:rPr>
            </w:pPr>
            <w:r>
              <w:rPr>
                <w:rFonts w:ascii="Arial" w:cs="Arial" w:eastAsia="Arial" w:hAnsi="Arial"/>
                <w:sz w:val="14"/>
                <w:szCs w:val="14"/>
                <w:b w:val="1"/>
                <w:bCs w:val="1"/>
                <w:color w:val="auto"/>
                <w:w w:val="93"/>
              </w:rPr>
              <w:t>(c)</w:t>
            </w:r>
          </w:p>
        </w:tc>
      </w:tr>
      <w:tr>
        <w:trPr>
          <w:trHeight w:val="149"/>
        </w:trPr>
        <w:tc>
          <w:tcPr>
            <w:tcW w:w="2420" w:type="dxa"/>
            <w:vAlign w:val="bottom"/>
          </w:tcPr>
          <w:p>
            <w:pPr>
              <w:spacing w:after="0"/>
              <w:rPr>
                <w:sz w:val="12"/>
                <w:szCs w:val="12"/>
                <w:color w:val="auto"/>
              </w:rPr>
            </w:pPr>
          </w:p>
        </w:tc>
        <w:tc>
          <w:tcPr>
            <w:tcW w:w="3520" w:type="dxa"/>
            <w:vAlign w:val="bottom"/>
          </w:tcPr>
          <w:p>
            <w:pPr>
              <w:jc w:val="center"/>
              <w:ind w:left="768"/>
              <w:spacing w:after="0" w:line="149" w:lineRule="exact"/>
              <w:rPr>
                <w:sz w:val="20"/>
                <w:szCs w:val="20"/>
                <w:color w:val="auto"/>
              </w:rPr>
            </w:pPr>
            <w:r>
              <w:rPr>
                <w:rFonts w:ascii="Arial" w:cs="Arial" w:eastAsia="Arial" w:hAnsi="Arial"/>
                <w:sz w:val="14"/>
                <w:szCs w:val="14"/>
                <w:b w:val="1"/>
                <w:bCs w:val="1"/>
                <w:color w:val="auto"/>
                <w:w w:val="92"/>
              </w:rPr>
              <w:t>Number of securities to</w:t>
            </w: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Weighted-average</w:t>
            </w:r>
          </w:p>
        </w:tc>
        <w:tc>
          <w:tcPr>
            <w:tcW w:w="2280" w:type="dxa"/>
            <w:vAlign w:val="bottom"/>
          </w:tcPr>
          <w:p>
            <w:pPr>
              <w:jc w:val="center"/>
              <w:ind w:left="568"/>
              <w:spacing w:after="0" w:line="149" w:lineRule="exact"/>
              <w:rPr>
                <w:sz w:val="20"/>
                <w:szCs w:val="20"/>
                <w:color w:val="auto"/>
              </w:rPr>
            </w:pPr>
            <w:r>
              <w:rPr>
                <w:rFonts w:ascii="Arial" w:cs="Arial" w:eastAsia="Arial" w:hAnsi="Arial"/>
                <w:sz w:val="14"/>
                <w:szCs w:val="14"/>
                <w:b w:val="1"/>
                <w:bCs w:val="1"/>
                <w:color w:val="auto"/>
                <w:w w:val="91"/>
              </w:rPr>
              <w:t>Number of securities</w:t>
            </w:r>
          </w:p>
        </w:tc>
      </w:tr>
      <w:tr>
        <w:trPr>
          <w:trHeight w:val="149"/>
        </w:trPr>
        <w:tc>
          <w:tcPr>
            <w:tcW w:w="2420" w:type="dxa"/>
            <w:vAlign w:val="bottom"/>
          </w:tcPr>
          <w:p>
            <w:pPr>
              <w:spacing w:after="0"/>
              <w:rPr>
                <w:sz w:val="12"/>
                <w:szCs w:val="12"/>
                <w:color w:val="auto"/>
              </w:rPr>
            </w:pPr>
          </w:p>
        </w:tc>
        <w:tc>
          <w:tcPr>
            <w:tcW w:w="352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87"/>
              </w:rPr>
              <w:t>be issued upon exercise</w:t>
            </w: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280" w:type="dxa"/>
            <w:vAlign w:val="bottom"/>
          </w:tcPr>
          <w:p>
            <w:pPr>
              <w:jc w:val="center"/>
              <w:ind w:left="568"/>
              <w:spacing w:after="0" w:line="149" w:lineRule="exact"/>
              <w:rPr>
                <w:sz w:val="20"/>
                <w:szCs w:val="20"/>
                <w:color w:val="auto"/>
              </w:rPr>
            </w:pPr>
            <w:r>
              <w:rPr>
                <w:rFonts w:ascii="Arial" w:cs="Arial" w:eastAsia="Arial" w:hAnsi="Arial"/>
                <w:sz w:val="14"/>
                <w:szCs w:val="14"/>
                <w:b w:val="1"/>
                <w:bCs w:val="1"/>
                <w:color w:val="auto"/>
                <w:w w:val="94"/>
              </w:rPr>
              <w:t>remaining available for</w:t>
            </w:r>
          </w:p>
        </w:tc>
      </w:tr>
      <w:tr>
        <w:trPr>
          <w:trHeight w:val="149"/>
        </w:trPr>
        <w:tc>
          <w:tcPr>
            <w:tcW w:w="2420" w:type="dxa"/>
            <w:vAlign w:val="bottom"/>
          </w:tcPr>
          <w:p>
            <w:pPr>
              <w:spacing w:after="0"/>
              <w:rPr>
                <w:sz w:val="12"/>
                <w:szCs w:val="12"/>
                <w:color w:val="auto"/>
              </w:rPr>
            </w:pPr>
          </w:p>
        </w:tc>
        <w:tc>
          <w:tcPr>
            <w:tcW w:w="3520" w:type="dxa"/>
            <w:vAlign w:val="bottom"/>
          </w:tcPr>
          <w:p>
            <w:pPr>
              <w:jc w:val="center"/>
              <w:ind w:left="768"/>
              <w:spacing w:after="0" w:line="149" w:lineRule="exact"/>
              <w:rPr>
                <w:sz w:val="20"/>
                <w:szCs w:val="20"/>
                <w:color w:val="auto"/>
              </w:rPr>
            </w:pPr>
            <w:r>
              <w:rPr>
                <w:rFonts w:ascii="Arial" w:cs="Arial" w:eastAsia="Arial" w:hAnsi="Arial"/>
                <w:sz w:val="14"/>
                <w:szCs w:val="14"/>
                <w:b w:val="1"/>
                <w:bCs w:val="1"/>
                <w:color w:val="auto"/>
                <w:w w:val="89"/>
              </w:rPr>
              <w:t>of outstanding options,</w:t>
            </w: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2280" w:type="dxa"/>
            <w:vAlign w:val="bottom"/>
          </w:tcPr>
          <w:p>
            <w:pPr>
              <w:jc w:val="center"/>
              <w:ind w:left="568"/>
              <w:spacing w:after="0" w:line="149" w:lineRule="exact"/>
              <w:rPr>
                <w:sz w:val="20"/>
                <w:szCs w:val="20"/>
                <w:color w:val="auto"/>
              </w:rPr>
            </w:pPr>
            <w:r>
              <w:rPr>
                <w:rFonts w:ascii="Arial" w:cs="Arial" w:eastAsia="Arial" w:hAnsi="Arial"/>
                <w:sz w:val="14"/>
                <w:szCs w:val="14"/>
                <w:b w:val="1"/>
                <w:bCs w:val="1"/>
                <w:color w:val="auto"/>
                <w:w w:val="90"/>
              </w:rPr>
              <w:t>future issuance under</w:t>
            </w:r>
          </w:p>
        </w:tc>
      </w:tr>
      <w:tr>
        <w:trPr>
          <w:trHeight w:val="186"/>
        </w:trPr>
        <w:tc>
          <w:tcPr>
            <w:tcW w:w="2420" w:type="dxa"/>
            <w:vAlign w:val="bottom"/>
          </w:tcPr>
          <w:p>
            <w:pPr>
              <w:spacing w:after="0"/>
              <w:rPr>
                <w:sz w:val="16"/>
                <w:szCs w:val="16"/>
                <w:color w:val="auto"/>
              </w:rPr>
            </w:pPr>
          </w:p>
        </w:tc>
        <w:tc>
          <w:tcPr>
            <w:tcW w:w="3520" w:type="dxa"/>
            <w:vAlign w:val="bottom"/>
          </w:tcPr>
          <w:p>
            <w:pPr>
              <w:jc w:val="center"/>
              <w:ind w:left="788"/>
              <w:spacing w:after="0"/>
              <w:rPr>
                <w:sz w:val="20"/>
                <w:szCs w:val="20"/>
                <w:color w:val="auto"/>
              </w:rPr>
            </w:pPr>
            <w:r>
              <w:rPr>
                <w:rFonts w:ascii="Arial" w:cs="Arial" w:eastAsia="Arial" w:hAnsi="Arial"/>
                <w:sz w:val="14"/>
                <w:szCs w:val="14"/>
                <w:b w:val="1"/>
                <w:bCs w:val="1"/>
                <w:color w:val="auto"/>
                <w:w w:val="93"/>
              </w:rPr>
              <w:t>warrants and rights</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3"/>
              </w:rPr>
              <w:t>warrants and rights</w:t>
            </w:r>
          </w:p>
        </w:tc>
        <w:tc>
          <w:tcPr>
            <w:tcW w:w="2280" w:type="dxa"/>
            <w:vAlign w:val="bottom"/>
          </w:tcPr>
          <w:p>
            <w:pPr>
              <w:jc w:val="center"/>
              <w:ind w:left="568"/>
              <w:spacing w:after="0"/>
              <w:rPr>
                <w:sz w:val="20"/>
                <w:szCs w:val="20"/>
                <w:color w:val="auto"/>
              </w:rPr>
            </w:pPr>
            <w:r>
              <w:rPr>
                <w:rFonts w:ascii="Arial" w:cs="Arial" w:eastAsia="Arial" w:hAnsi="Arial"/>
                <w:sz w:val="14"/>
                <w:szCs w:val="14"/>
                <w:b w:val="1"/>
                <w:bCs w:val="1"/>
                <w:color w:val="auto"/>
                <w:w w:val="90"/>
              </w:rPr>
              <w:t>equity compensation plans</w:t>
            </w:r>
          </w:p>
        </w:tc>
      </w:tr>
    </w:tbl>
    <w:p>
      <w:pPr>
        <w:sectPr>
          <w:pgSz w:w="11900" w:h="16838" w:orient="portrait"/>
          <w:cols w:equalWidth="0" w:num="1">
            <w:col w:w="11420"/>
          </w:cols>
          <w:pgMar w:left="240" w:top="118" w:right="23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w w:val="89"/>
              </w:rPr>
              <w:t>(excluding securities</w:t>
            </w:r>
          </w:p>
        </w:tc>
      </w:tr>
      <w:tr>
        <w:trPr>
          <w:trHeight w:val="192"/>
        </w:trPr>
        <w:tc>
          <w:tcPr>
            <w:tcW w:w="32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reflected in column (a))</w:t>
            </w:r>
          </w:p>
        </w:tc>
      </w:tr>
      <w:tr>
        <w:trPr>
          <w:trHeight w:val="228"/>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w:t>
            </w:r>
          </w:p>
        </w:tc>
        <w:tc>
          <w:tcPr>
            <w:tcW w:w="2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r>
      <w:tr>
        <w:trPr>
          <w:trHeight w:val="23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security holders-restricted stock awards(1)</w:t>
            </w:r>
          </w:p>
        </w:tc>
        <w:tc>
          <w:tcPr>
            <w:tcW w:w="2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3,146,302</w:t>
            </w:r>
          </w:p>
        </w:tc>
        <w:tc>
          <w:tcPr>
            <w:tcW w:w="12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N/A</w:t>
            </w:r>
          </w:p>
        </w:tc>
        <w:tc>
          <w:tcPr>
            <w:tcW w:w="29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3,984,373</w:t>
            </w:r>
          </w:p>
        </w:tc>
      </w:tr>
      <w:tr>
        <w:trPr>
          <w:trHeight w:val="27"/>
        </w:trPr>
        <w:tc>
          <w:tcPr>
            <w:tcW w:w="3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660" w:hanging="652"/>
        <w:spacing w:after="0" w:line="291" w:lineRule="auto"/>
        <w:tabs>
          <w:tab w:leader="none" w:pos="6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Restricted Stock—The amount shown in column (a) includes 2,779,168 unvested restricted stock units which may vest in the future based on the employees' continued service to the Company. None of these unvested units are included in the Company's outstanding share balance (see Item 8—"Financial Statements and Supplementary Data—Note 12" for a more detailed description of the Company's restricted stock grants). Substantially all of the restricted stock units included in column (a) are required to be settled on a net, after-tax basis (after deducting shares for minimum required statutory withholdings); therefore, the actual number of shares issued will be less than the gross amount of the awards. The amounts shown in column (a) also includes 367,134 of common stock equivalents and restricted stock awarded to our non-employee directors in consideration of their service to the Company as directors. Common stock equivalents represent rights to receive shares of Common Stock at the date the common stock equivalents are settled. Common stock equivalents have dividend equivalent rights beginning on the date of grant. The amount in column (c) represents the aggregate amount of stock options, shares of restricted stock awards or other performance awards that could be granted under compensation plans approved by the Company's security holders after giving effect to previously issued awards of stock options, shares of restricted stock and other performance awards (see Item 8—"Financial Statements and Supplementary Data—Note 12" for a more detailed description of the Company's Long-Term Incentive Plans).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04"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83"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following table sets forth selected financial data on a consolidated historical basis for the Company. This information should be read in conjunction with the discussions set forth in Item 7—"Management's Discussion and Analysis of Financial Condition and Results of Operations." Certain prior year amounts have been reclassified to conform to the 2013 presentation as set forth in Item 8—"Financial Statements and Supplementary Data—Note 2."</w:t>
      </w:r>
    </w:p>
    <w:p>
      <w:pPr>
        <w:spacing w:after="0" w:line="200" w:lineRule="exact"/>
        <w:rPr>
          <w:sz w:val="20"/>
          <w:szCs w:val="20"/>
          <w:color w:val="auto"/>
        </w:rPr>
      </w:pPr>
    </w:p>
    <w:p>
      <w:pPr>
        <w:spacing w:after="0" w:line="222"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center"/>
              <w:ind w:left="548"/>
              <w:spacing w:after="0"/>
              <w:rPr>
                <w:sz w:val="20"/>
                <w:szCs w:val="20"/>
                <w:color w:val="auto"/>
              </w:rPr>
            </w:pPr>
            <w:r>
              <w:rPr>
                <w:rFonts w:ascii="Arial" w:cs="Arial" w:eastAsia="Arial" w:hAnsi="Arial"/>
                <w:sz w:val="14"/>
                <w:szCs w:val="14"/>
                <w:b w:val="1"/>
                <w:bCs w:val="1"/>
                <w:color w:val="auto"/>
                <w:w w:val="92"/>
              </w:rPr>
              <w:t>For the Years Ended December 31,</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50"/>
        </w:trPr>
        <w:tc>
          <w:tcPr>
            <w:tcW w:w="4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60" w:type="dxa"/>
            <w:vAlign w:val="bottom"/>
            <w:gridSpan w:val="8"/>
          </w:tcPr>
          <w:p>
            <w:pPr>
              <w:jc w:val="center"/>
              <w:ind w:right="440"/>
              <w:spacing w:after="0"/>
              <w:rPr>
                <w:sz w:val="20"/>
                <w:szCs w:val="20"/>
                <w:color w:val="auto"/>
              </w:rPr>
            </w:pPr>
            <w:r>
              <w:rPr>
                <w:rFonts w:ascii="Arial" w:cs="Arial" w:eastAsia="Arial" w:hAnsi="Arial"/>
                <w:sz w:val="14"/>
                <w:szCs w:val="14"/>
                <w:b w:val="1"/>
                <w:bCs w:val="1"/>
                <w:color w:val="auto"/>
                <w:w w:val="92"/>
              </w:rPr>
              <w:t>(In thousands, except per share data and ratios)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DATA:</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80" w:type="dxa"/>
            <w:vAlign w:val="bottom"/>
          </w:tcPr>
          <w:p>
            <w:pPr>
              <w:ind w:left="20"/>
              <w:spacing w:after="0"/>
              <w:rPr>
                <w:sz w:val="20"/>
                <w:szCs w:val="20"/>
                <w:color w:val="auto"/>
              </w:rPr>
            </w:pPr>
            <w:r>
              <w:rPr>
                <w:rFonts w:ascii="Arial" w:cs="Arial" w:eastAsia="Arial" w:hAnsi="Arial"/>
                <w:sz w:val="14"/>
                <w:szCs w:val="14"/>
                <w:color w:val="auto"/>
              </w:rPr>
              <w:t>Operating lease income</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234,567</w:t>
            </w:r>
          </w:p>
        </w:tc>
        <w:tc>
          <w:tcPr>
            <w:tcW w:w="120" w:type="dxa"/>
            <w:vAlign w:val="bottom"/>
          </w:tcPr>
          <w:p>
            <w:pPr>
              <w:spacing w:after="0"/>
              <w:rPr>
                <w:sz w:val="22"/>
                <w:szCs w:val="22"/>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216,291</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195,872</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183,443</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183,207</w:t>
            </w:r>
          </w:p>
        </w:tc>
        <w:tc>
          <w:tcPr>
            <w:tcW w:w="0" w:type="dxa"/>
            <w:vAlign w:val="bottom"/>
          </w:tcPr>
          <w:p>
            <w:pPr>
              <w:spacing w:after="0"/>
              <w:rPr>
                <w:sz w:val="1"/>
                <w:szCs w:val="1"/>
                <w:color w:val="auto"/>
              </w:rPr>
            </w:pPr>
          </w:p>
        </w:tc>
      </w:tr>
      <w:tr>
        <w:trPr>
          <w:trHeight w:val="276"/>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108,015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133,410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226,871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364,094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557,809</w:t>
            </w:r>
          </w:p>
        </w:tc>
        <w:tc>
          <w:tcPr>
            <w:tcW w:w="0" w:type="dxa"/>
            <w:vAlign w:val="bottom"/>
          </w:tcPr>
          <w:p>
            <w:pPr>
              <w:spacing w:after="0"/>
              <w:rPr>
                <w:sz w:val="1"/>
                <w:szCs w:val="1"/>
                <w:color w:val="auto"/>
              </w:rPr>
            </w:pPr>
          </w:p>
        </w:tc>
      </w:tr>
      <w:tr>
        <w:trPr>
          <w:trHeight w:val="264"/>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48,208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47,838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39,722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51,069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32,343</w:t>
            </w:r>
          </w:p>
        </w:tc>
        <w:tc>
          <w:tcPr>
            <w:tcW w:w="0" w:type="dxa"/>
            <w:vAlign w:val="bottom"/>
          </w:tcPr>
          <w:p>
            <w:pPr>
              <w:spacing w:after="0"/>
              <w:rPr>
                <w:sz w:val="1"/>
                <w:szCs w:val="1"/>
                <w:color w:val="auto"/>
              </w:rPr>
            </w:pPr>
          </w:p>
        </w:tc>
      </w:tr>
      <w:tr>
        <w:trPr>
          <w:trHeight w:val="250"/>
        </w:trPr>
        <w:tc>
          <w:tcPr>
            <w:tcW w:w="4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revenue</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390,790</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397,539</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462,465</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598,606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773,359</w:t>
            </w:r>
          </w:p>
        </w:tc>
        <w:tc>
          <w:tcPr>
            <w:tcW w:w="0" w:type="dxa"/>
            <w:vAlign w:val="bottom"/>
          </w:tcPr>
          <w:p>
            <w:pPr>
              <w:spacing w:after="0"/>
              <w:rPr>
                <w:sz w:val="1"/>
                <w:szCs w:val="1"/>
                <w:color w:val="auto"/>
              </w:rPr>
            </w:pPr>
          </w:p>
        </w:tc>
      </w:tr>
      <w:tr>
        <w:trPr>
          <w:trHeight w:val="250"/>
        </w:trPr>
        <w:tc>
          <w:tcPr>
            <w:tcW w:w="40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266,225</w:t>
            </w:r>
          </w:p>
        </w:tc>
        <w:tc>
          <w:tcPr>
            <w:tcW w:w="120" w:type="dxa"/>
            <w:vAlign w:val="bottom"/>
          </w:tcPr>
          <w:p>
            <w:pPr>
              <w:spacing w:after="0"/>
              <w:rPr>
                <w:sz w:val="21"/>
                <w:szCs w:val="21"/>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355,097</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342,186</w:t>
            </w:r>
          </w:p>
        </w:tc>
        <w:tc>
          <w:tcPr>
            <w:tcW w:w="100" w:type="dxa"/>
            <w:vAlign w:val="bottom"/>
          </w:tcPr>
          <w:p>
            <w:pPr>
              <w:spacing w:after="0"/>
              <w:rPr>
                <w:sz w:val="21"/>
                <w:szCs w:val="21"/>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313,766</w:t>
            </w:r>
          </w:p>
        </w:tc>
        <w:tc>
          <w:tcPr>
            <w:tcW w:w="10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411,790</w:t>
            </w:r>
          </w:p>
        </w:tc>
        <w:tc>
          <w:tcPr>
            <w:tcW w:w="0" w:type="dxa"/>
            <w:vAlign w:val="bottom"/>
          </w:tcPr>
          <w:p>
            <w:pPr>
              <w:spacing w:after="0"/>
              <w:rPr>
                <w:sz w:val="1"/>
                <w:szCs w:val="1"/>
                <w:color w:val="auto"/>
              </w:rPr>
            </w:pPr>
          </w:p>
        </w:tc>
      </w:tr>
      <w:tr>
        <w:trPr>
          <w:trHeight w:val="276"/>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Real estate expense</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157,441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151,458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138,714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121,036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81,421</w:t>
            </w:r>
          </w:p>
        </w:tc>
        <w:tc>
          <w:tcPr>
            <w:tcW w:w="0" w:type="dxa"/>
            <w:vAlign w:val="bottom"/>
          </w:tcPr>
          <w:p>
            <w:pPr>
              <w:spacing w:after="0"/>
              <w:rPr>
                <w:sz w:val="1"/>
                <w:szCs w:val="1"/>
                <w:color w:val="auto"/>
              </w:rPr>
            </w:pPr>
          </w:p>
        </w:tc>
      </w:tr>
      <w:tr>
        <w:trPr>
          <w:trHeight w:val="264"/>
        </w:trPr>
        <w:tc>
          <w:tcPr>
            <w:tcW w:w="40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71,266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68,770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58,091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56,668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57,189</w:t>
            </w:r>
          </w:p>
        </w:tc>
        <w:tc>
          <w:tcPr>
            <w:tcW w:w="0" w:type="dxa"/>
            <w:vAlign w:val="bottom"/>
          </w:tcPr>
          <w:p>
            <w:pPr>
              <w:spacing w:after="0"/>
              <w:rPr>
                <w:sz w:val="1"/>
                <w:szCs w:val="1"/>
                <w:color w:val="auto"/>
              </w:rPr>
            </w:pPr>
          </w:p>
        </w:tc>
      </w:tr>
      <w:tr>
        <w:trPr>
          <w:trHeight w:val="276"/>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92,114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80,856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105,039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109,526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124,152</w:t>
            </w:r>
          </w:p>
        </w:tc>
        <w:tc>
          <w:tcPr>
            <w:tcW w:w="0" w:type="dxa"/>
            <w:vAlign w:val="bottom"/>
          </w:tcPr>
          <w:p>
            <w:pPr>
              <w:spacing w:after="0"/>
              <w:rPr>
                <w:sz w:val="1"/>
                <w:szCs w:val="1"/>
                <w:color w:val="auto"/>
              </w:rPr>
            </w:pPr>
          </w:p>
        </w:tc>
      </w:tr>
      <w:tr>
        <w:trPr>
          <w:trHeight w:val="264"/>
        </w:trPr>
        <w:tc>
          <w:tcPr>
            <w:tcW w:w="4080" w:type="dxa"/>
            <w:vAlign w:val="bottom"/>
          </w:tcPr>
          <w:p>
            <w:pPr>
              <w:ind w:left="20"/>
              <w:spacing w:after="0"/>
              <w:rPr>
                <w:sz w:val="20"/>
                <w:szCs w:val="20"/>
                <w:color w:val="auto"/>
              </w:rPr>
            </w:pPr>
            <w:r>
              <w:rPr>
                <w:rFonts w:ascii="Arial" w:cs="Arial" w:eastAsia="Arial" w:hAnsi="Arial"/>
                <w:sz w:val="14"/>
                <w:szCs w:val="14"/>
                <w:color w:val="auto"/>
              </w:rPr>
              <w:t>Provision for loan losses</w:t>
            </w:r>
          </w:p>
        </w:tc>
        <w:tc>
          <w:tcPr>
            <w:tcW w:w="30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5,489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81,740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46,412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331,487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1,255,357</w:t>
            </w:r>
          </w:p>
        </w:tc>
        <w:tc>
          <w:tcPr>
            <w:tcW w:w="0" w:type="dxa"/>
            <w:vAlign w:val="bottom"/>
          </w:tcPr>
          <w:p>
            <w:pPr>
              <w:spacing w:after="0"/>
              <w:rPr>
                <w:sz w:val="1"/>
                <w:szCs w:val="1"/>
                <w:color w:val="auto"/>
              </w:rPr>
            </w:pPr>
          </w:p>
        </w:tc>
      </w:tr>
      <w:tr>
        <w:trPr>
          <w:trHeight w:val="276"/>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Impairment of assets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12,589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13,778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13,239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12,809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114,117</w:t>
            </w:r>
          </w:p>
        </w:tc>
        <w:tc>
          <w:tcPr>
            <w:tcW w:w="0" w:type="dxa"/>
            <w:vAlign w:val="bottom"/>
          </w:tcPr>
          <w:p>
            <w:pPr>
              <w:spacing w:after="0"/>
              <w:rPr>
                <w:sz w:val="1"/>
                <w:szCs w:val="1"/>
                <w:color w:val="auto"/>
              </w:rPr>
            </w:pPr>
          </w:p>
        </w:tc>
      </w:tr>
      <w:tr>
        <w:trPr>
          <w:trHeight w:val="264"/>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8,050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17,266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11,070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16,055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62,329</w:t>
            </w:r>
          </w:p>
        </w:tc>
        <w:tc>
          <w:tcPr>
            <w:tcW w:w="0" w:type="dxa"/>
            <w:vAlign w:val="bottom"/>
          </w:tcPr>
          <w:p>
            <w:pPr>
              <w:spacing w:after="0"/>
              <w:rPr>
                <w:sz w:val="1"/>
                <w:szCs w:val="1"/>
                <w:color w:val="auto"/>
              </w:rPr>
            </w:pPr>
          </w:p>
        </w:tc>
      </w:tr>
      <w:tr>
        <w:trPr>
          <w:trHeight w:val="256"/>
        </w:trPr>
        <w:tc>
          <w:tcPr>
            <w:tcW w:w="4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costs and expenses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613,174</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768,965</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714,751</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961,347</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2,106,355</w:t>
            </w:r>
          </w:p>
        </w:tc>
        <w:tc>
          <w:tcPr>
            <w:tcW w:w="0" w:type="dxa"/>
            <w:vAlign w:val="bottom"/>
          </w:tcPr>
          <w:p>
            <w:pPr>
              <w:spacing w:after="0"/>
              <w:rPr>
                <w:sz w:val="1"/>
                <w:szCs w:val="1"/>
                <w:color w:val="auto"/>
              </w:rPr>
            </w:pPr>
          </w:p>
        </w:tc>
      </w:tr>
      <w:tr>
        <w:trPr>
          <w:trHeight w:val="137"/>
        </w:trPr>
        <w:tc>
          <w:tcPr>
            <w:tcW w:w="4080" w:type="dxa"/>
            <w:vAlign w:val="bottom"/>
          </w:tcPr>
          <w:p>
            <w:pPr>
              <w:ind w:left="20"/>
              <w:spacing w:after="0" w:line="137" w:lineRule="exact"/>
              <w:rPr>
                <w:sz w:val="20"/>
                <w:szCs w:val="20"/>
                <w:color w:val="auto"/>
              </w:rPr>
            </w:pPr>
            <w:r>
              <w:rPr>
                <w:rFonts w:ascii="Arial" w:cs="Arial" w:eastAsia="Arial" w:hAnsi="Arial"/>
                <w:sz w:val="14"/>
                <w:szCs w:val="14"/>
                <w:color w:val="auto"/>
                <w:w w:val="97"/>
              </w:rPr>
              <w:t>Income (loss) before earnings from equity method investments and</w:t>
            </w: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80" w:type="dxa"/>
            <w:vAlign w:val="bottom"/>
          </w:tcPr>
          <w:p>
            <w:pPr>
              <w:ind w:left="20"/>
              <w:spacing w:after="0"/>
              <w:rPr>
                <w:sz w:val="20"/>
                <w:szCs w:val="20"/>
                <w:color w:val="auto"/>
              </w:rPr>
            </w:pPr>
            <w:r>
              <w:rPr>
                <w:rFonts w:ascii="Arial" w:cs="Arial" w:eastAsia="Arial" w:hAnsi="Arial"/>
                <w:sz w:val="14"/>
                <w:szCs w:val="14"/>
                <w:color w:val="auto"/>
              </w:rPr>
              <w:t>other items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(222,384)</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(371,426)</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(252,286)</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(362,741)</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(1,332,996)</w:t>
            </w:r>
          </w:p>
        </w:tc>
        <w:tc>
          <w:tcPr>
            <w:tcW w:w="0" w:type="dxa"/>
            <w:vAlign w:val="bottom"/>
          </w:tcPr>
          <w:p>
            <w:pPr>
              <w:spacing w:after="0"/>
              <w:rPr>
                <w:sz w:val="1"/>
                <w:szCs w:val="1"/>
                <w:color w:val="auto"/>
              </w:rPr>
            </w:pPr>
          </w:p>
        </w:tc>
      </w:tr>
      <w:tr>
        <w:trPr>
          <w:trHeight w:val="276"/>
        </w:trPr>
        <w:tc>
          <w:tcPr>
            <w:tcW w:w="4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Gain (loss) on early extinguishment of debt, net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(33,190)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(37,816)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101,466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108,923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547,349</w:t>
            </w:r>
          </w:p>
        </w:tc>
        <w:tc>
          <w:tcPr>
            <w:tcW w:w="0" w:type="dxa"/>
            <w:vAlign w:val="bottom"/>
          </w:tcPr>
          <w:p>
            <w:pPr>
              <w:spacing w:after="0"/>
              <w:rPr>
                <w:sz w:val="1"/>
                <w:szCs w:val="1"/>
                <w:color w:val="auto"/>
              </w:rPr>
            </w:pPr>
          </w:p>
        </w:tc>
      </w:tr>
      <w:tr>
        <w:trPr>
          <w:trHeight w:val="264"/>
        </w:trPr>
        <w:tc>
          <w:tcPr>
            <w:tcW w:w="4080" w:type="dxa"/>
            <w:vAlign w:val="bottom"/>
          </w:tcPr>
          <w:p>
            <w:pPr>
              <w:ind w:left="160"/>
              <w:spacing w:after="0"/>
              <w:rPr>
                <w:sz w:val="20"/>
                <w:szCs w:val="20"/>
                <w:color w:val="auto"/>
              </w:rPr>
            </w:pPr>
            <w:r>
              <w:rPr>
                <w:rFonts w:ascii="Arial" w:cs="Arial" w:eastAsia="Arial" w:hAnsi="Arial"/>
                <w:sz w:val="14"/>
                <w:szCs w:val="14"/>
                <w:color w:val="auto"/>
              </w:rPr>
              <w:t>Earnings from equity method investments</w:t>
            </w:r>
          </w:p>
        </w:tc>
        <w:tc>
          <w:tcPr>
            <w:tcW w:w="30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41,520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103,009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95,091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51,908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5,298</w:t>
            </w:r>
          </w:p>
        </w:tc>
        <w:tc>
          <w:tcPr>
            <w:tcW w:w="0" w:type="dxa"/>
            <w:vAlign w:val="bottom"/>
          </w:tcPr>
          <w:p>
            <w:pPr>
              <w:spacing w:after="0"/>
              <w:rPr>
                <w:sz w:val="1"/>
                <w:szCs w:val="1"/>
                <w:color w:val="auto"/>
              </w:rPr>
            </w:pPr>
          </w:p>
        </w:tc>
      </w:tr>
      <w:tr>
        <w:trPr>
          <w:trHeight w:val="270"/>
        </w:trPr>
        <w:tc>
          <w:tcPr>
            <w:tcW w:w="4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Loss on transfer of interest to unconsolidated subsidiary</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(7,373)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080" w:type="dxa"/>
            <w:vAlign w:val="bottom"/>
          </w:tcPr>
          <w:p>
            <w:pPr>
              <w:ind w:left="20"/>
              <w:spacing w:after="0"/>
              <w:rPr>
                <w:sz w:val="20"/>
                <w:szCs w:val="20"/>
                <w:color w:val="auto"/>
              </w:rPr>
            </w:pPr>
            <w:r>
              <w:rPr>
                <w:rFonts w:ascii="Arial" w:cs="Arial" w:eastAsia="Arial" w:hAnsi="Arial"/>
                <w:sz w:val="14"/>
                <w:szCs w:val="14"/>
                <w:color w:val="auto"/>
              </w:rPr>
              <w:t>Income (loss) from continuing operations before income taxes</w:t>
            </w: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(221,427)</w:t>
            </w:r>
          </w:p>
        </w:tc>
        <w:tc>
          <w:tcPr>
            <w:tcW w:w="120" w:type="dxa"/>
            <w:vAlign w:val="bottom"/>
          </w:tcPr>
          <w:p>
            <w:pPr>
              <w:spacing w:after="0"/>
              <w:rPr>
                <w:sz w:val="21"/>
                <w:szCs w:val="21"/>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(306,233)</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(55,729)</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(201,910)</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(780,349)</w:t>
            </w:r>
          </w:p>
        </w:tc>
        <w:tc>
          <w:tcPr>
            <w:tcW w:w="0" w:type="dxa"/>
            <w:vAlign w:val="bottom"/>
          </w:tcPr>
          <w:p>
            <w:pPr>
              <w:spacing w:after="0"/>
              <w:rPr>
                <w:sz w:val="1"/>
                <w:szCs w:val="1"/>
                <w:color w:val="auto"/>
              </w:rPr>
            </w:pPr>
          </w:p>
        </w:tc>
      </w:tr>
      <w:tr>
        <w:trPr>
          <w:trHeight w:val="270"/>
        </w:trPr>
        <w:tc>
          <w:tcPr>
            <w:tcW w:w="4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Income tax (expense) benefit</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659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(8,445)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4,719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(7,023)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(4,141)</w:t>
            </w:r>
          </w:p>
        </w:tc>
        <w:tc>
          <w:tcPr>
            <w:tcW w:w="0" w:type="dxa"/>
            <w:vAlign w:val="bottom"/>
          </w:tcPr>
          <w:p>
            <w:pPr>
              <w:spacing w:after="0"/>
              <w:rPr>
                <w:sz w:val="1"/>
                <w:szCs w:val="1"/>
                <w:color w:val="auto"/>
              </w:rPr>
            </w:pPr>
          </w:p>
        </w:tc>
      </w:tr>
      <w:tr>
        <w:trPr>
          <w:trHeight w:val="250"/>
        </w:trPr>
        <w:tc>
          <w:tcPr>
            <w:tcW w:w="4080" w:type="dxa"/>
            <w:vAlign w:val="bottom"/>
          </w:tcPr>
          <w:p>
            <w:pPr>
              <w:ind w:left="20"/>
              <w:spacing w:after="0"/>
              <w:rPr>
                <w:sz w:val="20"/>
                <w:szCs w:val="20"/>
                <w:color w:val="auto"/>
              </w:rPr>
            </w:pPr>
            <w:r>
              <w:rPr>
                <w:rFonts w:ascii="Arial" w:cs="Arial" w:eastAsia="Arial" w:hAnsi="Arial"/>
                <w:sz w:val="14"/>
                <w:szCs w:val="14"/>
                <w:color w:val="auto"/>
              </w:rPr>
              <w:t>Income (loss) from continuing operations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(220,768)</w:t>
            </w:r>
          </w:p>
        </w:tc>
        <w:tc>
          <w:tcPr>
            <w:tcW w:w="120" w:type="dxa"/>
            <w:vAlign w:val="bottom"/>
          </w:tcPr>
          <w:p>
            <w:pPr>
              <w:spacing w:after="0"/>
              <w:rPr>
                <w:sz w:val="21"/>
                <w:szCs w:val="21"/>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(314,678)</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(51,010)</w:t>
            </w:r>
          </w:p>
        </w:tc>
        <w:tc>
          <w:tcPr>
            <w:tcW w:w="100" w:type="dxa"/>
            <w:vAlign w:val="bottom"/>
          </w:tcPr>
          <w:p>
            <w:pPr>
              <w:spacing w:after="0"/>
              <w:rPr>
                <w:sz w:val="21"/>
                <w:szCs w:val="21"/>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(208,933)</w:t>
            </w:r>
          </w:p>
        </w:tc>
        <w:tc>
          <w:tcPr>
            <w:tcW w:w="10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(784,490)</w:t>
            </w:r>
          </w:p>
        </w:tc>
        <w:tc>
          <w:tcPr>
            <w:tcW w:w="0" w:type="dxa"/>
            <w:vAlign w:val="bottom"/>
          </w:tcPr>
          <w:p>
            <w:pPr>
              <w:spacing w:after="0"/>
              <w:rPr>
                <w:sz w:val="1"/>
                <w:szCs w:val="1"/>
                <w:color w:val="auto"/>
              </w:rPr>
            </w:pPr>
          </w:p>
        </w:tc>
      </w:tr>
      <w:tr>
        <w:trPr>
          <w:trHeight w:val="276"/>
        </w:trPr>
        <w:tc>
          <w:tcPr>
            <w:tcW w:w="4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Income (loss) from discontinued operations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(17,481)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(5,514)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18,757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2,217</w:t>
            </w:r>
          </w:p>
        </w:tc>
        <w:tc>
          <w:tcPr>
            <w:tcW w:w="0" w:type="dxa"/>
            <w:vAlign w:val="bottom"/>
          </w:tcPr>
          <w:p>
            <w:pPr>
              <w:spacing w:after="0"/>
              <w:rPr>
                <w:sz w:val="1"/>
                <w:szCs w:val="1"/>
                <w:color w:val="auto"/>
              </w:rPr>
            </w:pPr>
          </w:p>
        </w:tc>
      </w:tr>
      <w:tr>
        <w:trPr>
          <w:trHeight w:val="264"/>
        </w:trPr>
        <w:tc>
          <w:tcPr>
            <w:tcW w:w="4080" w:type="dxa"/>
            <w:vAlign w:val="bottom"/>
          </w:tcPr>
          <w:p>
            <w:pPr>
              <w:ind w:left="160"/>
              <w:spacing w:after="0"/>
              <w:rPr>
                <w:sz w:val="20"/>
                <w:szCs w:val="20"/>
                <w:color w:val="auto"/>
              </w:rPr>
            </w:pPr>
            <w:r>
              <w:rPr>
                <w:rFonts w:ascii="Arial" w:cs="Arial" w:eastAsia="Arial" w:hAnsi="Arial"/>
                <w:sz w:val="14"/>
                <w:szCs w:val="14"/>
                <w:color w:val="auto"/>
              </w:rPr>
              <w:t>Gain from discontinued operations</w:t>
            </w:r>
          </w:p>
        </w:tc>
        <w:tc>
          <w:tcPr>
            <w:tcW w:w="30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22,233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27,257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25,110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270,382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12,426</w:t>
            </w:r>
          </w:p>
        </w:tc>
        <w:tc>
          <w:tcPr>
            <w:tcW w:w="0" w:type="dxa"/>
            <w:vAlign w:val="bottom"/>
          </w:tcPr>
          <w:p>
            <w:pPr>
              <w:spacing w:after="0"/>
              <w:rPr>
                <w:sz w:val="1"/>
                <w:szCs w:val="1"/>
                <w:color w:val="auto"/>
              </w:rPr>
            </w:pPr>
          </w:p>
        </w:tc>
      </w:tr>
      <w:tr>
        <w:trPr>
          <w:trHeight w:val="270"/>
        </w:trPr>
        <w:tc>
          <w:tcPr>
            <w:tcW w:w="4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Income from sales of residential property</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86,658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63,472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5,721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0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(111,233)</w:t>
            </w:r>
          </w:p>
        </w:tc>
        <w:tc>
          <w:tcPr>
            <w:tcW w:w="120" w:type="dxa"/>
            <w:vAlign w:val="bottom"/>
          </w:tcPr>
          <w:p>
            <w:pPr>
              <w:spacing w:after="0"/>
              <w:rPr>
                <w:sz w:val="21"/>
                <w:szCs w:val="21"/>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(241,430)</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(25,693)</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80,206</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(769,847)</w:t>
            </w:r>
          </w:p>
        </w:tc>
        <w:tc>
          <w:tcPr>
            <w:tcW w:w="0" w:type="dxa"/>
            <w:vAlign w:val="bottom"/>
          </w:tcPr>
          <w:p>
            <w:pPr>
              <w:spacing w:after="0"/>
              <w:rPr>
                <w:sz w:val="1"/>
                <w:szCs w:val="1"/>
                <w:color w:val="auto"/>
              </w:rPr>
            </w:pPr>
          </w:p>
        </w:tc>
      </w:tr>
      <w:tr>
        <w:trPr>
          <w:trHeight w:val="270"/>
        </w:trPr>
        <w:tc>
          <w:tcPr>
            <w:tcW w:w="4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(income) loss attributable to noncontrolling interests</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1,500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3,629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1,071</w:t>
            </w:r>
          </w:p>
        </w:tc>
        <w:tc>
          <w:tcPr>
            <w:tcW w:w="0" w:type="dxa"/>
            <w:vAlign w:val="bottom"/>
          </w:tcPr>
          <w:p>
            <w:pPr>
              <w:spacing w:after="0"/>
              <w:rPr>
                <w:sz w:val="1"/>
                <w:szCs w:val="1"/>
                <w:color w:val="auto"/>
              </w:rPr>
            </w:pPr>
          </w:p>
        </w:tc>
      </w:tr>
      <w:tr>
        <w:trPr>
          <w:trHeight w:val="250"/>
        </w:trPr>
        <w:tc>
          <w:tcPr>
            <w:tcW w:w="4080" w:type="dxa"/>
            <w:vAlign w:val="bottom"/>
          </w:tcPr>
          <w:p>
            <w:pPr>
              <w:ind w:left="20"/>
              <w:spacing w:after="0"/>
              <w:rPr>
                <w:sz w:val="20"/>
                <w:szCs w:val="20"/>
                <w:color w:val="auto"/>
              </w:rPr>
            </w:pPr>
            <w:r>
              <w:rPr>
                <w:rFonts w:ascii="Arial" w:cs="Arial" w:eastAsia="Arial" w:hAnsi="Arial"/>
                <w:sz w:val="14"/>
                <w:szCs w:val="14"/>
                <w:color w:val="auto"/>
              </w:rPr>
              <w:t>Net income (loss) attributable to iStar Financial Inc.</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(111,951)</w:t>
            </w:r>
          </w:p>
        </w:tc>
        <w:tc>
          <w:tcPr>
            <w:tcW w:w="120" w:type="dxa"/>
            <w:vAlign w:val="bottom"/>
          </w:tcPr>
          <w:p>
            <w:pPr>
              <w:spacing w:after="0"/>
              <w:rPr>
                <w:sz w:val="21"/>
                <w:szCs w:val="21"/>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(239,930)</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(22,064)</w:t>
            </w:r>
          </w:p>
        </w:tc>
        <w:tc>
          <w:tcPr>
            <w:tcW w:w="100" w:type="dxa"/>
            <w:vAlign w:val="bottom"/>
          </w:tcPr>
          <w:p>
            <w:pPr>
              <w:spacing w:after="0"/>
              <w:rPr>
                <w:sz w:val="21"/>
                <w:szCs w:val="21"/>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79,683</w:t>
            </w:r>
          </w:p>
        </w:tc>
        <w:tc>
          <w:tcPr>
            <w:tcW w:w="10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(768,776)</w:t>
            </w:r>
          </w:p>
        </w:tc>
        <w:tc>
          <w:tcPr>
            <w:tcW w:w="0" w:type="dxa"/>
            <w:vAlign w:val="bottom"/>
          </w:tcPr>
          <w:p>
            <w:pPr>
              <w:spacing w:after="0"/>
              <w:rPr>
                <w:sz w:val="1"/>
                <w:szCs w:val="1"/>
                <w:color w:val="auto"/>
              </w:rPr>
            </w:pPr>
          </w:p>
        </w:tc>
      </w:tr>
      <w:tr>
        <w:trPr>
          <w:trHeight w:val="276"/>
        </w:trPr>
        <w:tc>
          <w:tcPr>
            <w:tcW w:w="4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Preferred dividends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(49,020)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(42,320)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(42,320)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(42,320)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(42,320)</w:t>
            </w:r>
          </w:p>
        </w:tc>
        <w:tc>
          <w:tcPr>
            <w:tcW w:w="0" w:type="dxa"/>
            <w:vAlign w:val="bottom"/>
          </w:tcPr>
          <w:p>
            <w:pPr>
              <w:spacing w:after="0"/>
              <w:rPr>
                <w:sz w:val="1"/>
                <w:szCs w:val="1"/>
                <w:color w:val="auto"/>
              </w:rPr>
            </w:pPr>
          </w:p>
        </w:tc>
      </w:tr>
      <w:tr>
        <w:trPr>
          <w:trHeight w:val="157"/>
        </w:trPr>
        <w:tc>
          <w:tcPr>
            <w:tcW w:w="4080" w:type="dxa"/>
            <w:vAlign w:val="bottom"/>
          </w:tcPr>
          <w:p>
            <w:pPr>
              <w:ind w:left="160"/>
              <w:spacing w:after="0" w:line="157" w:lineRule="exact"/>
              <w:rPr>
                <w:sz w:val="20"/>
                <w:szCs w:val="20"/>
                <w:color w:val="auto"/>
              </w:rPr>
            </w:pPr>
            <w:r>
              <w:rPr>
                <w:rFonts w:ascii="Arial" w:cs="Arial" w:eastAsia="Arial" w:hAnsi="Arial"/>
                <w:sz w:val="14"/>
                <w:szCs w:val="14"/>
                <w:color w:val="auto"/>
              </w:rPr>
              <w:t>Net (income) loss allocable to HPU holders and Participating</w:t>
            </w: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Security holders(1)</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5,202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9,253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1,997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22,526</w:t>
            </w:r>
          </w:p>
        </w:tc>
        <w:tc>
          <w:tcPr>
            <w:tcW w:w="0" w:type="dxa"/>
            <w:vAlign w:val="bottom"/>
          </w:tcPr>
          <w:p>
            <w:pPr>
              <w:spacing w:after="0"/>
              <w:rPr>
                <w:sz w:val="1"/>
                <w:szCs w:val="1"/>
                <w:color w:val="auto"/>
              </w:rPr>
            </w:pPr>
          </w:p>
        </w:tc>
      </w:tr>
      <w:tr>
        <w:trPr>
          <w:trHeight w:val="243"/>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allocable to common shareholders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(155,769)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(272,997)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(62,387)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36,279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(788,570)</w:t>
            </w:r>
          </w:p>
        </w:tc>
        <w:tc>
          <w:tcPr>
            <w:tcW w:w="0" w:type="dxa"/>
            <w:vAlign w:val="bottom"/>
          </w:tcPr>
          <w:p>
            <w:pPr>
              <w:spacing w:after="0"/>
              <w:rPr>
                <w:sz w:val="1"/>
                <w:szCs w:val="1"/>
                <w:color w:val="auto"/>
              </w:rPr>
            </w:pPr>
          </w:p>
        </w:tc>
      </w:tr>
      <w:tr>
        <w:trPr>
          <w:trHeight w:val="20"/>
        </w:trPr>
        <w:tc>
          <w:tcPr>
            <w:tcW w:w="4080" w:type="dxa"/>
            <w:vAlign w:val="bottom"/>
            <w:vMerge w:val="restart"/>
          </w:tcPr>
          <w:p>
            <w:pPr>
              <w:ind w:left="20"/>
              <w:spacing w:after="0"/>
              <w:rPr>
                <w:sz w:val="20"/>
                <w:szCs w:val="20"/>
                <w:color w:val="auto"/>
              </w:rPr>
            </w:pPr>
            <w:r>
              <w:rPr>
                <w:rFonts w:ascii="Arial" w:cs="Arial" w:eastAsia="Arial" w:hAnsi="Arial"/>
                <w:sz w:val="14"/>
                <w:szCs w:val="14"/>
                <w:color w:val="auto"/>
              </w:rPr>
              <w:t>Per common share data(2):</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08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9"/>
              </w:rPr>
              <w:t>Income (loss) attributable to iStar Financial Inc. from continuing</w:t>
            </w: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operations: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80" w:type="dxa"/>
            <w:vAlign w:val="bottom"/>
          </w:tcPr>
          <w:p>
            <w:pPr>
              <w:ind w:left="260"/>
              <w:spacing w:after="0"/>
              <w:rPr>
                <w:sz w:val="20"/>
                <w:szCs w:val="20"/>
                <w:color w:val="auto"/>
              </w:rPr>
            </w:pPr>
            <w:r>
              <w:rPr>
                <w:rFonts w:ascii="Arial" w:cs="Arial" w:eastAsia="Arial" w:hAnsi="Arial"/>
                <w:sz w:val="14"/>
                <w:szCs w:val="14"/>
                <w:color w:val="auto"/>
              </w:rPr>
              <w:t>Basic and diluted</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22"/>
                <w:szCs w:val="22"/>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(0.91)</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(8.02)</w:t>
            </w:r>
          </w:p>
        </w:tc>
        <w:tc>
          <w:tcPr>
            <w:tcW w:w="0" w:type="dxa"/>
            <w:vAlign w:val="bottom"/>
          </w:tcPr>
          <w:p>
            <w:pPr>
              <w:spacing w:after="0"/>
              <w:rPr>
                <w:sz w:val="1"/>
                <w:szCs w:val="1"/>
                <w:color w:val="auto"/>
              </w:rPr>
            </w:pPr>
          </w:p>
        </w:tc>
      </w:tr>
      <w:tr>
        <w:trPr>
          <w:trHeight w:val="276"/>
        </w:trPr>
        <w:tc>
          <w:tcPr>
            <w:tcW w:w="4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income (loss) attributable to iStar Financial Inc.:</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80" w:type="dxa"/>
            <w:vAlign w:val="bottom"/>
          </w:tcPr>
          <w:p>
            <w:pPr>
              <w:ind w:left="260"/>
              <w:spacing w:after="0"/>
              <w:rPr>
                <w:sz w:val="20"/>
                <w:szCs w:val="20"/>
                <w:color w:val="auto"/>
              </w:rPr>
            </w:pPr>
            <w:r>
              <w:rPr>
                <w:rFonts w:ascii="Arial" w:cs="Arial" w:eastAsia="Arial" w:hAnsi="Arial"/>
                <w:sz w:val="14"/>
                <w:szCs w:val="14"/>
                <w:color w:val="auto"/>
              </w:rPr>
              <w:t>Basic and diluted</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22"/>
                <w:szCs w:val="22"/>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(0.70)</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0.39</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r>
        <w:trPr>
          <w:trHeight w:val="276"/>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 HPU share data(2):</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080" w:type="dxa"/>
            <w:vAlign w:val="bottom"/>
          </w:tcPr>
          <w:p>
            <w:pPr>
              <w:ind w:left="160"/>
              <w:spacing w:after="0" w:line="157" w:lineRule="exact"/>
              <w:rPr>
                <w:sz w:val="20"/>
                <w:szCs w:val="20"/>
                <w:color w:val="auto"/>
              </w:rPr>
            </w:pPr>
            <w:r>
              <w:rPr>
                <w:rFonts w:ascii="Arial" w:cs="Arial" w:eastAsia="Arial" w:hAnsi="Arial"/>
                <w:sz w:val="14"/>
                <w:szCs w:val="14"/>
                <w:color w:val="auto"/>
                <w:w w:val="99"/>
              </w:rPr>
              <w:t>Income (loss) attributable to iStar Financial Inc. from continuing</w:t>
            </w: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80" w:type="dxa"/>
            <w:vAlign w:val="bottom"/>
          </w:tcPr>
          <w:p>
            <w:pPr>
              <w:ind w:left="160"/>
              <w:spacing w:after="0"/>
              <w:rPr>
                <w:sz w:val="20"/>
                <w:szCs w:val="20"/>
                <w:color w:val="auto"/>
              </w:rPr>
            </w:pPr>
            <w:r>
              <w:rPr>
                <w:rFonts w:ascii="Arial" w:cs="Arial" w:eastAsia="Arial" w:hAnsi="Arial"/>
                <w:sz w:val="14"/>
                <w:szCs w:val="14"/>
                <w:color w:val="auto"/>
              </w:rPr>
              <w:t>operations:</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Basic and diluted</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(396.07)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(638.27)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(173.66)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(497.13)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(1,528.67)</w:t>
            </w:r>
          </w:p>
        </w:tc>
        <w:tc>
          <w:tcPr>
            <w:tcW w:w="0" w:type="dxa"/>
            <w:vAlign w:val="bottom"/>
          </w:tcPr>
          <w:p>
            <w:pPr>
              <w:spacing w:after="0"/>
              <w:rPr>
                <w:sz w:val="1"/>
                <w:szCs w:val="1"/>
                <w:color w:val="auto"/>
              </w:rPr>
            </w:pPr>
          </w:p>
        </w:tc>
      </w:tr>
      <w:tr>
        <w:trPr>
          <w:trHeight w:val="264"/>
        </w:trPr>
        <w:tc>
          <w:tcPr>
            <w:tcW w:w="4080" w:type="dxa"/>
            <w:vAlign w:val="bottom"/>
          </w:tcPr>
          <w:p>
            <w:pPr>
              <w:ind w:left="160"/>
              <w:spacing w:after="0"/>
              <w:rPr>
                <w:sz w:val="20"/>
                <w:szCs w:val="20"/>
                <w:color w:val="auto"/>
              </w:rPr>
            </w:pPr>
            <w:r>
              <w:rPr>
                <w:rFonts w:ascii="Arial" w:cs="Arial" w:eastAsia="Arial" w:hAnsi="Arial"/>
                <w:sz w:val="14"/>
                <w:szCs w:val="14"/>
                <w:color w:val="auto"/>
              </w:rPr>
              <w:t>Net income (loss) attributable to iStar Financial Inc.:</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Basic and diluted</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(346.80)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(616.87)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(133.13)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72.27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(1,501.73)</w:t>
            </w:r>
          </w:p>
        </w:tc>
        <w:tc>
          <w:tcPr>
            <w:tcW w:w="0" w:type="dxa"/>
            <w:vAlign w:val="bottom"/>
          </w:tcPr>
          <w:p>
            <w:pPr>
              <w:spacing w:after="0"/>
              <w:rPr>
                <w:sz w:val="1"/>
                <w:szCs w:val="1"/>
                <w:color w:val="auto"/>
              </w:rPr>
            </w:pPr>
          </w:p>
        </w:tc>
      </w:tr>
      <w:tr>
        <w:trPr>
          <w:trHeight w:val="258"/>
        </w:trPr>
        <w:tc>
          <w:tcPr>
            <w:tcW w:w="4080" w:type="dxa"/>
            <w:vAlign w:val="bottom"/>
          </w:tcPr>
          <w:p>
            <w:pPr>
              <w:ind w:left="20"/>
              <w:spacing w:after="0"/>
              <w:rPr>
                <w:sz w:val="20"/>
                <w:szCs w:val="20"/>
                <w:color w:val="auto"/>
              </w:rPr>
            </w:pPr>
            <w:r>
              <w:rPr>
                <w:rFonts w:ascii="Arial" w:cs="Arial" w:eastAsia="Arial" w:hAnsi="Arial"/>
                <w:sz w:val="14"/>
                <w:szCs w:val="14"/>
                <w:color w:val="auto"/>
              </w:rPr>
              <w:t>Dividends declared per common share</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18" w:right="23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3820" w:type="dxa"/>
            <w:vAlign w:val="bottom"/>
            <w:gridSpan w:val="3"/>
          </w:tcPr>
          <w:p>
            <w:pPr>
              <w:spacing w:after="0"/>
              <w:rPr>
                <w:rFonts w:ascii="Arial" w:cs="Arial" w:eastAsia="Arial" w:hAnsi="Arial"/>
                <w:sz w:val="14"/>
                <w:szCs w:val="14"/>
                <w:b w:val="1"/>
                <w:bCs w:val="1"/>
                <w:color w:val="0000EE"/>
              </w:rPr>
            </w:pPr>
            <w:hyperlink w:anchor="page47">
              <w:r>
                <w:rPr>
                  <w:rFonts w:ascii="Arial" w:cs="Arial" w:eastAsia="Arial" w:hAnsi="Arial"/>
                  <w:sz w:val="14"/>
                  <w:szCs w:val="14"/>
                  <w:b w:val="1"/>
                  <w:bCs w:val="1"/>
                  <w:color w:val="0000EE"/>
                </w:rPr>
                <w:t>Table of Contents</w:t>
              </w:r>
            </w:hyperlink>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649"/>
        </w:trPr>
        <w:tc>
          <w:tcPr>
            <w:tcW w:w="8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For the Years Ended December 31,</w:t>
            </w:r>
          </w:p>
        </w:tc>
        <w:tc>
          <w:tcPr>
            <w:tcW w:w="10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64"/>
        </w:trPr>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2009</w:t>
            </w:r>
          </w:p>
        </w:tc>
        <w:tc>
          <w:tcPr>
            <w:tcW w:w="40" w:type="dxa"/>
            <w:vAlign w:val="bottom"/>
            <w:tcBorders>
              <w:bottom w:val="single" w:sz="8" w:color="auto"/>
            </w:tcBorders>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100" w:type="dxa"/>
            <w:vAlign w:val="bottom"/>
            <w:gridSpan w:val="7"/>
          </w:tcPr>
          <w:p>
            <w:pPr>
              <w:jc w:val="right"/>
              <w:ind w:right="588"/>
              <w:spacing w:after="0"/>
              <w:rPr>
                <w:sz w:val="20"/>
                <w:szCs w:val="20"/>
                <w:color w:val="auto"/>
              </w:rPr>
            </w:pPr>
            <w:r>
              <w:rPr>
                <w:rFonts w:ascii="Arial" w:cs="Arial" w:eastAsia="Arial" w:hAnsi="Arial"/>
                <w:sz w:val="14"/>
                <w:szCs w:val="14"/>
                <w:b w:val="1"/>
                <w:bCs w:val="1"/>
                <w:color w:val="auto"/>
              </w:rPr>
              <w:t>(In thousands, except per share data and ratios)</w:t>
            </w: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6"/>
        </w:trPr>
        <w:tc>
          <w:tcPr>
            <w:tcW w:w="80" w:type="dxa"/>
            <w:vAlign w:val="bottom"/>
            <w:tcBorders>
              <w:right w:val="single" w:sz="8" w:color="CCEEFF"/>
            </w:tcBorders>
          </w:tcPr>
          <w:p>
            <w:pPr>
              <w:spacing w:after="0"/>
              <w:rPr>
                <w:sz w:val="24"/>
                <w:szCs w:val="24"/>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SUPPLEMENTAL DATA:</w:t>
            </w: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64"/>
        </w:trPr>
        <w:tc>
          <w:tcPr>
            <w:tcW w:w="80" w:type="dxa"/>
            <w:vAlign w:val="bottom"/>
          </w:tcPr>
          <w:p>
            <w:pPr>
              <w:spacing w:after="0"/>
              <w:rPr>
                <w:sz w:val="22"/>
                <w:szCs w:val="22"/>
                <w:color w:val="auto"/>
              </w:rPr>
            </w:pPr>
          </w:p>
        </w:tc>
        <w:tc>
          <w:tcPr>
            <w:tcW w:w="3740" w:type="dxa"/>
            <w:vAlign w:val="bottom"/>
            <w:gridSpan w:val="2"/>
          </w:tcPr>
          <w:p>
            <w:pPr>
              <w:spacing w:after="0"/>
              <w:rPr>
                <w:sz w:val="20"/>
                <w:szCs w:val="20"/>
                <w:color w:val="auto"/>
              </w:rPr>
            </w:pPr>
            <w:r>
              <w:rPr>
                <w:rFonts w:ascii="Arial" w:cs="Arial" w:eastAsia="Arial" w:hAnsi="Arial"/>
                <w:sz w:val="14"/>
                <w:szCs w:val="14"/>
                <w:color w:val="auto"/>
              </w:rPr>
              <w:t>Adjusted Income(3)</w:t>
            </w:r>
          </w:p>
        </w:tc>
        <w:tc>
          <w:tcPr>
            <w:tcW w:w="3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28"/>
              <w:spacing w:after="0"/>
              <w:rPr>
                <w:sz w:val="20"/>
                <w:szCs w:val="20"/>
                <w:color w:val="auto"/>
              </w:rPr>
            </w:pPr>
            <w:r>
              <w:rPr>
                <w:rFonts w:ascii="Arial" w:cs="Arial" w:eastAsia="Arial" w:hAnsi="Arial"/>
                <w:sz w:val="14"/>
                <w:szCs w:val="14"/>
                <w:color w:val="auto"/>
              </w:rPr>
              <w:t>(21,677)</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(53,847)</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8"/>
              <w:spacing w:after="0"/>
              <w:rPr>
                <w:sz w:val="20"/>
                <w:szCs w:val="20"/>
                <w:color w:val="auto"/>
              </w:rPr>
            </w:pPr>
            <w:r>
              <w:rPr>
                <w:rFonts w:ascii="Arial" w:cs="Arial" w:eastAsia="Arial" w:hAnsi="Arial"/>
                <w:sz w:val="14"/>
                <w:szCs w:val="14"/>
                <w:color w:val="auto"/>
              </w:rPr>
              <w:t>(3,316)</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360,525</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155,324</w:t>
            </w:r>
          </w:p>
        </w:tc>
        <w:tc>
          <w:tcPr>
            <w:tcW w:w="40" w:type="dxa"/>
            <w:vAlign w:val="bottom"/>
          </w:tcPr>
          <w:p>
            <w:pPr>
              <w:spacing w:after="0"/>
              <w:rPr>
                <w:sz w:val="22"/>
                <w:szCs w:val="22"/>
                <w:color w:val="auto"/>
              </w:rPr>
            </w:pPr>
          </w:p>
        </w:tc>
      </w:tr>
      <w:tr>
        <w:trPr>
          <w:trHeight w:val="276"/>
        </w:trPr>
        <w:tc>
          <w:tcPr>
            <w:tcW w:w="80" w:type="dxa"/>
            <w:vAlign w:val="bottom"/>
            <w:tcBorders>
              <w:right w:val="single" w:sz="8" w:color="CCEEFF"/>
            </w:tcBorders>
          </w:tcPr>
          <w:p>
            <w:pPr>
              <w:spacing w:after="0"/>
              <w:rPr>
                <w:sz w:val="24"/>
                <w:szCs w:val="24"/>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EBITDA(3)</w:t>
            </w: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298,833</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349,754</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376,464</w:t>
            </w:r>
          </w:p>
        </w:tc>
        <w:tc>
          <w:tcPr>
            <w:tcW w:w="3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767,663</w:t>
            </w:r>
          </w:p>
        </w:tc>
        <w:tc>
          <w:tcPr>
            <w:tcW w:w="4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686,267</w:t>
            </w:r>
          </w:p>
        </w:tc>
        <w:tc>
          <w:tcPr>
            <w:tcW w:w="40" w:type="dxa"/>
            <w:vAlign w:val="bottom"/>
            <w:shd w:val="clear" w:color="auto" w:fill="CCEEFF"/>
          </w:tcPr>
          <w:p>
            <w:pPr>
              <w:spacing w:after="0"/>
              <w:rPr>
                <w:sz w:val="24"/>
                <w:szCs w:val="24"/>
                <w:color w:val="auto"/>
              </w:rPr>
            </w:pPr>
          </w:p>
        </w:tc>
      </w:tr>
      <w:tr>
        <w:trPr>
          <w:trHeight w:val="157"/>
        </w:trPr>
        <w:tc>
          <w:tcPr>
            <w:tcW w:w="80" w:type="dxa"/>
            <w:vAlign w:val="bottom"/>
          </w:tcPr>
          <w:p>
            <w:pPr>
              <w:spacing w:after="0"/>
              <w:rPr>
                <w:sz w:val="13"/>
                <w:szCs w:val="13"/>
                <w:color w:val="auto"/>
              </w:rPr>
            </w:pPr>
          </w:p>
        </w:tc>
        <w:tc>
          <w:tcPr>
            <w:tcW w:w="3740" w:type="dxa"/>
            <w:vAlign w:val="bottom"/>
            <w:gridSpan w:val="2"/>
          </w:tcPr>
          <w:p>
            <w:pPr>
              <w:spacing w:after="0" w:line="157" w:lineRule="exact"/>
              <w:rPr>
                <w:sz w:val="20"/>
                <w:szCs w:val="20"/>
                <w:color w:val="auto"/>
              </w:rPr>
            </w:pPr>
            <w:r>
              <w:rPr>
                <w:rFonts w:ascii="Arial" w:cs="Arial" w:eastAsia="Arial" w:hAnsi="Arial"/>
                <w:sz w:val="14"/>
                <w:szCs w:val="14"/>
                <w:color w:val="auto"/>
              </w:rPr>
              <w:t>Ratio of Adjusted EBITDA to interest expense and preferred</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8"/>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4"/>
                <w:szCs w:val="14"/>
                <w:color w:val="auto"/>
              </w:rPr>
              <w:t>dividends(3)</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jc w:val="right"/>
              <w:ind w:right="88"/>
              <w:spacing w:after="0"/>
              <w:rPr>
                <w:sz w:val="20"/>
                <w:szCs w:val="20"/>
                <w:color w:val="auto"/>
              </w:rPr>
            </w:pPr>
            <w:r>
              <w:rPr>
                <w:rFonts w:ascii="Arial" w:cs="Arial" w:eastAsia="Arial" w:hAnsi="Arial"/>
                <w:sz w:val="14"/>
                <w:szCs w:val="14"/>
                <w:color w:val="auto"/>
                <w:w w:val="98"/>
              </w:rPr>
              <w:t>0.9x</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jc w:val="right"/>
              <w:ind w:right="8"/>
              <w:spacing w:after="0"/>
              <w:rPr>
                <w:sz w:val="20"/>
                <w:szCs w:val="20"/>
                <w:color w:val="auto"/>
              </w:rPr>
            </w:pPr>
            <w:r>
              <w:rPr>
                <w:rFonts w:ascii="Arial" w:cs="Arial" w:eastAsia="Arial" w:hAnsi="Arial"/>
                <w:sz w:val="14"/>
                <w:szCs w:val="14"/>
                <w:color w:val="auto"/>
                <w:w w:val="98"/>
              </w:rPr>
              <w:t>0.9x</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jc w:val="right"/>
              <w:ind w:right="68"/>
              <w:spacing w:after="0"/>
              <w:rPr>
                <w:sz w:val="20"/>
                <w:szCs w:val="20"/>
                <w:color w:val="auto"/>
              </w:rPr>
            </w:pPr>
            <w:r>
              <w:rPr>
                <w:rFonts w:ascii="Arial" w:cs="Arial" w:eastAsia="Arial" w:hAnsi="Arial"/>
                <w:sz w:val="14"/>
                <w:szCs w:val="14"/>
                <w:color w:val="auto"/>
                <w:w w:val="90"/>
              </w:rPr>
              <w:t>1.0x</w:t>
            </w:r>
          </w:p>
        </w:tc>
        <w:tc>
          <w:tcPr>
            <w:tcW w:w="36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2.0x</w:t>
            </w:r>
          </w:p>
        </w:tc>
        <w:tc>
          <w:tcPr>
            <w:tcW w:w="4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1.3x</w:t>
            </w:r>
          </w:p>
        </w:tc>
      </w:tr>
      <w:tr>
        <w:trPr>
          <w:trHeight w:val="276"/>
        </w:trPr>
        <w:tc>
          <w:tcPr>
            <w:tcW w:w="80" w:type="dxa"/>
            <w:vAlign w:val="bottom"/>
            <w:tcBorders>
              <w:right w:val="single" w:sz="8" w:color="CCEEFF"/>
            </w:tcBorders>
          </w:tcPr>
          <w:p>
            <w:pPr>
              <w:spacing w:after="0"/>
              <w:rPr>
                <w:sz w:val="24"/>
                <w:szCs w:val="24"/>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Ratio of earnings to fixed charges(4)</w:t>
            </w: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r>
      <w:tr>
        <w:trPr>
          <w:trHeight w:val="264"/>
        </w:trPr>
        <w:tc>
          <w:tcPr>
            <w:tcW w:w="80" w:type="dxa"/>
            <w:vAlign w:val="bottom"/>
          </w:tcPr>
          <w:p>
            <w:pPr>
              <w:spacing w:after="0"/>
              <w:rPr>
                <w:sz w:val="22"/>
                <w:szCs w:val="22"/>
                <w:color w:val="auto"/>
              </w:rPr>
            </w:pPr>
          </w:p>
        </w:tc>
        <w:tc>
          <w:tcPr>
            <w:tcW w:w="3740" w:type="dxa"/>
            <w:vAlign w:val="bottom"/>
            <w:gridSpan w:val="2"/>
          </w:tcPr>
          <w:p>
            <w:pPr>
              <w:spacing w:after="0"/>
              <w:rPr>
                <w:sz w:val="20"/>
                <w:szCs w:val="20"/>
                <w:color w:val="auto"/>
              </w:rPr>
            </w:pPr>
            <w:r>
              <w:rPr>
                <w:rFonts w:ascii="Arial" w:cs="Arial" w:eastAsia="Arial" w:hAnsi="Arial"/>
                <w:sz w:val="14"/>
                <w:szCs w:val="14"/>
                <w:color w:val="auto"/>
                <w:w w:val="98"/>
              </w:rPr>
              <w:t>Ratio of earnings to fixed charges and preferred dividends(4)</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76"/>
        </w:trPr>
        <w:tc>
          <w:tcPr>
            <w:tcW w:w="80" w:type="dxa"/>
            <w:vAlign w:val="bottom"/>
            <w:tcBorders>
              <w:right w:val="single" w:sz="8" w:color="CCEEFF"/>
            </w:tcBorders>
          </w:tcPr>
          <w:p>
            <w:pPr>
              <w:spacing w:after="0"/>
              <w:rPr>
                <w:sz w:val="24"/>
                <w:szCs w:val="24"/>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4"/>
                <w:szCs w:val="14"/>
                <w:color w:val="auto"/>
                <w:w w:val="98"/>
              </w:rPr>
              <w:t>Weighted average common shares outstanding—basic and diluted</w:t>
            </w:r>
          </w:p>
        </w:tc>
        <w:tc>
          <w:tcPr>
            <w:tcW w:w="1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84,990</w:t>
            </w:r>
          </w:p>
        </w:tc>
        <w:tc>
          <w:tcPr>
            <w:tcW w:w="2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83,742</w:t>
            </w:r>
          </w:p>
        </w:tc>
        <w:tc>
          <w:tcPr>
            <w:tcW w:w="3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88,688</w:t>
            </w: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93,244</w:t>
            </w: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100,071</w:t>
            </w:r>
          </w:p>
        </w:tc>
        <w:tc>
          <w:tcPr>
            <w:tcW w:w="40" w:type="dxa"/>
            <w:vAlign w:val="bottom"/>
            <w:shd w:val="clear" w:color="auto" w:fill="CCEEFF"/>
          </w:tcPr>
          <w:p>
            <w:pPr>
              <w:spacing w:after="0"/>
              <w:rPr>
                <w:sz w:val="24"/>
                <w:szCs w:val="24"/>
                <w:color w:val="auto"/>
              </w:rPr>
            </w:pPr>
          </w:p>
        </w:tc>
      </w:tr>
      <w:tr>
        <w:trPr>
          <w:trHeight w:val="264"/>
        </w:trPr>
        <w:tc>
          <w:tcPr>
            <w:tcW w:w="80" w:type="dxa"/>
            <w:vAlign w:val="bottom"/>
          </w:tcPr>
          <w:p>
            <w:pPr>
              <w:spacing w:after="0"/>
              <w:rPr>
                <w:sz w:val="22"/>
                <w:szCs w:val="22"/>
                <w:color w:val="auto"/>
              </w:rPr>
            </w:pPr>
          </w:p>
        </w:tc>
        <w:tc>
          <w:tcPr>
            <w:tcW w:w="3740" w:type="dxa"/>
            <w:vAlign w:val="bottom"/>
            <w:gridSpan w:val="2"/>
          </w:tcPr>
          <w:p>
            <w:pPr>
              <w:spacing w:after="0"/>
              <w:rPr>
                <w:sz w:val="20"/>
                <w:szCs w:val="20"/>
                <w:color w:val="auto"/>
              </w:rPr>
            </w:pPr>
            <w:r>
              <w:rPr>
                <w:rFonts w:ascii="Arial" w:cs="Arial" w:eastAsia="Arial" w:hAnsi="Arial"/>
                <w:sz w:val="14"/>
                <w:szCs w:val="14"/>
                <w:color w:val="auto"/>
                <w:w w:val="95"/>
              </w:rPr>
              <w:t>Weighted average HPU shares outstanding—basic and diluted</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jc w:val="right"/>
              <w:ind w:right="88"/>
              <w:spacing w:after="0"/>
              <w:rPr>
                <w:sz w:val="20"/>
                <w:szCs w:val="20"/>
                <w:color w:val="auto"/>
              </w:rPr>
            </w:pPr>
            <w:r>
              <w:rPr>
                <w:rFonts w:ascii="Arial" w:cs="Arial" w:eastAsia="Arial" w:hAnsi="Arial"/>
                <w:sz w:val="14"/>
                <w:szCs w:val="14"/>
                <w:color w:val="auto"/>
              </w:rPr>
              <w:t>15</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3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400" w:type="dxa"/>
            <w:vAlign w:val="bottom"/>
          </w:tcPr>
          <w:p>
            <w:pPr>
              <w:spacing w:after="0"/>
              <w:rPr>
                <w:sz w:val="22"/>
                <w:szCs w:val="22"/>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40" w:type="dxa"/>
            <w:vAlign w:val="bottom"/>
          </w:tcPr>
          <w:p>
            <w:pPr>
              <w:spacing w:after="0"/>
              <w:rPr>
                <w:sz w:val="22"/>
                <w:szCs w:val="22"/>
                <w:color w:val="auto"/>
              </w:rPr>
            </w:pPr>
          </w:p>
        </w:tc>
      </w:tr>
      <w:tr>
        <w:trPr>
          <w:trHeight w:val="276"/>
        </w:trPr>
        <w:tc>
          <w:tcPr>
            <w:tcW w:w="80" w:type="dxa"/>
            <w:vAlign w:val="bottom"/>
            <w:tcBorders>
              <w:right w:val="single" w:sz="8" w:color="CCEEFF"/>
            </w:tcBorders>
          </w:tcPr>
          <w:p>
            <w:pPr>
              <w:spacing w:after="0"/>
              <w:rPr>
                <w:sz w:val="24"/>
                <w:szCs w:val="24"/>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flows from:</w:t>
            </w: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64"/>
        </w:trPr>
        <w:tc>
          <w:tcPr>
            <w:tcW w:w="80" w:type="dxa"/>
            <w:vAlign w:val="bottom"/>
          </w:tcPr>
          <w:p>
            <w:pPr>
              <w:spacing w:after="0"/>
              <w:rPr>
                <w:sz w:val="22"/>
                <w:szCs w:val="22"/>
                <w:color w:val="auto"/>
              </w:rPr>
            </w:pPr>
          </w:p>
        </w:tc>
        <w:tc>
          <w:tcPr>
            <w:tcW w:w="3740" w:type="dxa"/>
            <w:vAlign w:val="bottom"/>
            <w:gridSpan w:val="2"/>
          </w:tcPr>
          <w:p>
            <w:pPr>
              <w:ind w:left="140"/>
              <w:spacing w:after="0"/>
              <w:rPr>
                <w:sz w:val="20"/>
                <w:szCs w:val="20"/>
                <w:color w:val="auto"/>
              </w:rPr>
            </w:pPr>
            <w:r>
              <w:rPr>
                <w:rFonts w:ascii="Arial" w:cs="Arial" w:eastAsia="Arial" w:hAnsi="Arial"/>
                <w:sz w:val="14"/>
                <w:szCs w:val="14"/>
                <w:color w:val="auto"/>
              </w:rPr>
              <w:t>Operating activities</w:t>
            </w:r>
          </w:p>
        </w:tc>
        <w:tc>
          <w:tcPr>
            <w:tcW w:w="3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28"/>
              <w:spacing w:after="0"/>
              <w:rPr>
                <w:sz w:val="20"/>
                <w:szCs w:val="20"/>
                <w:color w:val="auto"/>
              </w:rPr>
            </w:pPr>
            <w:r>
              <w:rPr>
                <w:rFonts w:ascii="Arial" w:cs="Arial" w:eastAsia="Arial" w:hAnsi="Arial"/>
                <w:sz w:val="14"/>
                <w:szCs w:val="14"/>
                <w:color w:val="auto"/>
              </w:rPr>
              <w:t>(180,465)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(191,932)</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8"/>
              <w:spacing w:after="0"/>
              <w:rPr>
                <w:sz w:val="20"/>
                <w:szCs w:val="20"/>
                <w:color w:val="auto"/>
              </w:rPr>
            </w:pPr>
            <w:r>
              <w:rPr>
                <w:rFonts w:ascii="Arial" w:cs="Arial" w:eastAsia="Arial" w:hAnsi="Arial"/>
                <w:sz w:val="14"/>
                <w:szCs w:val="14"/>
                <w:color w:val="auto"/>
              </w:rPr>
              <w:t>(28,577)</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(45,883)</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77,795</w:t>
            </w:r>
          </w:p>
        </w:tc>
        <w:tc>
          <w:tcPr>
            <w:tcW w:w="40" w:type="dxa"/>
            <w:vAlign w:val="bottom"/>
          </w:tcPr>
          <w:p>
            <w:pPr>
              <w:spacing w:after="0"/>
              <w:rPr>
                <w:sz w:val="22"/>
                <w:szCs w:val="22"/>
                <w:color w:val="auto"/>
              </w:rPr>
            </w:pPr>
          </w:p>
        </w:tc>
      </w:tr>
      <w:tr>
        <w:trPr>
          <w:trHeight w:val="276"/>
        </w:trPr>
        <w:tc>
          <w:tcPr>
            <w:tcW w:w="80" w:type="dxa"/>
            <w:vAlign w:val="bottom"/>
            <w:tcBorders>
              <w:right w:val="single" w:sz="8" w:color="CCEEFF"/>
            </w:tcBorders>
          </w:tcPr>
          <w:p>
            <w:pPr>
              <w:spacing w:after="0"/>
              <w:rPr>
                <w:sz w:val="24"/>
                <w:szCs w:val="24"/>
                <w:color w:val="auto"/>
              </w:rPr>
            </w:pPr>
          </w:p>
        </w:tc>
        <w:tc>
          <w:tcPr>
            <w:tcW w:w="37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Investing activities</w:t>
            </w: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893,447</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1,267,047</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1,461,257</w:t>
            </w:r>
          </w:p>
        </w:tc>
        <w:tc>
          <w:tcPr>
            <w:tcW w:w="3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3,738,823</w:t>
            </w:r>
          </w:p>
        </w:tc>
        <w:tc>
          <w:tcPr>
            <w:tcW w:w="4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724,702</w:t>
            </w:r>
          </w:p>
        </w:tc>
        <w:tc>
          <w:tcPr>
            <w:tcW w:w="40" w:type="dxa"/>
            <w:vAlign w:val="bottom"/>
            <w:shd w:val="clear" w:color="auto" w:fill="CCEEFF"/>
          </w:tcPr>
          <w:p>
            <w:pPr>
              <w:spacing w:after="0"/>
              <w:rPr>
                <w:sz w:val="24"/>
                <w:szCs w:val="24"/>
                <w:color w:val="auto"/>
              </w:rPr>
            </w:pPr>
          </w:p>
        </w:tc>
      </w:tr>
      <w:tr>
        <w:trPr>
          <w:trHeight w:val="258"/>
        </w:trPr>
        <w:tc>
          <w:tcPr>
            <w:tcW w:w="80" w:type="dxa"/>
            <w:vAlign w:val="bottom"/>
          </w:tcPr>
          <w:p>
            <w:pPr>
              <w:spacing w:after="0"/>
              <w:rPr>
                <w:sz w:val="22"/>
                <w:szCs w:val="22"/>
                <w:color w:val="auto"/>
              </w:rPr>
            </w:pPr>
          </w:p>
        </w:tc>
        <w:tc>
          <w:tcPr>
            <w:tcW w:w="3740" w:type="dxa"/>
            <w:vAlign w:val="bottom"/>
            <w:gridSpan w:val="2"/>
          </w:tcPr>
          <w:p>
            <w:pPr>
              <w:ind w:left="140"/>
              <w:spacing w:after="0"/>
              <w:rPr>
                <w:sz w:val="20"/>
                <w:szCs w:val="20"/>
                <w:color w:val="auto"/>
              </w:rPr>
            </w:pPr>
            <w:r>
              <w:rPr>
                <w:rFonts w:ascii="Arial" w:cs="Arial" w:eastAsia="Arial" w:hAnsi="Arial"/>
                <w:sz w:val="14"/>
                <w:szCs w:val="14"/>
                <w:color w:val="auto"/>
              </w:rPr>
              <w:t>Financing activities</w:t>
            </w:r>
          </w:p>
        </w:tc>
        <w:tc>
          <w:tcPr>
            <w:tcW w:w="3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28"/>
              <w:spacing w:after="0"/>
              <w:rPr>
                <w:sz w:val="20"/>
                <w:szCs w:val="20"/>
                <w:color w:val="auto"/>
              </w:rPr>
            </w:pPr>
            <w:r>
              <w:rPr>
                <w:rFonts w:ascii="Arial" w:cs="Arial" w:eastAsia="Arial" w:hAnsi="Arial"/>
                <w:sz w:val="14"/>
                <w:szCs w:val="14"/>
                <w:color w:val="auto"/>
              </w:rPr>
              <w:t>(455,758)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(1,175,597)</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8"/>
              <w:spacing w:after="0"/>
              <w:rPr>
                <w:sz w:val="20"/>
                <w:szCs w:val="20"/>
                <w:color w:val="auto"/>
              </w:rPr>
            </w:pPr>
            <w:r>
              <w:rPr>
                <w:rFonts w:ascii="Arial" w:cs="Arial" w:eastAsia="Arial" w:hAnsi="Arial"/>
                <w:sz w:val="14"/>
                <w:szCs w:val="14"/>
                <w:color w:val="auto"/>
              </w:rPr>
              <w:t>(1,580,719)</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(3,412,707)</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(1,074,402)</w:t>
            </w:r>
          </w:p>
        </w:tc>
        <w:tc>
          <w:tcPr>
            <w:tcW w:w="40" w:type="dxa"/>
            <w:vAlign w:val="bottom"/>
          </w:tcPr>
          <w:p>
            <w:pPr>
              <w:spacing w:after="0"/>
              <w:rPr>
                <w:sz w:val="22"/>
                <w:szCs w:val="22"/>
                <w:color w:val="auto"/>
              </w:rPr>
            </w:pPr>
          </w:p>
        </w:tc>
      </w:tr>
      <w:tr>
        <w:trPr>
          <w:trHeight w:val="573"/>
        </w:trPr>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w w:val="90"/>
              </w:rPr>
              <w:t>As of December 31,</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64"/>
        </w:trPr>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w w:val="96"/>
              </w:rPr>
              <w:t>2010</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6"/>
        </w:trPr>
        <w:tc>
          <w:tcPr>
            <w:tcW w:w="80" w:type="dxa"/>
            <w:vAlign w:val="bottom"/>
          </w:tcPr>
          <w:p>
            <w:pPr>
              <w:spacing w:after="0"/>
              <w:rPr>
                <w:sz w:val="24"/>
                <w:szCs w:val="24"/>
                <w:color w:val="auto"/>
              </w:rPr>
            </w:pPr>
          </w:p>
        </w:tc>
        <w:tc>
          <w:tcPr>
            <w:tcW w:w="37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SHEET DATA:</w:t>
            </w: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r>
      <w:tr>
        <w:trPr>
          <w:trHeight w:val="264"/>
        </w:trPr>
        <w:tc>
          <w:tcPr>
            <w:tcW w:w="80" w:type="dxa"/>
            <w:vAlign w:val="bottom"/>
          </w:tcPr>
          <w:p>
            <w:pPr>
              <w:spacing w:after="0"/>
              <w:rPr>
                <w:sz w:val="22"/>
                <w:szCs w:val="22"/>
                <w:color w:val="auto"/>
              </w:rPr>
            </w:pPr>
          </w:p>
        </w:tc>
        <w:tc>
          <w:tcPr>
            <w:tcW w:w="3740" w:type="dxa"/>
            <w:vAlign w:val="bottom"/>
            <w:gridSpan w:val="2"/>
          </w:tcPr>
          <w:p>
            <w:pPr>
              <w:ind w:left="40"/>
              <w:spacing w:after="0"/>
              <w:rPr>
                <w:sz w:val="20"/>
                <w:szCs w:val="20"/>
                <w:color w:val="auto"/>
              </w:rPr>
            </w:pPr>
            <w:r>
              <w:rPr>
                <w:rFonts w:ascii="Arial" w:cs="Arial" w:eastAsia="Arial" w:hAnsi="Arial"/>
                <w:sz w:val="14"/>
                <w:szCs w:val="14"/>
                <w:color w:val="auto"/>
              </w:rPr>
              <w:t>Real estate, net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2,796,181</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2,739,099</w:t>
            </w: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2,893,482</w:t>
            </w: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2,599,203</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3,302,584</w:t>
            </w:r>
          </w:p>
        </w:tc>
        <w:tc>
          <w:tcPr>
            <w:tcW w:w="40" w:type="dxa"/>
            <w:vAlign w:val="bottom"/>
          </w:tcPr>
          <w:p>
            <w:pPr>
              <w:spacing w:after="0"/>
              <w:rPr>
                <w:sz w:val="22"/>
                <w:szCs w:val="22"/>
                <w:color w:val="auto"/>
              </w:rPr>
            </w:pPr>
          </w:p>
        </w:tc>
      </w:tr>
      <w:tr>
        <w:trPr>
          <w:trHeight w:val="276"/>
        </w:trPr>
        <w:tc>
          <w:tcPr>
            <w:tcW w:w="80" w:type="dxa"/>
            <w:vAlign w:val="bottom"/>
          </w:tcPr>
          <w:p>
            <w:pPr>
              <w:spacing w:after="0"/>
              <w:rPr>
                <w:sz w:val="24"/>
                <w:szCs w:val="24"/>
                <w:color w:val="auto"/>
              </w:rPr>
            </w:pPr>
          </w:p>
        </w:tc>
        <w:tc>
          <w:tcPr>
            <w:tcW w:w="3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Real estate available and held for sale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360,517</w:t>
            </w:r>
          </w:p>
        </w:tc>
        <w:tc>
          <w:tcPr>
            <w:tcW w:w="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635,865</w:t>
            </w:r>
          </w:p>
        </w:tc>
        <w:tc>
          <w:tcPr>
            <w:tcW w:w="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677,458</w:t>
            </w: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746,081</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856,422</w:t>
            </w:r>
          </w:p>
        </w:tc>
        <w:tc>
          <w:tcPr>
            <w:tcW w:w="40" w:type="dxa"/>
            <w:vAlign w:val="bottom"/>
          </w:tcPr>
          <w:p>
            <w:pPr>
              <w:spacing w:after="0"/>
              <w:rPr>
                <w:sz w:val="24"/>
                <w:szCs w:val="24"/>
                <w:color w:val="auto"/>
              </w:rPr>
            </w:pPr>
          </w:p>
        </w:tc>
      </w:tr>
      <w:tr>
        <w:trPr>
          <w:trHeight w:val="264"/>
        </w:trPr>
        <w:tc>
          <w:tcPr>
            <w:tcW w:w="80" w:type="dxa"/>
            <w:vAlign w:val="bottom"/>
          </w:tcPr>
          <w:p>
            <w:pPr>
              <w:spacing w:after="0"/>
              <w:rPr>
                <w:sz w:val="22"/>
                <w:szCs w:val="22"/>
                <w:color w:val="auto"/>
              </w:rPr>
            </w:pPr>
          </w:p>
        </w:tc>
        <w:tc>
          <w:tcPr>
            <w:tcW w:w="3740" w:type="dxa"/>
            <w:vAlign w:val="bottom"/>
            <w:gridSpan w:val="2"/>
          </w:tcPr>
          <w:p>
            <w:pPr>
              <w:ind w:left="40"/>
              <w:spacing w:after="0"/>
              <w:rPr>
                <w:sz w:val="20"/>
                <w:szCs w:val="20"/>
                <w:color w:val="auto"/>
              </w:rPr>
            </w:pPr>
            <w:r>
              <w:rPr>
                <w:rFonts w:ascii="Arial" w:cs="Arial" w:eastAsia="Arial" w:hAnsi="Arial"/>
                <w:sz w:val="14"/>
                <w:szCs w:val="14"/>
                <w:color w:val="auto"/>
              </w:rPr>
              <w:t>Loans receivable and other lending investments, net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1,370,109</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1,829,985</w:t>
            </w: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2,860,762</w:t>
            </w: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4,587,352</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7,661,562</w:t>
            </w:r>
          </w:p>
        </w:tc>
        <w:tc>
          <w:tcPr>
            <w:tcW w:w="40" w:type="dxa"/>
            <w:vAlign w:val="bottom"/>
          </w:tcPr>
          <w:p>
            <w:pPr>
              <w:spacing w:after="0"/>
              <w:rPr>
                <w:sz w:val="22"/>
                <w:szCs w:val="22"/>
                <w:color w:val="auto"/>
              </w:rPr>
            </w:pPr>
          </w:p>
        </w:tc>
      </w:tr>
      <w:tr>
        <w:trPr>
          <w:trHeight w:val="276"/>
        </w:trPr>
        <w:tc>
          <w:tcPr>
            <w:tcW w:w="80" w:type="dxa"/>
            <w:vAlign w:val="bottom"/>
          </w:tcPr>
          <w:p>
            <w:pPr>
              <w:spacing w:after="0"/>
              <w:rPr>
                <w:sz w:val="24"/>
                <w:szCs w:val="24"/>
                <w:color w:val="auto"/>
              </w:rPr>
            </w:pPr>
          </w:p>
        </w:tc>
        <w:tc>
          <w:tcPr>
            <w:tcW w:w="3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5,642,011</w:t>
            </w:r>
          </w:p>
        </w:tc>
        <w:tc>
          <w:tcPr>
            <w:tcW w:w="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6,159,999</w:t>
            </w:r>
          </w:p>
        </w:tc>
        <w:tc>
          <w:tcPr>
            <w:tcW w:w="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7,523,083</w:t>
            </w: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9,175,681</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12,811,885</w:t>
            </w:r>
          </w:p>
        </w:tc>
        <w:tc>
          <w:tcPr>
            <w:tcW w:w="40" w:type="dxa"/>
            <w:vAlign w:val="bottom"/>
          </w:tcPr>
          <w:p>
            <w:pPr>
              <w:spacing w:after="0"/>
              <w:rPr>
                <w:sz w:val="24"/>
                <w:szCs w:val="24"/>
                <w:color w:val="auto"/>
              </w:rPr>
            </w:pPr>
          </w:p>
        </w:tc>
      </w:tr>
      <w:tr>
        <w:trPr>
          <w:trHeight w:val="264"/>
        </w:trPr>
        <w:tc>
          <w:tcPr>
            <w:tcW w:w="80" w:type="dxa"/>
            <w:vAlign w:val="bottom"/>
          </w:tcPr>
          <w:p>
            <w:pPr>
              <w:spacing w:after="0"/>
              <w:rPr>
                <w:sz w:val="22"/>
                <w:szCs w:val="22"/>
                <w:color w:val="auto"/>
              </w:rPr>
            </w:pPr>
          </w:p>
        </w:tc>
        <w:tc>
          <w:tcPr>
            <w:tcW w:w="3740" w:type="dxa"/>
            <w:vAlign w:val="bottom"/>
            <w:gridSpan w:val="2"/>
          </w:tcPr>
          <w:p>
            <w:pPr>
              <w:ind w:left="40"/>
              <w:spacing w:after="0"/>
              <w:rPr>
                <w:sz w:val="20"/>
                <w:szCs w:val="20"/>
                <w:color w:val="auto"/>
              </w:rPr>
            </w:pPr>
            <w:r>
              <w:rPr>
                <w:rFonts w:ascii="Arial" w:cs="Arial" w:eastAsia="Arial" w:hAnsi="Arial"/>
                <w:sz w:val="14"/>
                <w:szCs w:val="14"/>
                <w:color w:val="auto"/>
              </w:rPr>
              <w:t>Debt obligations, net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4,158,125</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4,691,494</w:t>
            </w: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5,837,540</w:t>
            </w: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7,345,433</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10,894,903</w:t>
            </w:r>
          </w:p>
        </w:tc>
        <w:tc>
          <w:tcPr>
            <w:tcW w:w="40" w:type="dxa"/>
            <w:vAlign w:val="bottom"/>
          </w:tcPr>
          <w:p>
            <w:pPr>
              <w:spacing w:after="0"/>
              <w:rPr>
                <w:sz w:val="22"/>
                <w:szCs w:val="22"/>
                <w:color w:val="auto"/>
              </w:rPr>
            </w:pPr>
          </w:p>
        </w:tc>
      </w:tr>
      <w:tr>
        <w:trPr>
          <w:trHeight w:val="276"/>
        </w:trPr>
        <w:tc>
          <w:tcPr>
            <w:tcW w:w="80" w:type="dxa"/>
            <w:vAlign w:val="bottom"/>
          </w:tcPr>
          <w:p>
            <w:pPr>
              <w:spacing w:after="0"/>
              <w:rPr>
                <w:sz w:val="24"/>
                <w:szCs w:val="24"/>
                <w:color w:val="auto"/>
              </w:rPr>
            </w:pPr>
          </w:p>
        </w:tc>
        <w:tc>
          <w:tcPr>
            <w:tcW w:w="3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equity</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1,301,465</w:t>
            </w:r>
          </w:p>
        </w:tc>
        <w:tc>
          <w:tcPr>
            <w:tcW w:w="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1,313,154</w:t>
            </w:r>
          </w:p>
        </w:tc>
        <w:tc>
          <w:tcPr>
            <w:tcW w:w="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1,573,604</w:t>
            </w: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1,694,659</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1,656,118</w:t>
            </w:r>
          </w:p>
        </w:tc>
        <w:tc>
          <w:tcPr>
            <w:tcW w:w="40" w:type="dxa"/>
            <w:vAlign w:val="bottom"/>
          </w:tcPr>
          <w:p>
            <w:pPr>
              <w:spacing w:after="0"/>
              <w:rPr>
                <w:sz w:val="24"/>
                <w:szCs w:val="24"/>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660" w:hanging="652"/>
        <w:spacing w:after="0" w:line="247"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HPU holders are current and former Company employees who purchased high performance common stock units under the Company's High Performance Unit Program. Participating Security holders are Company employees and directors who hold unvested restricted stock units, restricted stock awards and common stock equivalents granted under the Company's Long Term Incentive Plans.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See Item 8—"Financial Statements and Supplementary Data—Note 13."</w:t>
      </w:r>
    </w:p>
    <w:p>
      <w:pPr>
        <w:spacing w:after="0" w:line="1" w:lineRule="exact"/>
        <w:rPr>
          <w:rFonts w:ascii="Arial" w:cs="Arial" w:eastAsia="Arial" w:hAnsi="Arial"/>
          <w:sz w:val="14"/>
          <w:szCs w:val="14"/>
          <w:color w:val="auto"/>
        </w:rPr>
      </w:pPr>
    </w:p>
    <w:p>
      <w:pPr>
        <w:jc w:val="both"/>
        <w:ind w:left="660" w:hanging="652"/>
        <w:spacing w:after="0" w:line="241"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Adjusted income and Adjusted EBITDA should be examined in conjunction with net income (loss) as shown in our Consolidated Statements of Operations. Adjusted income and Adjusted EBITDA should not be considered as an alternative to net income (loss) (determined in accordance with GAAP), as an indicator of our performance, or to cash flows from operating activities (determined in accordance with GAAP) as a measure of our liquidity, nor are Adjusted income and Adjusted EBITDA indicative of funds available to fund our cash needs or available for distribution to shareholders. Rather, Adjusted income and Adjusted EBITDA are additional measures for us to use to analyze how our business is performing. It should be noted that our manner of calculating Adjusted income and Adjusted EBITDA may differ from the calculations of similarly-titled measures by other companies. See computation of Adjusted income and Adjusted EBITDA on pages 32 and 33.</w:t>
      </w:r>
    </w:p>
    <w:p>
      <w:pPr>
        <w:spacing w:after="0" w:line="2" w:lineRule="exact"/>
        <w:rPr>
          <w:rFonts w:ascii="Arial" w:cs="Arial" w:eastAsia="Arial" w:hAnsi="Arial"/>
          <w:sz w:val="14"/>
          <w:szCs w:val="14"/>
          <w:color w:val="auto"/>
        </w:rPr>
      </w:pPr>
    </w:p>
    <w:p>
      <w:pPr>
        <w:jc w:val="both"/>
        <w:ind w:left="660" w:hanging="652"/>
        <w:spacing w:after="0" w:line="246"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This ratio of earnings to fixed charges is calculated in accordance with SEC Regulation S-K Item 503. The Company's unsecured debt securities have a fixed charge coverage covenant which is calculated differently in accordance with the terms of the agreements governing such securities. For the years ended December 31, 2013, 2012, 2011, 2010 and 2009, earnings were not sufficient to cover fixed charges by $240,912, $305,450, $65,842, $221,634 and $749,144, respectively, and earnings were not sufficient to cover fixed charges and preferred dividends by $289,932, $347,770, $108,162, $263,954 and $791,464, respectively.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4"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83"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and Section 21E of the Exchange Act. Forward-looking statements are included with respect to, among other things, the Company's current business plan, business strategy, portfolio management, prospects and liquidity.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Important factors that the Company believes might cause such differences are discussed in the section entitled, "Risk Factors" in Part I, Item 1a of this Form 10-K or otherwise accompany the forward-looking statements contained in this Form 10-K.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10-K. For purposes of this Management's Discussion and Analysis of Financial Condition and Results of Operations, the terms "we," "our" and "us" refer to iStar Financial Inc. and its consolidated subsidiaries, unless the context indicates otherwise.</w:t>
      </w:r>
    </w:p>
    <w:p>
      <w:pPr>
        <w:spacing w:after="0" w:line="24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This discussion summarizes the significant factors affecting our consolidated operating results, financial condition and liquidity during the three-year period ended December 31, 2013. This discussion should be read in conjunction with our consolidated financial statements and related notes for the three-year period ended December 31, 2013 included elsewhere in this Annual Report on Form 10-K. These historical financial statements may not be indicative of our future performance. We have reclassified certain items in our consolidated financial statements from prior years in order to conform to our current year presentation (see Item 8—"Financial Statements and Supplemental Data —Note 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iStar Financial Inc. is a fully-integrated finance and investment company focused on the commercial real estate industry. We provide custom-tailored investment capital to high-end private and corporate owners of real estate and invest directly across a range of real estate sectors. We are taxed as a real estate investment trust, or "REIT," and have invested more than $35 billion over the past two decades. Our primary business segments are real estate finance, net lease, operating properties and land.</w:t>
      </w:r>
    </w:p>
    <w:p>
      <w:pPr>
        <w:spacing w:after="0" w:line="24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real estate finance portfolio is comprised of senior and mezzanine real estate loans that may be either fixed-rate or variable-rate and are structured to meet the specific financing needs of borrowers. Our portfolio also includes preferred equity investments and senior and subordinated loans to corporations, particularly those engaged in real estate or real estate related businesses, and may be either secured or unsecured. Our loan portfolio includes whole loans and loan participations.</w:t>
      </w:r>
    </w:p>
    <w:p>
      <w:pPr>
        <w:spacing w:after="0" w:line="10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net lease portfolio is primarily comprised of properties owned by us and leased to single creditworthy tenants where the properties are subject to long-term leases. Most of the leases provide for expenses at the facility to be paid by the tenant on a triple net lease basis. The properties in this portfolio are diversified by property type and geographic location.</w:t>
      </w:r>
    </w:p>
    <w:p>
      <w:pPr>
        <w:spacing w:after="0" w:line="14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operating properties portfolio is comprised of commercial and residential properties which represent a diverse pool of assets across a broad range of geographies and property types. We generally seek to reposition or redevelop these assets with the objective of maximizing their value through the infusion of capital and/or intensive asset management efforts. The commercial properties within this portfolio include office, retail and hotel properties. The residential properties within this portfolio are generally luxury condominium projects located in major U.S. cities where our strategy is to sell individual condominium units through retail distribution channels.</w:t>
      </w:r>
    </w:p>
    <w:p>
      <w:pPr>
        <w:spacing w:after="0" w:line="14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land portfolio primarily consists of 11 master planned community projects, 10 urban infill land parcels and 6 waterfront land parcels located throughout the United States. Master planned communities represent large-scale residential projects that we will entitle, plan and/or develop and may sell through retail channels to home builders or in bulk. We currently have entitlements at these projects for more than 25,000 lots. The remainder of the Company’s land includes infill and waterfront parcels located in and around major cities that the Company will develop, sell to or partner with commercial real estate developers. Waterfront parcels are generally entitled for residential projects and urban infill parcels are generally entitled for mixed-use projects. These projects are currently entitled for approximately 6,000 residential units, and select projects include commercial, retail and office uses. As of December 31, 2013, we had 5 land projects in production, 11 in development and 11 in the pre-development phase.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have made significant progress over the past two years in strengthening our balance sheet and positioning the Company for the future. During this period, our credit ratings were upgraded and we executed several capital markets transactions across a broad spectrum of debt products that have satisfied all of our significant near term debt maturities and meaningfully extended our debt maturity profile. These transactions have included five unsecured note issuances at declining interest rates, a refinancing of our largest secured credit facility at a reduced interest rate and the issuance of convertible preferred stock. These transactions, along with fundamental improvements in the overall economy and real estate markets, have allowed us to reduce our overall cost of capital while maintaining lower leverage.</w:t>
      </w:r>
    </w:p>
    <w:p>
      <w:pPr>
        <w:spacing w:after="0" w:line="153"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As conditions in the economy and financing markets have improved, we have been increasing our originations of new lending and net lease investments, repositioning or redeveloping our operating properties and progressing on the entitlement and development of our land assets. We intend to continue these efforts, with the objective of having these assets contribute positively to earnings in the future. During the year, we resolved a number of non-performing loans including loans that were repaid, sold, returned to performing status and foreclosed on. Non-performing loans, net of specific reserves, declined 60% from $503.1 million at December 31, 2012 to $203.6 million at December 31, 2013.</w:t>
      </w:r>
    </w:p>
    <w:p>
      <w:pPr>
        <w:spacing w:after="0" w:line="13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the year ended December 31, 2013, our performing loans, net lease assets and sales of our residential operating properties contributed positively to our earnings. However, the performance of nonperforming loans, transitional commercial operating properties and the sizable carrying costs associated with our land assets continued to negatively impact our earnings. In addition, we realized less earnings from equity method investments as a result of the sale of our investment in LNR Property Corporation ("LNR") during 2013. For the year ended December 31, 2013, we recorded a net loss allocable to common shareholders of $(155.8) million, compared to a loss of $(273.0) million during 2012. Adjusted income (loss) allocable to common shareholders for 2013 was $(21.7) million, compared to $(53.8) million for 2012.</w:t>
      </w:r>
    </w:p>
    <w:p>
      <w:pPr>
        <w:spacing w:after="0" w:line="15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With respect to liquidity, we originated and funded investments totaling $483.7 million and received $1.40 billion of proceeds from our portfolio during 2013. As of December 31, 2013, we had satisfied all of our significant near term debt maturities. We had $513.6 million of cash at that date, a portion of which we have since used to fund new investments, and we expect similarly to use the remainder to primarily fund investment activities.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 Ended December 31, 2013 compared to the Year Ended December 31, 2012</w:t>
      </w: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ind w:left="160"/>
              <w:spacing w:after="0"/>
              <w:rPr>
                <w:sz w:val="20"/>
                <w:szCs w:val="20"/>
                <w:color w:val="auto"/>
              </w:rPr>
            </w:pPr>
            <w:r>
              <w:rPr>
                <w:rFonts w:ascii="Arial" w:cs="Arial" w:eastAsia="Arial" w:hAnsi="Arial"/>
                <w:sz w:val="14"/>
                <w:szCs w:val="14"/>
                <w:b w:val="1"/>
                <w:bCs w:val="1"/>
                <w:color w:val="auto"/>
              </w:rPr>
              <w:t>For the Years Ended December 31,</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2"/>
                <w:szCs w:val="22"/>
                <w:color w:val="auto"/>
              </w:rPr>
            </w:pPr>
          </w:p>
        </w:tc>
        <w:tc>
          <w:tcPr>
            <w:tcW w:w="16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6"/>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234,567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216,291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18,276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108,015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133,410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(25,395)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48,208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47,838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37"/>
        </w:trPr>
        <w:tc>
          <w:tcPr>
            <w:tcW w:w="5040" w:type="dxa"/>
            <w:vAlign w:val="bottom"/>
          </w:tcPr>
          <w:p>
            <w:pPr>
              <w:ind w:left="16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390,790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397,539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266,225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355,097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(88,872)</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Real estate expenses</w:t>
            </w: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157,441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151,458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5,983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71,266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68,770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92,114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80,856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11,258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loan losses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81,740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(76,251)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Impairment of assets</w:t>
            </w: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12,589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13,778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7"/>
        </w:trPr>
        <w:tc>
          <w:tcPr>
            <w:tcW w:w="504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613,174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768,965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(155,791)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early extinguishment of debt,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4,626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Earnings from equity method investments</w:t>
            </w: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41,520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103,009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(61,489)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transfer of interest to unconsolidated subsidiary</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(7,373)</w:t>
            </w:r>
          </w:p>
        </w:tc>
        <w:tc>
          <w:tcPr>
            <w:tcW w:w="170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100%</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9,104</w:t>
            </w:r>
          </w:p>
        </w:tc>
        <w:tc>
          <w:tcPr>
            <w:tcW w:w="1700" w:type="dxa"/>
            <w:vAlign w:val="bottom"/>
            <w:gridSpan w:val="2"/>
          </w:tcPr>
          <w:p>
            <w:pPr>
              <w:jc w:val="right"/>
              <w:ind w:right="168"/>
              <w:spacing w:after="0"/>
              <w:rPr>
                <w:sz w:val="20"/>
                <w:szCs w:val="20"/>
                <w:color w:val="auto"/>
              </w:rPr>
            </w:pPr>
            <w:r>
              <w:rPr>
                <w:rFonts w:ascii="Arial" w:cs="Arial" w:eastAsia="Arial" w:hAnsi="Arial"/>
                <w:sz w:val="18"/>
                <w:szCs w:val="18"/>
                <w:color w:val="auto"/>
              </w:rPr>
              <w:t>&gt;100%</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discontinued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18,125</w:t>
            </w:r>
          </w:p>
        </w:tc>
        <w:tc>
          <w:tcPr>
            <w:tcW w:w="170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&gt;100%</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Gain from discontinued operations</w:t>
            </w: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22,233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27,257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(5,024)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sales of residential property</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86,658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63,472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23,186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57"/>
        </w:trPr>
        <w:tc>
          <w:tcPr>
            <w:tcW w:w="50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(111,233)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(241,430)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130,197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—Operating lease income, which includes income from net lease assets and commercial operating properties, increased to $234.6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year ended December 31, 2013 from $216.3 million for the same period in 2012.</w:t>
      </w:r>
    </w:p>
    <w:p>
      <w:pPr>
        <w:spacing w:after="0" w:line="170"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Operating lease income from commercial operating properties increased to $86.4 million in 2013 from $65.7 million in 2012. For the year ended December 31, 2013, the commercial operating properties generated a weighted average effective yield of 4.7% compared to 2.9% during the same period in 2012 based on gross carrying value. We acquired title to additional commercial operating properties at the end of 2012, which contributed $15.0 million to the increase in operating lease income in 2013. The net impact of new leases and other leasing related activities within the portfolio contributed $7.9 million to the year over year increase. Lease terminations and other leasing related activities offset the increase by $1.9 million period over period. As of December 31, 2013, commercial operating properties, excluding hotels, were 61.1% leased compared to 58.1% leased as of December 31, 2012.</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Operating lease income from net lease assets decreased to $147.3 million in 2013 from $149.1 million in 2012 primarily due to lease expirations which were partially offset by new leases since December 31, 2012. As of December 31, 2013, net lease assets were 94.4% leased compared to 94.8% leased as of December 31, 2012. For the year ended December 31, 2013, the net lease portfolio generated a weighted average effective yield of 7.2% compared to 7.5% during the same period in 2012 based on gross carrying value.</w:t>
      </w:r>
    </w:p>
    <w:p>
      <w:pPr>
        <w:spacing w:after="0" w:line="14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Interest income declined to $108.0 million in 2013 as compared to $133.4 million in 2012 primarily due to a decrease in the average balance of performing loans to $1.23 billion in 2013 from $1.67 billion in 2012. The decrease in performing loans was primarily due to loan repayments received during the period. Offsetting the decline were new investment originations that increased our weighted average effective yield and our interest income. For the year ended December 31, 2013, performing loans generated a weighted average effective yield of 7.6% as compared to 7.5% in 2012.</w:t>
      </w:r>
    </w:p>
    <w:p>
      <w:pPr>
        <w:spacing w:after="0" w:line="13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Other income increased to $48.2 million in 2013 as compared to $47.8 million in 2012. The increase was due to $4.0 million received for the settlement of a property-related lawsuit and $3.5 million recognized for the termination of certain leases. Other income includes revenue related to hotel properties included in the operating property portfolio, which decreased to $29.3 million in 2013 from $32.6 million in 2012 due to a reduction in ancillary revenue related to a hotel property and the conversion of some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hotel rooms to condo units within one property. In addition, there was a decline of $3.9 million in loan related income due primarily to the sale of a loan in 2012.</w:t>
      </w:r>
    </w:p>
    <w:p>
      <w:pPr>
        <w:spacing w:after="0" w:line="13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b w:val="1"/>
          <w:bCs w:val="1"/>
          <w:i w:val="1"/>
          <w:iCs w:val="1"/>
          <w:color w:val="auto"/>
        </w:rPr>
        <w:t>Costs and expenses</w:t>
      </w:r>
      <w:r>
        <w:rPr>
          <w:rFonts w:ascii="Arial" w:cs="Arial" w:eastAsia="Arial" w:hAnsi="Arial"/>
          <w:sz w:val="17"/>
          <w:szCs w:val="17"/>
          <w:color w:val="auto"/>
        </w:rPr>
        <w:t>—Interest expense decreased $88.9 million to $266.2 million in 2013 as compared to $355.1 million in 2012 due to a lower average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outstanding debt balance and a lower weighted average cost of debt. The average outstanding balance of our debt declined to $4.46 billion in 2013 from $5.49 billion in 2012. Due to an upgrade in our credit ratings in late 2012 and strong credit markets in 2013, we refinanced our largest senior secured credit facility to a lower interest rate in February 2013 and refinanced higher rate senior unsecured notes with lower rate senior unsecured notes during 2013. As a result, our weighted average effective cost of debt decreased to 5.9% during 2013 as compared to 6.5% during 2012.</w:t>
      </w:r>
    </w:p>
    <w:p>
      <w:pPr>
        <w:spacing w:after="0" w:line="17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Real estate expenses increased to $157.4 million in 2013 as compared to $151.5 million in 2012. Expenses for commercial operating properties increased to $81.1 million in 2013 from $73.7 million in 2012, primarily driven by a property to which we took title at the end of 2012, offset by a reduction in ancillary expenses related to a hotel property. Carrying costs and other expenses on our land assets increased to $33.8 million in 2013 from $27.3 million in 2012, primarily related to increased pre-development activities. The increases were offset by a decrease in costs associated with residential units to $19.8 million in 2013 from $26.6 million in 2012 due to continued unit sales, which reduced our homeowners' association fees and other related expenses. Additionally, operating expenses for net lease assets decreased to $22.7 million in 2013 from $23.9 million in 2012 due primarily to improvements in collectability of receivables in 2013.</w:t>
      </w:r>
    </w:p>
    <w:p>
      <w:pPr>
        <w:spacing w:after="0" w:line="14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Depreciation and amortization increased to $71.3 million in 2013 from $68.8 million in 2012 primarily due to the acquisition of additional operating properties in late 2012 and during 2013.</w:t>
      </w:r>
    </w:p>
    <w:p>
      <w:pPr>
        <w:spacing w:after="0" w:line="13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General and administrative expenses increased to $92.1 million in 2013 as compared to $80.9 million in 2012 primarily due to an increase in compensation related costs pertaining to annual performance based bonuses.</w:t>
      </w:r>
    </w:p>
    <w:p>
      <w:pPr>
        <w:spacing w:after="0" w:line="13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Provisions for loan losses declined by $76.3 million to $5.5 million in 2013 as compared to $81.7 million in 2012 as less specific reserves were required on a lower balance of non-performing loans. Included in the provision for the year ended December 31, 2013 were specific reserves totaling $72.5 million which were established on non-performing loans offset by recoveries of previously recorded loan loss reserves of $63.1 million.</w:t>
      </w:r>
    </w:p>
    <w:p>
      <w:pPr>
        <w:spacing w:after="0" w:line="1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Impairment of assets for the year ended December 31, 2013 resulted from changes in local market conditions and business strategy for certain assets and consisted of $14.4 million related to real estate properties. Of these amounts, $1.8 million of impairments related to real estate assets held for sale or sold and were therefore included in discontinued operations for the year ended December 31, 2013. For the year ended December 31, 2012, we recorded impairments of $27.7 million on operating properties and $7.7 million on net lease assets, which resulted from changes in local market conditions and business strategy for certain assets. Of these amounts, $22.6 million related to real estate assets held for sale or sold and therefore, were included in discontinued operations for the year ended December 31, 2012.</w:t>
      </w:r>
    </w:p>
    <w:p>
      <w:pPr>
        <w:spacing w:after="0" w:line="1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Other expense decreased to $8.1 million in 2013 as compared to $17.3 million in 2012 due primarily to $8.1 million of third party expenses incurred in 2012 in connection with the refinancing of our 2011 Secured Credit Facilities with our October 2012 Credit Facility (see Liquidity and Capital Resources below).</w:t>
      </w:r>
    </w:p>
    <w:p>
      <w:pPr>
        <w:spacing w:after="0" w:line="14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b w:val="1"/>
          <w:bCs w:val="1"/>
          <w:i w:val="1"/>
          <w:iCs w:val="1"/>
          <w:color w:val="auto"/>
        </w:rPr>
        <w:t>Loss on early extinguishment of debt, net</w:t>
      </w:r>
      <w:r>
        <w:rPr>
          <w:rFonts w:ascii="Arial" w:cs="Arial" w:eastAsia="Arial" w:hAnsi="Arial"/>
          <w:sz w:val="17"/>
          <w:szCs w:val="17"/>
          <w:color w:val="auto"/>
        </w:rPr>
        <w:t>—During 2013, we incurred losses on the early extinguishment of debt due to accelerated amortization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discounts and fees of $7.7 million relating to the refinancing of our October 2012 Secured Credit Facility in February 2013 and $13.2 million relating to accelerated amortization of discount and fees associated with repayments on our 2012 and 2013 Secured Credit Facilities. We also redeemed our 5.95% senior unsecured notes due October 2013 and our 5.70% senior unsecured notes due March 2014 prior to maturity and incurred $12.3 million of losses related to a prepayment penalty and the acceleration of amortization of discounts (see Liquidity and Capital Resources below).</w:t>
      </w:r>
    </w:p>
    <w:p>
      <w:pPr>
        <w:spacing w:after="0" w:line="17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During 2012, net losses on the early extinguishment of debt included a $14.9 million prepayment fee on the early redemption of our 8.625% Senior Unsecured Notes due in June 2013 as well as $12.1 million related to the accelerated amortization of discounts and fees in connection with the refinancing of our 2011 Secured Credit Facilities in October 2012 (see Liquidity and Capital Resources below). We also recorded $13.8 million of losses in 2012 related to the accelerated amortization of discounts and fees in connection with amortization payments that we made on our 2011 and 2012 Secured Credit Facilities. These losses were partially offset by gains on the repurchases of unsecured notes during 2012.</w:t>
      </w:r>
    </w:p>
    <w:p>
      <w:pPr>
        <w:spacing w:after="0" w:line="17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b w:val="1"/>
          <w:bCs w:val="1"/>
          <w:i w:val="1"/>
          <w:iCs w:val="1"/>
          <w:color w:val="auto"/>
        </w:rPr>
        <w:t>Earnings from equity method investments</w:t>
      </w:r>
      <w:r>
        <w:rPr>
          <w:rFonts w:ascii="Arial" w:cs="Arial" w:eastAsia="Arial" w:hAnsi="Arial"/>
          <w:sz w:val="18"/>
          <w:szCs w:val="18"/>
          <w:color w:val="auto"/>
        </w:rPr>
        <w:t>—Earnings from equity method investments decreased to $41.5 million in 2013 as compared to $103.0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2012. For one of our real estate equity investments, our equity in earnings decreased to $4.3 million in 2013 from $25.2 million in 2012 due to lower income from sales of residential property units for a building that is approaching complete sell-out. Our equity in earnings from LNR decreased to $47.3 million in 2013 from $60.7 million in 2012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due to the sale of our interest in LNR in April 2013. Our equity in earnings in 2013 was offset by an other than temporary impairment of $30.9 million arising from the terms of the sale of the Company's investment in LNR. The Company and other owners of LNR entered into negotiations with potential purchasers of LNR beginning in September 2012. After an extensive due diligence and negotiation process, the LNR owners entered into a definitive contract to sell LNR in January 2013 at a fixed sale price which, from the Company's perspective, reflected in part the Company's then-current expectations about the future results of LNR and potential volatility in its business. The definitive sale contract provided that LNR would not make cash distributions to its owners during the fourth quarter of 2012 through the closing of the sale. Notwithstanding the fixed terms of the contract, our investment balance in LNR increased due to equity in earnings recorded which resulted in our recognition of other than temporary impairment on our investment during 2013.</w:t>
      </w:r>
    </w:p>
    <w:p>
      <w:pPr>
        <w:spacing w:after="0" w:line="16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b w:val="1"/>
          <w:bCs w:val="1"/>
          <w:i w:val="1"/>
          <w:iCs w:val="1"/>
          <w:color w:val="auto"/>
        </w:rPr>
        <w:t>Loss on transfer of interest to unconsolidated subsidiary</w:t>
      </w:r>
      <w:r>
        <w:rPr>
          <w:rFonts w:ascii="Arial" w:cs="Arial" w:eastAsia="Arial" w:hAnsi="Arial"/>
          <w:sz w:val="17"/>
          <w:szCs w:val="17"/>
          <w:color w:val="auto"/>
        </w:rPr>
        <w:t>—During 2013, we entered into a venture with a national homebuilder to jointly develop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residential lots in the first phase of Spring Mountain Ranch, a 1,400-lot master planned community. We contributed the initial phase of land, which had a carrying value of $24.1 million, to the venture in exchange for a retained interest of $16.7 million, resulting in a $7.4 million loss.</w:t>
      </w:r>
    </w:p>
    <w:p>
      <w:pPr>
        <w:spacing w:after="0" w:line="1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Income tax (expense) benefit</w:t>
      </w:r>
      <w:r>
        <w:rPr>
          <w:rFonts w:ascii="Arial" w:cs="Arial" w:eastAsia="Arial" w:hAnsi="Arial"/>
          <w:sz w:val="18"/>
          <w:szCs w:val="18"/>
          <w:color w:val="auto"/>
        </w:rPr>
        <w:t>—Income taxes are primarily generated by assets held in our taxable REIT subsidiaries (“TRS's”). Income taxes decreased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 net benefit of $0.7 million in 2013 as compared to a net expense of $8.4 million in 2012 due primarily to a tax benefit generated by certain property level expenses as well as lower taxable income from LNR, which was sold in April 2013.</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Discontinued operations</w:t>
      </w:r>
      <w:r>
        <w:rPr>
          <w:rFonts w:ascii="Arial" w:cs="Arial" w:eastAsia="Arial" w:hAnsi="Arial"/>
          <w:sz w:val="18"/>
          <w:szCs w:val="18"/>
          <w:color w:val="auto"/>
        </w:rPr>
        <w:t>—During 2013, we sold commercial operating properties with a total carrying value of $72.6 million which resulted in a gain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$18.6 million and net lease assets with a total carrying value of $18.7 million which resulted in a net gain of $2.2 million. During 2012, we sold net lease assets with a carrying value of $115.5 million and recorded gains of $27.3 million.</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Income (loss) from discontinued operations includes operating results from net lease assets and commercial operating properties held for sale or sold as of December 31, 2013. For the years ended December 31, 2013 and 2012, income (loss) from discontinued operations includes impairment of assets of $1.8 million and $22.6 million, respectively.</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Income from sales of residential property</w:t>
      </w:r>
      <w:r>
        <w:rPr>
          <w:rFonts w:ascii="Arial" w:cs="Arial" w:eastAsia="Arial" w:hAnsi="Arial"/>
          <w:sz w:val="18"/>
          <w:szCs w:val="18"/>
          <w:color w:val="auto"/>
        </w:rPr>
        <w:t>—During 2013 and 2012, we sold residential condominiums for total net proceeds of $269.7 million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$319.3 million, respectively, that resulted in income from sales of residential properties totaling $82.6 million and $63.5 million, respectively. During 2013, we also sold land for proceeds of $36.7 million that resulted in income of $4.0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 Ended December 31, 2012 compared to the Year Ended December 31, 2011</w:t>
      </w: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ind w:left="160"/>
              <w:spacing w:after="0"/>
              <w:rPr>
                <w:sz w:val="20"/>
                <w:szCs w:val="20"/>
                <w:color w:val="auto"/>
              </w:rPr>
            </w:pPr>
            <w:r>
              <w:rPr>
                <w:rFonts w:ascii="Arial" w:cs="Arial" w:eastAsia="Arial" w:hAnsi="Arial"/>
                <w:sz w:val="14"/>
                <w:szCs w:val="14"/>
                <w:b w:val="1"/>
                <w:bCs w:val="1"/>
                <w:color w:val="auto"/>
              </w:rPr>
              <w:t>For the Years Ended December 31,</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2"/>
                <w:szCs w:val="22"/>
                <w:color w:val="auto"/>
              </w:rPr>
            </w:pPr>
          </w:p>
        </w:tc>
        <w:tc>
          <w:tcPr>
            <w:tcW w:w="16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6"/>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216,291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195,872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20,419</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133,410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226,871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(93,461)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47,838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39,722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8,116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37"/>
        </w:trPr>
        <w:tc>
          <w:tcPr>
            <w:tcW w:w="5040" w:type="dxa"/>
            <w:vAlign w:val="bottom"/>
          </w:tcPr>
          <w:p>
            <w:pPr>
              <w:ind w:left="16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397,539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462,465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(64,926)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355,097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342,186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12,911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Real estate expenses</w:t>
            </w: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151,458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138,714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12,744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9 %</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68,770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58,091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10,679</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80,856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105,039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(24,183)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loan losses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81,740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46,412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35,328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76 %</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Impairment of assets</w:t>
            </w: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13,778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13,239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539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17,266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6,196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37"/>
        </w:trPr>
        <w:tc>
          <w:tcPr>
            <w:tcW w:w="504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768,965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714,751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54,214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27"/>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(loss) on early extinguishment of debt,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101,466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(139,282)</w:t>
            </w:r>
          </w:p>
        </w:tc>
        <w:tc>
          <w:tcPr>
            <w:tcW w:w="170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&gt;100%</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Earnings from equity method investments</w:t>
            </w: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103,009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95,091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7,918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(13,164)</w:t>
            </w:r>
          </w:p>
        </w:tc>
        <w:tc>
          <w:tcPr>
            <w:tcW w:w="170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&gt;100%</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Income (loss) from discontinued operations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(11,967)</w:t>
            </w:r>
          </w:p>
        </w:tc>
        <w:tc>
          <w:tcPr>
            <w:tcW w:w="1700" w:type="dxa"/>
            <w:vAlign w:val="bottom"/>
            <w:gridSpan w:val="2"/>
          </w:tcPr>
          <w:p>
            <w:pPr>
              <w:jc w:val="right"/>
              <w:ind w:right="168"/>
              <w:spacing w:after="0"/>
              <w:rPr>
                <w:sz w:val="20"/>
                <w:szCs w:val="20"/>
                <w:color w:val="auto"/>
              </w:rPr>
            </w:pPr>
            <w:r>
              <w:rPr>
                <w:rFonts w:ascii="Arial" w:cs="Arial" w:eastAsia="Arial" w:hAnsi="Arial"/>
                <w:sz w:val="18"/>
                <w:szCs w:val="18"/>
                <w:color w:val="auto"/>
              </w:rPr>
              <w:t>&gt;100%</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from discontinued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2,147</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Income from sales of residential property</w:t>
            </w: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63,472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5,721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57,751</w:t>
            </w:r>
          </w:p>
        </w:tc>
        <w:tc>
          <w:tcPr>
            <w:tcW w:w="1700" w:type="dxa"/>
            <w:vAlign w:val="bottom"/>
            <w:gridSpan w:val="2"/>
          </w:tcPr>
          <w:p>
            <w:pPr>
              <w:jc w:val="right"/>
              <w:ind w:right="168"/>
              <w:spacing w:after="0"/>
              <w:rPr>
                <w:sz w:val="20"/>
                <w:szCs w:val="20"/>
                <w:color w:val="auto"/>
              </w:rPr>
            </w:pPr>
            <w:r>
              <w:rPr>
                <w:rFonts w:ascii="Arial" w:cs="Arial" w:eastAsia="Arial" w:hAnsi="Arial"/>
                <w:sz w:val="18"/>
                <w:szCs w:val="18"/>
                <w:color w:val="auto"/>
              </w:rPr>
              <w:t>&gt;100%</w:t>
            </w:r>
          </w:p>
        </w:tc>
      </w:tr>
      <w:tr>
        <w:trPr>
          <w:trHeight w:val="27"/>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(215,737)</w:t>
            </w:r>
          </w:p>
        </w:tc>
        <w:tc>
          <w:tcPr>
            <w:tcW w:w="170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&gt;100%</w:t>
            </w:r>
          </w:p>
        </w:tc>
      </w:tr>
      <w:tr>
        <w:trPr>
          <w:trHeight w:val="20"/>
        </w:trPr>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—Operating lease income, which includes income from net lease assets and commercial operating properties, increased to $216.3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year ended December 31, 2012 from $195.9 million for the same period in 2011.</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Operating lease income from commercial operating properties increased to $65.7 million in 2012 from $51.2 million in 2011. We acquired title to additional commercial operating properties at the end of 2011 and during 2012, which contributed $20.6 million in operating lease income in 2012. The impact of certain lease terminations offset this increase by $6.3 million year over year. As of December 31, 2012, commercial operating properties, excluding hotels, were 58.1% leased compared to 41.0% leased as of December 31, 2011.</w:t>
      </w:r>
    </w:p>
    <w:p>
      <w:pPr>
        <w:spacing w:after="0" w:line="146"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Operating lease income from net lease assets increased to $149.1 million in 2012 from $144.5 million in 2011 primarily due to new leasing activity. As of December 31, 2012, net lease assets were 94.8% leased compared to 94.4% leased as of December 31, 2011. For the year ended December 31, 2012, the net lease portfolio generated a weighted average effective yield of 7.5% compared to 7.3% during the same period in 2011 based on gross carrying value.</w:t>
      </w:r>
    </w:p>
    <w:p>
      <w:pPr>
        <w:spacing w:after="0" w:line="14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Interest income declined to $133.4 million in 2012 as compared to $226.9 million in 2011 primarily due to a decrease in the average balance of performing loans to $1.67 billion in 2012 from $2.58 billion in 2011. The decrease in performing loans was primarily due to loan repayments as well as performing loans moving to non-performing status. For the year ended December 31, 2012, performing loans generated a weighted average effective yield of 7.5% as compared to 7.2% in 2011.</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Other income increased to $47.8 million in 2012 as compared to $39.7 million in 2011. Other income includes revenue related to hotel properties included in the operating property portfolio, which was $32.6 million in 2012 compared to $32.5 million in 2011. For the year ended December 31, 2012, other income also includes $8.6 million of loan income related to the prepayment and sales of loans as compared to $2.9 million for the year ended December 31, 2011.</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b w:val="1"/>
          <w:bCs w:val="1"/>
          <w:i w:val="1"/>
          <w:iCs w:val="1"/>
          <w:color w:val="auto"/>
        </w:rPr>
        <w:t>Costs and expenses</w:t>
      </w:r>
      <w:r>
        <w:rPr>
          <w:rFonts w:ascii="Arial" w:cs="Arial" w:eastAsia="Arial" w:hAnsi="Arial"/>
          <w:sz w:val="18"/>
          <w:szCs w:val="18"/>
          <w:color w:val="auto"/>
        </w:rPr>
        <w:t>—Interest expense increased to $355.1 million in 2012 as compared to $342.2 million in 2011 primarily due to a higher weighted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average cost of debt offset by a lower average outstanding balance. Our weighted average effective cost of debt increased to 6.49% for the year ended December 31, 2012 as compared to 5.34% during 2011 primarily due to the refinancing of existing debt in 2011 and the first half of 2012 at higher rates. The average outstanding balance of our debt declined to $5.49 billion for the year ended December 31, 2012 from $6.47 billion for the year ended December 31, 2011.</w:t>
      </w:r>
    </w:p>
    <w:p>
      <w:pPr>
        <w:sectPr>
          <w:pgSz w:w="11900" w:h="16838" w:orient="portrait"/>
          <w:cols w:equalWidth="0" w:num="1">
            <w:col w:w="11420"/>
          </w:cols>
          <w:pgMar w:left="240" w:top="118"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18" w:right="239" w:bottom="1440" w:gutter="0" w:footer="0" w:header="0"/>
          <w:type w:val="continuous"/>
        </w:sectPr>
      </w:pPr>
    </w:p>
    <w:bookmarkStart w:id="33" w:name="page34"/>
    <w:bookmarkEnd w:id="33"/>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Real estate expenses increased to $151.5 million in 2012 as compared to $138.7 million in 2011 primarily driven by additional properties to which we took title in 2012 and late 2011 through resolution of non-performing loans. Expenses for operating properties were $100.2 million in 2012 as compared to $92.0 million in 2011, which includes carrying costs on our residential operating properties totaling $26.6 million in 2012 and $24.4 million in 2011. Operating expenses for net lease assets declined slightly to $23.9 million in 2012 from $25.1 million in 2011. Carrying costs and other expenses on our land assets increased to $27.3 million in 2012 from $21.6 million in 2011, primarily related to acquiring title to assets in resolution of non-performing loans as well as increased legal and consulting expenses.</w:t>
      </w:r>
    </w:p>
    <w:p>
      <w:pPr>
        <w:spacing w:after="0" w:line="19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Depreciation and amortization increased to $68.8 million in 2012 from $58.1 million in 2011 primarily due to the acquisition of additional operating properties in late 2011 and 2012.</w:t>
      </w:r>
    </w:p>
    <w:p>
      <w:pPr>
        <w:spacing w:after="0" w:line="13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General and administrative expenses decreased primarily due to lower stock-based compensation expense, lower payroll and employee related costs and decreased legal expenses. Stock-based compensation expense declined to $15.3 million in 2012 from $29.7 million in 2011, primarily resulting from the recognition of incremental expense in 2011 associated with the modification of certain restricted stock units. Payroll and employee related costs declined due to staffing reductions, while legal expenses declined due to the settlement of litigation in June 2012.</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Provisions for loan losses totaled $81.7 million in 2012 and included higher specific reserves on non-performing loans, offset by a reduction in the general reserve primarily due to a reduction in the balance of performing loans outstanding during the current year.</w:t>
      </w:r>
    </w:p>
    <w:p>
      <w:pPr>
        <w:spacing w:after="0" w:line="17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Impairment of assets for the year ended December 31, 2012 resulted from changes in local market conditions and business strategy for certain assets and consisted of $27.7 million on operating properties and $7.7 million on net lease assets. Of these amounts, $22.6 million of impairments related to real estate assets held for sale or sold and were therefore included in discontinued operations for the year ended December 31, 2012. For the year ended December 31, 2011, we recorded impairments of $22.4 million related to operating properties which resulted from changing market conditions and changes in business strategy for certain assets. Of this amount, $9.1 million relates to real estate assets held for sale or sold and therefore, were included in discontinued operations for the year ended December 31, 2011.</w:t>
      </w:r>
    </w:p>
    <w:p>
      <w:pPr>
        <w:spacing w:after="0" w:line="19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Other expense for 2012 increased primarily due to $8.1 million of third party expenses incurred in connection with the refinancing of our 2011 Secured Credit Facilities with our October 2012 Credit Facility (see Liquidity and Capital Resources below).</w:t>
      </w:r>
    </w:p>
    <w:p>
      <w:pPr>
        <w:spacing w:after="0" w:line="17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b w:val="1"/>
          <w:bCs w:val="1"/>
          <w:i w:val="1"/>
          <w:iCs w:val="1"/>
          <w:color w:val="auto"/>
        </w:rPr>
        <w:t>Gain (loss) on early extinguishment of debt, net</w:t>
      </w:r>
      <w:r>
        <w:rPr>
          <w:rFonts w:ascii="Arial" w:cs="Arial" w:eastAsia="Arial" w:hAnsi="Arial"/>
          <w:sz w:val="16"/>
          <w:szCs w:val="16"/>
          <w:color w:val="auto"/>
        </w:rPr>
        <w:t>—During 2012, net losses on the early extinguishment of debt included a $14.9 million prepayment fee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the early redemption of our 8.625% Senior Unsecured Notes due in June 2013 as well as $12.1 million related to the accelerated amortization of discounts and fees in connection with the refinancing of our 2011 Secured Credit Facilities in October 2012 (see Liquidity and Capital Resources below). We also recorded $13.8 million of losses in 2012 related to the accelerated amortization of discounts and fees in connection with amortization payments that we made on our 2011 and 2012 Secured Credit Facilities. These losses were partially offset by gains on the repurchases of unsecured notes during 2012.</w:t>
      </w:r>
    </w:p>
    <w:p>
      <w:pPr>
        <w:spacing w:after="0" w:line="15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the same period in 2011, we fully redeemed the $312.3 million remaining principal balance of our 10% senior secured notes due June 2014 which resulted in a $109.0 million gain on early extinguishment of debt primarily related to the recognition of deferred gain that resulted from a previous debt exchange. This was offset by losses on extinguishment of debt related to the accelerated amortization of discounts and fees in connection with amortization payments that we made on our secured credit facilities, including the A-1 Tranche of the 2011 Secured Credit Facilities.</w:t>
      </w:r>
    </w:p>
    <w:p>
      <w:pPr>
        <w:spacing w:after="0" w:line="17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b w:val="1"/>
          <w:bCs w:val="1"/>
          <w:i w:val="1"/>
          <w:iCs w:val="1"/>
          <w:color w:val="auto"/>
        </w:rPr>
        <w:t>Earnings from equity method investments</w:t>
      </w:r>
      <w:r>
        <w:rPr>
          <w:rFonts w:ascii="Arial" w:cs="Arial" w:eastAsia="Arial" w:hAnsi="Arial"/>
          <w:sz w:val="17"/>
          <w:szCs w:val="17"/>
          <w:color w:val="auto"/>
        </w:rPr>
        <w:t>—Earnings from equity method investments increased to $103.0 million in 2012 as compared to $95.1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in 2011, primarily due to $26.0 million of equity in earnings recognized from income from sales of residential property units recorded by one of our real estate equity investments. These increases were partially offset by the impact of the sale of Oak Hill Advisors, L.P. and related entities in October 2011, which contributed $38.4 million to earnings, including a pre-tax gain of $30.3 million during the year ended December 31, 2011.</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b w:val="1"/>
          <w:bCs w:val="1"/>
          <w:i w:val="1"/>
          <w:iCs w:val="1"/>
          <w:color w:val="auto"/>
        </w:rPr>
        <w:t>Income tax (expense) benefit</w:t>
      </w:r>
      <w:r>
        <w:rPr>
          <w:rFonts w:ascii="Arial" w:cs="Arial" w:eastAsia="Arial" w:hAnsi="Arial"/>
          <w:sz w:val="18"/>
          <w:szCs w:val="18"/>
          <w:color w:val="auto"/>
        </w:rPr>
        <w:t>—Income taxes are primarily generated by assets held in our taxable REIT subsidiaries, and increased to an expense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$8.4 million in 2012 as compared to a benefit of $4.7 million in 2011. During the years ended December 31, 2012 and 2011, TRS-generated taxable income was partially offset by the utilization of net operating loss carryforwards, resulting in current tax expense. In addition, in 2011, we recognized a non-cash deferred tax benefit that resulted from the reversal of a deferred tax liability related to our Oak Hill investments that were sold in October of 2011, which resulted in a net benefit for the year then ended.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b w:val="1"/>
          <w:bCs w:val="1"/>
          <w:i w:val="1"/>
          <w:iCs w:val="1"/>
          <w:color w:val="auto"/>
        </w:rPr>
        <w:t>Discontinued operations</w:t>
      </w:r>
      <w:r>
        <w:rPr>
          <w:rFonts w:ascii="Arial" w:cs="Arial" w:eastAsia="Arial" w:hAnsi="Arial"/>
          <w:sz w:val="17"/>
          <w:szCs w:val="17"/>
          <w:color w:val="auto"/>
        </w:rPr>
        <w:t>—During 2012, we sold net lease assets with a carrying value of $115.5 million and recorded gains of $27.3 million. During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2011, we realized a $22.2 million gain from discontinued operations previously deferred as part of the June 2010 sale of 32 net lease assets.</w:t>
      </w:r>
    </w:p>
    <w:p>
      <w:pPr>
        <w:spacing w:after="0" w:line="14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Income (loss) from discontinued operations includes operating results from net lease assets and commercial operating properties held for sale or sold as of December 31, 2012. For the years ended December 31, 2012 and 2011, income (loss) from discontinued operations includes impairment of assets of $22.6 million and $9.1 million, respectively.</w:t>
      </w:r>
    </w:p>
    <w:p>
      <w:pPr>
        <w:spacing w:after="0" w:line="18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b w:val="1"/>
          <w:bCs w:val="1"/>
          <w:i w:val="1"/>
          <w:iCs w:val="1"/>
          <w:color w:val="auto"/>
        </w:rPr>
        <w:t>Income from sales of residential property</w:t>
      </w:r>
      <w:r>
        <w:rPr>
          <w:rFonts w:ascii="Arial" w:cs="Arial" w:eastAsia="Arial" w:hAnsi="Arial"/>
          <w:sz w:val="17"/>
          <w:szCs w:val="17"/>
          <w:color w:val="auto"/>
        </w:rPr>
        <w:t>—During 2012 and 2011, we sold residential condominiums for total net proceeds of $319.3 million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$154.0 million, respectively, that resulted in income from sales of residential properties totaling $63.5 million and $5.7 million,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income and Adjusted EBITDA</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addition to net income (loss), we use Adjusted income and Adjusted EBITDA to measure our operating performance. Adjusted income represents net income (loss) allocable to common shareholders, prior to the effect of depreciation and amortization, provision for loan losses, impairment of assets, loss on transfer of interest to unconsolidated subsidiary, stock-based compensation expense, and the non-cash portion of gain (loss) on early extinguishment of debt. Adjusted EBITDA represents net income (loss) plus the sum of interest expense, income taxes, depreciation and amortization, provision for loan losses, impairment of assets, stock-based compensation expense and loss on transfer of interest to unconsolidated subsidiary, adjusted for gain (loss) on early extinguishment of debt.</w:t>
      </w:r>
    </w:p>
    <w:p>
      <w:pPr>
        <w:spacing w:after="0" w:line="19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believe Adjusted income and Adjusted EBITDA are useful measures to consider, in addition to net income (loss), as they may help investors evaluate our core operating performance prior to certain non-cash items.</w:t>
      </w:r>
    </w:p>
    <w:p>
      <w:pPr>
        <w:spacing w:after="0" w:line="17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Adjusted income and Adjusted EBITDA should be examined in conjunction with net income (loss) as shown in our Consolidated Statements of Operations. Adjusted income and Adjusted EBITDA should not be considered as an alternative to net income (loss) (determined in accordance with GAAP), as an indicator of our performance, or to cash flows from operating activities (determined in accordance with GAAP) as a measure of our liquidity, nor are Adjusted income and Adjusted EBITDA indicative of funds available to fund our cash needs or available for distribution to shareholders. Rather, Adjusted income and Adjusted EBITDA are additional measures for us to use to analyze how our business is performing. It should be noted that our manner of calculating Adjusted income and Adjusted EBITDA may differ from the calculations of similarly-titled measures by other companies.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center"/>
              <w:ind w:left="393"/>
              <w:spacing w:after="0"/>
              <w:rPr>
                <w:sz w:val="20"/>
                <w:szCs w:val="20"/>
                <w:color w:val="auto"/>
              </w:rPr>
            </w:pPr>
            <w:r>
              <w:rPr>
                <w:rFonts w:ascii="Arial" w:cs="Arial" w:eastAsia="Arial" w:hAnsi="Arial"/>
                <w:sz w:val="14"/>
                <w:szCs w:val="14"/>
                <w:b w:val="1"/>
                <w:bCs w:val="1"/>
                <w:color w:val="auto"/>
                <w:w w:val="92"/>
              </w:rPr>
              <w:t>For the Years Ended December 31,</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52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2009</w:t>
            </w:r>
          </w:p>
        </w:tc>
      </w:tr>
      <w:tr>
        <w:trPr>
          <w:trHeight w:val="250"/>
        </w:trPr>
        <w:tc>
          <w:tcPr>
            <w:tcW w:w="5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income</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200"/>
              <w:spacing w:after="0"/>
              <w:rPr>
                <w:sz w:val="20"/>
                <w:szCs w:val="20"/>
                <w:color w:val="auto"/>
              </w:rPr>
            </w:pPr>
            <w:r>
              <w:rPr>
                <w:rFonts w:ascii="Arial" w:cs="Arial" w:eastAsia="Arial" w:hAnsi="Arial"/>
                <w:sz w:val="18"/>
                <w:szCs w:val="18"/>
                <w:color w:val="auto"/>
              </w:rPr>
              <w:t>Net income (loss) allocable to common shareholders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(155,769)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(272,997)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(62,387)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36,279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(788,570)</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 Depreciation and amortization(1)</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72,439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70,786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63,928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70,786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98,238</w:t>
            </w:r>
          </w:p>
        </w:tc>
      </w:tr>
      <w:tr>
        <w:trPr>
          <w:trHeight w:val="243"/>
        </w:trPr>
        <w:tc>
          <w:tcPr>
            <w:tcW w:w="5260" w:type="dxa"/>
            <w:vAlign w:val="bottom"/>
          </w:tcPr>
          <w:p>
            <w:pPr>
              <w:ind w:left="200"/>
              <w:spacing w:after="0"/>
              <w:rPr>
                <w:sz w:val="20"/>
                <w:szCs w:val="20"/>
                <w:color w:val="auto"/>
              </w:rPr>
            </w:pPr>
            <w:r>
              <w:rPr>
                <w:rFonts w:ascii="Arial" w:cs="Arial" w:eastAsia="Arial" w:hAnsi="Arial"/>
                <w:sz w:val="18"/>
                <w:szCs w:val="18"/>
                <w:color w:val="auto"/>
              </w:rPr>
              <w:t>Add: Provision for loan losses</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5,489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81,740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46,412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w w:val="95"/>
              </w:rPr>
              <w:t>331,487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1,255,357</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 Impairment of assets(2)</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36,354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22,386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141,018</w:t>
            </w:r>
          </w:p>
        </w:tc>
      </w:tr>
      <w:tr>
        <w:trPr>
          <w:trHeight w:val="243"/>
        </w:trPr>
        <w:tc>
          <w:tcPr>
            <w:tcW w:w="5260" w:type="dxa"/>
            <w:vAlign w:val="bottom"/>
          </w:tcPr>
          <w:p>
            <w:pPr>
              <w:ind w:left="200"/>
              <w:spacing w:after="0"/>
              <w:rPr>
                <w:sz w:val="20"/>
                <w:szCs w:val="20"/>
                <w:color w:val="auto"/>
              </w:rPr>
            </w:pPr>
            <w:r>
              <w:rPr>
                <w:rFonts w:ascii="Arial" w:cs="Arial" w:eastAsia="Arial" w:hAnsi="Arial"/>
                <w:sz w:val="18"/>
                <w:szCs w:val="18"/>
                <w:color w:val="auto"/>
              </w:rPr>
              <w:t>Add: Loss on transfer of interest to unconsolidated subsidiary</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7,373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 Stock-based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15,293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29,702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23,593</w:t>
            </w:r>
          </w:p>
        </w:tc>
      </w:tr>
      <w:tr>
        <w:trPr>
          <w:trHeight w:val="243"/>
        </w:trPr>
        <w:tc>
          <w:tcPr>
            <w:tcW w:w="5260" w:type="dxa"/>
            <w:vAlign w:val="bottom"/>
          </w:tcPr>
          <w:p>
            <w:pPr>
              <w:ind w:left="200"/>
              <w:spacing w:after="0"/>
              <w:rPr>
                <w:sz w:val="20"/>
                <w:szCs w:val="20"/>
                <w:color w:val="auto"/>
              </w:rPr>
            </w:pPr>
            <w:r>
              <w:rPr>
                <w:rFonts w:ascii="Arial" w:cs="Arial" w:eastAsia="Arial" w:hAnsi="Arial"/>
                <w:sz w:val="18"/>
                <w:szCs w:val="18"/>
                <w:color w:val="auto"/>
              </w:rPr>
              <w:t>Add: (Gain) loss on early extinguishment of debt, net(3)</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19,655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22,405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(101,466)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8"/>
              </w:rPr>
              <w:t>(110,075)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(547,349)</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Less: HPU/Participating Security allocation</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(26,963)</w:t>
            </w: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Adjusted income (loss) allocable to common shareholders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(21,677)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(53,847)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5"/>
              </w:rPr>
              <w:t>360,525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155,324</w:t>
            </w: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11" w:lineRule="exact"/>
        <w:rPr>
          <w:sz w:val="20"/>
          <w:szCs w:val="20"/>
          <w:color w:val="auto"/>
        </w:rPr>
      </w:pPr>
    </w:p>
    <w:p>
      <w:pPr>
        <w:jc w:val="both"/>
        <w:ind w:left="660" w:hanging="652"/>
        <w:spacing w:after="0" w:line="247"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For the years ended December 31, 2013, 2012, 2011, 2010 and 2009, depreciation and amortization includes $264, $2,016, $5,837, $14,117 and $42,099, respectively, of depreciation and amortization reclassified to discontinued operations. Depreciation and amortization also includes our proportionate share of depreciation and amortization expense for equity method investments and excludes the portion of depreciation and amortization expense allocable to noncontrolling interests.</w:t>
      </w:r>
    </w:p>
    <w:p>
      <w:pPr>
        <w:spacing w:after="0" w:line="1" w:lineRule="exact"/>
        <w:rPr>
          <w:rFonts w:ascii="Arial" w:cs="Arial" w:eastAsia="Arial" w:hAnsi="Arial"/>
          <w:sz w:val="14"/>
          <w:szCs w:val="14"/>
          <w:color w:val="auto"/>
        </w:rPr>
      </w:pPr>
    </w:p>
    <w:p>
      <w:pPr>
        <w:ind w:left="660" w:hanging="652"/>
        <w:spacing w:after="0" w:line="241"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For the years ended December 31, 2013, 2012, 2011, 2010 and 2009, impairment of assets includes $1,764, $22,576, $9,147, $9,572 and $26,901, respectively, of impairment of assets reclassified to discontinued operations.</w:t>
      </w:r>
    </w:p>
    <w:p>
      <w:pPr>
        <w:ind w:left="660" w:hanging="652"/>
        <w:spacing w:after="0" w:line="255"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For the years ended December 31, 2013, 2012 and 2010, (gain) loss on early extinguishment of debt excludes the portion of losses paid in cash of $13,535, $15,411 and $1,152, respectively.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8"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5260" w:type="dxa"/>
            <w:vAlign w:val="bottom"/>
            <w:gridSpan w:val="2"/>
          </w:tcPr>
          <w:p>
            <w:pPr>
              <w:spacing w:after="0"/>
              <w:rPr>
                <w:rFonts w:ascii="Arial" w:cs="Arial" w:eastAsia="Arial" w:hAnsi="Arial"/>
                <w:sz w:val="14"/>
                <w:szCs w:val="14"/>
                <w:b w:val="1"/>
                <w:bCs w:val="1"/>
                <w:color w:val="0000EE"/>
              </w:rPr>
            </w:pPr>
            <w:hyperlink w:anchor="page47">
              <w:r>
                <w:rPr>
                  <w:rFonts w:ascii="Arial" w:cs="Arial" w:eastAsia="Arial" w:hAnsi="Arial"/>
                  <w:sz w:val="14"/>
                  <w:szCs w:val="14"/>
                  <w:b w:val="1"/>
                  <w:bCs w:val="1"/>
                  <w:color w:val="0000EE"/>
                </w:rPr>
                <w:t>Table of Contents</w:t>
              </w:r>
            </w:hyperlink>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49"/>
        </w:trPr>
        <w:tc>
          <w:tcPr>
            <w:tcW w:w="1100" w:type="dxa"/>
            <w:vAlign w:val="bottom"/>
            <w:tcBorders>
              <w:top w:val="single" w:sz="8" w:color="0000EE"/>
            </w:tcBorders>
          </w:tcPr>
          <w:p>
            <w:pPr>
              <w:spacing w:after="0"/>
              <w:rPr>
                <w:sz w:val="24"/>
                <w:szCs w:val="24"/>
                <w:color w:val="auto"/>
              </w:rPr>
            </w:pPr>
          </w:p>
        </w:tc>
        <w:tc>
          <w:tcPr>
            <w:tcW w:w="4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center"/>
              <w:ind w:left="393"/>
              <w:spacing w:after="0"/>
              <w:rPr>
                <w:sz w:val="20"/>
                <w:szCs w:val="20"/>
                <w:color w:val="auto"/>
              </w:rPr>
            </w:pPr>
            <w:r>
              <w:rPr>
                <w:rFonts w:ascii="Arial" w:cs="Arial" w:eastAsia="Arial" w:hAnsi="Arial"/>
                <w:sz w:val="14"/>
                <w:szCs w:val="14"/>
                <w:b w:val="1"/>
                <w:bCs w:val="1"/>
                <w:color w:val="auto"/>
                <w:w w:val="92"/>
              </w:rPr>
              <w:t>For the Years Ended December 31,</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64"/>
        </w:trPr>
        <w:tc>
          <w:tcPr>
            <w:tcW w:w="110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2009</w:t>
            </w:r>
          </w:p>
        </w:tc>
      </w:tr>
      <w:tr>
        <w:trPr>
          <w:trHeight w:val="196"/>
        </w:trPr>
        <w:tc>
          <w:tcPr>
            <w:tcW w:w="110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6"/>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(111,233)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(241,430)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(25,693)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80,206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(769,847)</w:t>
            </w:r>
          </w:p>
        </w:tc>
      </w:tr>
      <w:tr>
        <w:trPr>
          <w:trHeight w:val="27"/>
        </w:trPr>
        <w:tc>
          <w:tcPr>
            <w:tcW w:w="11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Add: Interest expense(1)</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269,921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356,161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345,914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5"/>
              </w:rPr>
              <w:t>346,500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481,116</w:t>
            </w:r>
          </w:p>
        </w:tc>
      </w:tr>
      <w:tr>
        <w:trPr>
          <w:trHeight w:val="243"/>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Less: Income tax expense (benefit)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8,445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7,023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4,141</w:t>
            </w:r>
          </w:p>
        </w:tc>
      </w:tr>
      <w:tr>
        <w:trPr>
          <w:trHeight w:val="27"/>
        </w:trPr>
        <w:tc>
          <w:tcPr>
            <w:tcW w:w="11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Add: Depreciation and amortization(2)</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74,673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70,786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63,928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70,786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98,238</w:t>
            </w:r>
          </w:p>
        </w:tc>
      </w:tr>
      <w:tr>
        <w:trPr>
          <w:trHeight w:val="237"/>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EBITDA</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232,702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193,962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379,430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5"/>
              </w:rPr>
              <w:t>504,515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(186,352)</w:t>
            </w:r>
          </w:p>
        </w:tc>
      </w:tr>
      <w:tr>
        <w:trPr>
          <w:trHeight w:val="27"/>
        </w:trPr>
        <w:tc>
          <w:tcPr>
            <w:tcW w:w="11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Add: Provision for loan losses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81,740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46,412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5"/>
              </w:rPr>
              <w:t>331,487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1,255,357</w:t>
            </w:r>
          </w:p>
        </w:tc>
      </w:tr>
      <w:tr>
        <w:trPr>
          <w:trHeight w:val="243"/>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Add: Impairment of assets(3)</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14,353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36,354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22,386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22,381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141,018</w:t>
            </w:r>
          </w:p>
        </w:tc>
      </w:tr>
      <w:tr>
        <w:trPr>
          <w:trHeight w:val="27"/>
        </w:trPr>
        <w:tc>
          <w:tcPr>
            <w:tcW w:w="11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Add: Loss on transfer of interest to unconsolidated subsidiary</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Add: Stock-based compensation expense</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19,261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15,293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29,702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19,355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23,593</w:t>
            </w:r>
          </w:p>
        </w:tc>
      </w:tr>
      <w:tr>
        <w:trPr>
          <w:trHeight w:val="27"/>
        </w:trPr>
        <w:tc>
          <w:tcPr>
            <w:tcW w:w="11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Add: (Gain) loss on early extinguishment of debt, net(4)</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19,655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22,405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(101,466)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(110,075)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(547,349)</w:t>
            </w:r>
          </w:p>
        </w:tc>
      </w:tr>
      <w:tr>
        <w:trPr>
          <w:trHeight w:val="257"/>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Adjusted EBITDA(5)</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298,833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349,754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376,464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5"/>
              </w:rPr>
              <w:t>767,663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686,267</w:t>
            </w:r>
          </w:p>
        </w:tc>
      </w:tr>
      <w:tr>
        <w:trPr>
          <w:trHeight w:val="20"/>
        </w:trPr>
        <w:tc>
          <w:tcPr>
            <w:tcW w:w="1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6" w:lineRule="exact"/>
        <w:rPr>
          <w:sz w:val="20"/>
          <w:szCs w:val="20"/>
          <w:color w:val="auto"/>
        </w:rPr>
      </w:pPr>
    </w:p>
    <w:p>
      <w:pPr>
        <w:ind w:left="660" w:right="20" w:hanging="652"/>
        <w:spacing w:after="0" w:line="287"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For the years ended December 31, 2013, 2012, 2011, 2010 and 2009, interest expense includes $0</w:t>
      </w:r>
      <w:r>
        <w:rPr>
          <w:rFonts w:ascii="Arial" w:cs="Arial" w:eastAsia="Arial" w:hAnsi="Arial"/>
          <w:sz w:val="18"/>
          <w:szCs w:val="18"/>
          <w:color w:val="auto"/>
        </w:rPr>
        <w:t>,</w:t>
      </w:r>
      <w:r>
        <w:rPr>
          <w:rFonts w:ascii="Arial" w:cs="Arial" w:eastAsia="Arial" w:hAnsi="Arial"/>
          <w:sz w:val="14"/>
          <w:szCs w:val="14"/>
          <w:color w:val="auto"/>
        </w:rPr>
        <w:t xml:space="preserve"> $1,064, $3,728, $32,734 and $69,326, respectively, of interest expense reclassified to discontinued operations. Interest expense also includes our proportionate share of interest for equity method investments.</w:t>
      </w:r>
    </w:p>
    <w:p>
      <w:pPr>
        <w:spacing w:after="0" w:line="1" w:lineRule="exact"/>
        <w:rPr>
          <w:rFonts w:ascii="Arial" w:cs="Arial" w:eastAsia="Arial" w:hAnsi="Arial"/>
          <w:sz w:val="14"/>
          <w:szCs w:val="14"/>
          <w:color w:val="auto"/>
        </w:rPr>
      </w:pPr>
    </w:p>
    <w:p>
      <w:pPr>
        <w:jc w:val="both"/>
        <w:ind w:left="660" w:hanging="652"/>
        <w:spacing w:after="0" w:line="247"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For the years ended December 31, 2013, 2012, 2011, 2010 and 2009, depreciation and amortization includes $264, $2,016, $5,837, $14,117 and $42,099, respectively, of depreciation and amortization reclassified to discontinued operations. Depreciation and amortization also includes our proportionate share of depreciation and amortization expense for equity method investments.</w:t>
      </w:r>
    </w:p>
    <w:p>
      <w:pPr>
        <w:spacing w:after="0" w:line="1" w:lineRule="exact"/>
        <w:rPr>
          <w:rFonts w:ascii="Arial" w:cs="Arial" w:eastAsia="Arial" w:hAnsi="Arial"/>
          <w:sz w:val="14"/>
          <w:szCs w:val="14"/>
          <w:color w:val="auto"/>
        </w:rPr>
      </w:pPr>
    </w:p>
    <w:p>
      <w:pPr>
        <w:ind w:left="660" w:hanging="652"/>
        <w:spacing w:after="0" w:line="241"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For the years ended December 31, 2013, 2012, 2011, 2010 and 2009, impairment of assets includes $1,764, $22,576, $9,147, $9,572 and $26,901, respectively, of impairment of assets reclassified to discontinued operations.</w:t>
      </w:r>
    </w:p>
    <w:p>
      <w:pPr>
        <w:ind w:left="660" w:hanging="652"/>
        <w:spacing w:after="0" w:line="241"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For the years ended December 31, 2013, 2012 and 2010, (gain) loss on early extinguishment of debt excludes the portion of losses paid in cash of $13,535, $15,411 and $1,152, respectively.</w:t>
      </w:r>
    </w:p>
    <w:p>
      <w:pPr>
        <w:ind w:left="660" w:hanging="652"/>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Prior period presentation has been adjusted to conform to current year presentation.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b w:val="1"/>
          <w:bCs w:val="1"/>
          <w:i w:val="1"/>
          <w:iCs w:val="1"/>
          <w:color w:val="auto"/>
        </w:rPr>
        <w:t>Loan Credit Statistics</w:t>
      </w:r>
      <w:r>
        <w:rPr>
          <w:rFonts w:ascii="Arial" w:cs="Arial" w:eastAsia="Arial" w:hAnsi="Arial"/>
          <w:sz w:val="18"/>
          <w:szCs w:val="18"/>
          <w:color w:val="auto"/>
        </w:rPr>
        <w:t>—The table below summarizes our non-performing loans and the reserves for loan losses associated with our loans ($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20" w:type="dxa"/>
            <w:vAlign w:val="bottom"/>
            <w:tcBorders>
              <w:bottom w:val="single" w:sz="8" w:color="auto"/>
            </w:tcBorders>
          </w:tcPr>
          <w:p>
            <w:pPr>
              <w:spacing w:after="0"/>
              <w:rPr>
                <w:sz w:val="16"/>
                <w:szCs w:val="16"/>
                <w:color w:val="auto"/>
              </w:rPr>
            </w:pPr>
          </w:p>
        </w:tc>
      </w:tr>
      <w:tr>
        <w:trPr>
          <w:trHeight w:val="264"/>
        </w:trPr>
        <w:tc>
          <w:tcPr>
            <w:tcW w:w="77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2012</w:t>
            </w: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Non-performing loans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Carrying value(1)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4"/>
              <w:spacing w:after="0"/>
              <w:rPr>
                <w:sz w:val="20"/>
                <w:szCs w:val="20"/>
                <w:color w:val="auto"/>
              </w:rPr>
            </w:pPr>
            <w:r>
              <w:rPr>
                <w:rFonts w:ascii="Arial" w:cs="Arial" w:eastAsia="Arial" w:hAnsi="Arial"/>
                <w:sz w:val="18"/>
                <w:szCs w:val="18"/>
                <w:color w:val="auto"/>
              </w:rPr>
              <w:t>203,604</w:t>
            </w:r>
          </w:p>
        </w:tc>
        <w:tc>
          <w:tcPr>
            <w:tcW w:w="12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503,112</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a percentage of total carrying value of loans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Reserve for loan losses</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Impaired loan asset-specific reserves for loan losses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348,004</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491,399</w:t>
            </w:r>
          </w:p>
        </w:tc>
      </w:tr>
      <w:tr>
        <w:trPr>
          <w:trHeight w:val="243"/>
        </w:trPr>
        <w:tc>
          <w:tcPr>
            <w:tcW w:w="7740" w:type="dxa"/>
            <w:vAlign w:val="bottom"/>
          </w:tcPr>
          <w:p>
            <w:pPr>
              <w:ind w:left="160"/>
              <w:spacing w:after="0"/>
              <w:rPr>
                <w:sz w:val="20"/>
                <w:szCs w:val="20"/>
                <w:color w:val="auto"/>
              </w:rPr>
            </w:pPr>
            <w:r>
              <w:rPr>
                <w:rFonts w:ascii="Arial" w:cs="Arial" w:eastAsia="Arial" w:hAnsi="Arial"/>
                <w:sz w:val="18"/>
                <w:szCs w:val="18"/>
                <w:color w:val="auto"/>
              </w:rPr>
              <w:t>As a percentage of gross carrying value of impaired loans</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42.6%</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reserve for loan losses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377,204</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524,499</w:t>
            </w:r>
          </w:p>
        </w:tc>
      </w:tr>
      <w:tr>
        <w:trPr>
          <w:trHeight w:val="243"/>
        </w:trPr>
        <w:tc>
          <w:tcPr>
            <w:tcW w:w="7740" w:type="dxa"/>
            <w:vAlign w:val="bottom"/>
          </w:tcPr>
          <w:p>
            <w:pPr>
              <w:ind w:left="160"/>
              <w:spacing w:after="0"/>
              <w:rPr>
                <w:sz w:val="20"/>
                <w:szCs w:val="20"/>
                <w:color w:val="auto"/>
              </w:rPr>
            </w:pPr>
            <w:r>
              <w:rPr>
                <w:rFonts w:ascii="Arial" w:cs="Arial" w:eastAsia="Arial" w:hAnsi="Arial"/>
                <w:sz w:val="18"/>
                <w:szCs w:val="18"/>
                <w:color w:val="auto"/>
              </w:rPr>
              <w:t>As a percentage of total loans before loan loss reserves</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22.3%</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As of December 31, 2013 and 2012, carrying values of non-performing loans are net of asset-specific reserves for loan losses of $317.0 million and $476.1 million, respectively.</w:t>
      </w:r>
    </w:p>
    <w:p>
      <w:pPr>
        <w:spacing w:after="0" w:line="17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b w:val="1"/>
          <w:bCs w:val="1"/>
          <w:i w:val="1"/>
          <w:iCs w:val="1"/>
          <w:color w:val="auto"/>
        </w:rPr>
        <w:t>Non-Performing Loans</w:t>
      </w:r>
      <w:r>
        <w:rPr>
          <w:rFonts w:ascii="Arial" w:cs="Arial" w:eastAsia="Arial" w:hAnsi="Arial"/>
          <w:sz w:val="18"/>
          <w:szCs w:val="18"/>
          <w:color w:val="auto"/>
        </w:rPr>
        <w:t>—We designate loans as non-performing at such time as: (1) the loan becomes 90 days delinquent; (2) the loan has a maturity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default; or (3) management determines it is probable that it will be unable to collect all amounts due according to the contractual terms of the loan. All non-performing loans are placed on non-accrual status and income is only recognized in certain cases upon actual cash receipt. As of December 31, 2013, we had non-performing loans with an aggregate carrying value of $203.6 million compared to non-performing loans of $503.1 million at December 31, 2012. Our non-performing</w:t>
      </w:r>
    </w:p>
    <w:p>
      <w:pPr>
        <w:sectPr>
          <w:pgSz w:w="11900" w:h="16838" w:orient="portrait"/>
          <w:cols w:equalWidth="0" w:num="1">
            <w:col w:w="11420"/>
          </w:cols>
          <w:pgMar w:left="240" w:top="114"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14" w:right="239" w:bottom="1440" w:gutter="0" w:footer="0" w:header="0"/>
          <w:type w:val="continuous"/>
        </w:sectPr>
      </w:pPr>
    </w:p>
    <w:bookmarkStart w:id="36" w:name="page37"/>
    <w:bookmarkEnd w:id="36"/>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loans significantly decreased during year ended December 31, 2013, primarily due to paydowns received on non-performing loans, reclassification of certain non-performing loans to performing status and receiving title to properties serving as collateral in full or partial satisfaction of such loans. We expect that our level of non-performing loans will fluctuate from period to period.</w:t>
      </w:r>
    </w:p>
    <w:p>
      <w:pPr>
        <w:spacing w:after="0" w:line="18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b w:val="1"/>
          <w:bCs w:val="1"/>
          <w:i w:val="1"/>
          <w:iCs w:val="1"/>
          <w:color w:val="auto"/>
        </w:rPr>
        <w:t>Reserve for Loan Losses</w:t>
      </w:r>
      <w:r>
        <w:rPr>
          <w:rFonts w:ascii="Arial" w:cs="Arial" w:eastAsia="Arial" w:hAnsi="Arial"/>
          <w:sz w:val="16"/>
          <w:szCs w:val="16"/>
          <w:color w:val="auto"/>
        </w:rPr>
        <w:t>—The reserve for loan losses was $377.2 million as of December 31, 2013, or 23.5% of the gross carrying value of total loans,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$524.5 million or 22.3% at December 31, 2012. The change in the balance of the reserve was the result of $5.5 million of net provisioning for loan losses, reduced by $152.8 million of charge-offs during the year ended December 31, 2013. During the year ended December 31, 2013, the provision for loan losses includes recoveries of previously recorded loan loss reserves of $63.1 million as compared to $4.6 million for the year ended December 31, 2012. We expect that our level of reserve for loan losses will fluctuate from period to period. Due to the volatility of the commercial real estate market, the process of estimating collateral values and reserves requires the use of significant judgment. In addition, the process of estimating values and reserves for our European loan assets (which had a carrying value of $118.8 million as of December 31, 2013), is subject to additional risks related to the economic uncertainty in the Eurozone. We currently believe there are adequate collateral and reserves to support the carrying values of the loans.</w:t>
      </w:r>
    </w:p>
    <w:p>
      <w:pPr>
        <w:spacing w:after="0" w:line="16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reserve for loan losses includes an asset-specific component and a formula-based component. An asset-specific reserve is established for an impaired loan when the estimated fair value of the loan's collateral less costs to sell is lower than the carrying value of the loan. As of December 31, 2013, asset-specific reserves decreased to $348.0 million compared to $491.4 million at December 31, 2012, primarily due to charge-offs on loans where we took title to properties serving as collateral in full or partial satisfaction of such loans or loans that were sold. The decrease was partially offset by additional reserves established on new non-performing loans.</w:t>
      </w:r>
    </w:p>
    <w:p>
      <w:pPr>
        <w:spacing w:after="0" w:line="18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formula-based general reserve is derived from estimated principal default probabilities and loss severities applied to groups of performing loans based upon risk ratings assigned to loans with similar risk characteristics during our quarterly loan portfolio assessment. During this assessment, we perform a comprehensive analysis of our loan portfolio and assign risk ratings to loans that incorporate management's current judgments about their credit quality based on all known and relevant factors that may affect collectability. We consider, among other things, payment status, lien position, borrower financial resources and investment in collateral, collateral type, project economics and geographical location as well as national and regional economic factors. This methodology results in loans being segmented by risk classification into risk rating categories that are associated with estimated probabilities of default and principal loss. We estimate loss rates based on historical realized losses experienced within our portfolio and take into account current economic conditions affecting the commercial real estate market when establishing appropriate time frames to evaluate loss experience.</w:t>
      </w:r>
    </w:p>
    <w:p>
      <w:pPr>
        <w:spacing w:after="0" w:line="16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general reserve decreased to $29.2 million or 2.7% of the gross carrying value of performing loans as of December 31, 2013, compared to $33.1 million or 2.4% of the gross carrying value of performing loans at December 31, 2012. This reduction is primarily attributable to the reduction in the balance of performing loans offset by a slight increase in the weighted average risk ratings of performing loans to 3.11 as of December 31, 2013 compared to 3.01 as of December 31, 2012.</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Risk concentrations</w:t>
      </w:r>
      <w:r>
        <w:rPr>
          <w:rFonts w:ascii="Arial" w:cs="Arial" w:eastAsia="Arial" w:hAnsi="Arial"/>
          <w:sz w:val="18"/>
          <w:szCs w:val="18"/>
          <w:color w:val="auto"/>
        </w:rPr>
        <w:t>—Concentrations of credit risks arise when a number of borrowers or tenants related to our investments are engaged in similar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activities, or activities in the same geographic region, or have similar economic features that would cause their ability to meet contractual obligations, including those to us, to be similarly affected by changes in economic conditions.</w:t>
      </w:r>
    </w:p>
    <w:p>
      <w:pPr>
        <w:spacing w:after="0" w:line="100"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Substantially all of our real estate as well as assets collateralizing our loans receivable are located in the United States. As of December 31, 2013, the only state with a concentration greater than 10.0% was California with 15.1%. As of that date, we also had approximately 21.4% of the carrying value of our assets related to properties located in the northeastern U.S., 21.4% related to properties located in the western U.S., 15.8% related to properties located in the southeastern U.S., 13.4% related to properties located in the southwestern U.S. and 13.4% related to properties located in the mid-Atlantic region of the U.S. In addition, as of December 31, 2013, we had $118.8 million of European assets. As of December 31, 2013, our portfolio contains concentrations in the following asset types: land 21.6%, office 15.2%, industrial/R&amp;D 13.5% and entertainment/leisure 10.7%. Additional information regarding property/collateral type and geographical region for each segment is in Item 1—"Business."</w:t>
      </w:r>
    </w:p>
    <w:p>
      <w:pPr>
        <w:spacing w:after="0" w:line="23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underwrite the credit of prospective borrowers and tenants and often require them to provide some form of credit support such as corporate guarantees, letters of credit and/or cash security deposits. Although our loans and real estate assets are geographically diverse and the borrowers and tenants operate in a variety of industries, to the extent we have a significant concentration of interest or operating lease revenues from any single borrower or tenant, the inability of that borrower or tenant to make its payment could have an adverse effect on us. As of December 31, 2013, our five largest borrowers or tenants collectively accounted for approximately 25% of our aggregate annualized interest and operating lease revenue, of which no single customer accounts for more than 8%.</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During the year ended December 31, 2013, we funded investments totaling $483.7 million. Also during 2013, we received $1.40 billion of proceeds from our portfolios, comprised of $703.3 million from repayments and sales of loans, $376.5 million from sales of operating properties, $239.9 million from sales and distributions from other investments, and $83.6 million from sales of land and net lease assets. Included in the proceeds from other investments are net proceeds of $220.3 million from the sale of our interest in LNR. The transaction provided us with additional liquidity for new investment activities which should contribute positively to our earnings; however, those investments may not fully replace the earnings contributed by LNR (see Note 6 to the Consolidated Financial Statements). In addition, we raised $194.0 million in net proceeds from our Series J Preferred Stock issuance to provide liquidity for new investment originations and general corporate purposes. As of December 31, 2013, we had unrestricted cash of $513.6 million, a portion of which we have since used to fund new investments, and we expect similarly to use the remainder to primarily fund investment activities.</w:t>
      </w:r>
    </w:p>
    <w:p>
      <w:pPr>
        <w:spacing w:after="0" w:line="12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As of December 31, 2013, we had $21.7 million of debt maturities due before December 31, 2014. Over the next 12 months, we currently expect to fund in the range of $275 million to $350 million of capital expenditures within our portfolio. The majority of these amounts relate to our land portfolio and the amount spent will depend on the pace of our land development activities. Our capital sources to meet expected cash uses through the next 12 months will primarily include cash on hand, loan repayments from borrowers, proceeds from unencumbered asset sales and raising capital through debt refinancings or equity capital transactions. As of December 31, 2013, we had unencumbered assets with a carrying value of approximately $3.0 billion.</w:t>
      </w:r>
    </w:p>
    <w:p>
      <w:pPr>
        <w:spacing w:after="0" w:line="13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cannot predict with certainty the specific transactions we will undertake to generate sufficient liquidity to meet our obligations as they come due. We will adjust our plans as appropriate in response to changes in our expectations and changes in market conditions. While economic trends have been improving, it is not possible for us to predict whether the improving trends will continue or to quantify the impact of these or other trends on our financial results.</w:t>
      </w:r>
    </w:p>
    <w:p>
      <w:pPr>
        <w:spacing w:after="0" w:line="14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Contractual Obligations</w:t>
      </w:r>
      <w:r>
        <w:rPr>
          <w:rFonts w:ascii="Arial" w:cs="Arial" w:eastAsia="Arial" w:hAnsi="Arial"/>
          <w:sz w:val="18"/>
          <w:szCs w:val="18"/>
          <w:color w:val="auto"/>
        </w:rPr>
        <w:t>—The following table outlines the contractual obligations related to our long-term debt agreements and operating lease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obligations as of December 31, 2013 (see Note 8 of the Notes to the Consolidated Financial Statements).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Amounts Due By Period</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11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Less Than 1</w:t>
            </w:r>
          </w:p>
        </w:tc>
        <w:tc>
          <w:tcPr>
            <w:tcW w:w="240" w:type="dxa"/>
            <w:vAlign w:val="bottom"/>
          </w:tcPr>
          <w:p>
            <w:pPr>
              <w:spacing w:after="0"/>
              <w:rPr>
                <w:sz w:val="13"/>
                <w:szCs w:val="13"/>
                <w:color w:val="auto"/>
              </w:rPr>
            </w:pPr>
          </w:p>
        </w:tc>
        <w:tc>
          <w:tcPr>
            <w:tcW w:w="960" w:type="dxa"/>
            <w:vAlign w:val="bottom"/>
          </w:tcPr>
          <w:p>
            <w:pPr>
              <w:jc w:val="right"/>
              <w:ind w:right="396"/>
              <w:spacing w:after="0" w:line="153" w:lineRule="exact"/>
              <w:rPr>
                <w:sz w:val="20"/>
                <w:szCs w:val="20"/>
                <w:color w:val="auto"/>
              </w:rPr>
            </w:pPr>
            <w:r>
              <w:rPr>
                <w:rFonts w:ascii="Arial" w:cs="Arial" w:eastAsia="Arial" w:hAnsi="Arial"/>
                <w:sz w:val="14"/>
                <w:szCs w:val="14"/>
                <w:b w:val="1"/>
                <w:bCs w:val="1"/>
                <w:color w:val="auto"/>
              </w:rPr>
              <w:t>1 - 3</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3 - 5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ind w:left="160"/>
              <w:spacing w:after="0" w:line="153" w:lineRule="exact"/>
              <w:rPr>
                <w:sz w:val="20"/>
                <w:szCs w:val="20"/>
                <w:color w:val="auto"/>
              </w:rPr>
            </w:pPr>
            <w:r>
              <w:rPr>
                <w:rFonts w:ascii="Arial" w:cs="Arial" w:eastAsia="Arial" w:hAnsi="Arial"/>
                <w:sz w:val="14"/>
                <w:szCs w:val="14"/>
                <w:b w:val="1"/>
                <w:bCs w:val="1"/>
                <w:color w:val="auto"/>
              </w:rPr>
              <w:t>5 - 10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274"/>
              <w:spacing w:after="0" w:line="153" w:lineRule="exact"/>
              <w:rPr>
                <w:sz w:val="20"/>
                <w:szCs w:val="20"/>
                <w:color w:val="auto"/>
              </w:rPr>
            </w:pPr>
            <w:r>
              <w:rPr>
                <w:rFonts w:ascii="Arial" w:cs="Arial" w:eastAsia="Arial" w:hAnsi="Arial"/>
                <w:sz w:val="14"/>
                <w:szCs w:val="14"/>
                <w:b w:val="1"/>
                <w:bCs w:val="1"/>
                <w:color w:val="auto"/>
              </w:rPr>
              <w:t>After 10</w:t>
            </w: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Year</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 Obligations</w:t>
            </w: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Secured credit facilities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1,810,882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w w:val="92"/>
              </w:rPr>
              <w:t>1,810,882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Unsecured notes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2,006,890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1,032,168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974,722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Secured term loans</w:t>
            </w: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278,817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29,917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17,978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26,916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200,613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debt obligations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37"/>
        </w:trPr>
        <w:tc>
          <w:tcPr>
            <w:tcW w:w="2860" w:type="dxa"/>
            <w:vAlign w:val="bottom"/>
          </w:tcPr>
          <w:p>
            <w:pPr>
              <w:ind w:left="160"/>
              <w:spacing w:after="0"/>
              <w:rPr>
                <w:sz w:val="20"/>
                <w:szCs w:val="20"/>
                <w:color w:val="auto"/>
              </w:rPr>
            </w:pPr>
            <w:r>
              <w:rPr>
                <w:rFonts w:ascii="Arial" w:cs="Arial" w:eastAsia="Arial" w:hAnsi="Arial"/>
                <w:sz w:val="18"/>
                <w:szCs w:val="18"/>
                <w:color w:val="auto"/>
              </w:rPr>
              <w:t>Total principal maturities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4,196,589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29,917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1,050,146</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2"/>
              </w:rPr>
              <w:t>2,812,520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200,613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103,393</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Payable(1)</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857,356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226,279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414,401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158,971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36,152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21,553</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Operating Lease Obligations</w:t>
            </w: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37,403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5,797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10,695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9,202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9,523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Total(2)</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5,091,348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261,993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1,475,242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2"/>
              </w:rPr>
              <w:t>2,980,693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246,288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127,132</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All variable-rate debt assumes a 3-month LIBOR rate of 0.24% and 1-month LIBOR rate of 0.17%.</w:t>
      </w:r>
    </w:p>
    <w:p>
      <w:pPr>
        <w:spacing w:after="0" w:line="13" w:lineRule="exact"/>
        <w:rPr>
          <w:rFonts w:ascii="Arial" w:cs="Arial" w:eastAsia="Arial" w:hAnsi="Arial"/>
          <w:sz w:val="14"/>
          <w:szCs w:val="14"/>
          <w:color w:val="auto"/>
        </w:rPr>
      </w:pPr>
    </w:p>
    <w:p>
      <w:pPr>
        <w:ind w:left="660" w:hanging="652"/>
        <w:spacing w:after="0" w:line="255"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also have issued letters of credit totaling $3.7 million in connection with four of our investments. See Unfunded Commitments below, for a discussion of certain unfunded commitments related to our lending and net lease businesses.</w:t>
      </w:r>
    </w:p>
    <w:p>
      <w:pPr>
        <w:spacing w:after="0" w:line="132"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b w:val="1"/>
          <w:bCs w:val="1"/>
          <w:color w:val="auto"/>
        </w:rPr>
        <w:t>February 2013 Secured Credit Facility</w:t>
      </w:r>
      <w:r>
        <w:rPr>
          <w:rFonts w:ascii="Arial" w:cs="Arial" w:eastAsia="Arial" w:hAnsi="Arial"/>
          <w:sz w:val="18"/>
          <w:szCs w:val="18"/>
          <w:color w:val="auto"/>
        </w:rPr>
        <w:t>—On February 11, 2013, we entered into a $1.71 billion senior secured credit facility due October 15, 2017</w:t>
      </w:r>
      <w:r>
        <w:rPr>
          <w:rFonts w:ascii="Arial" w:cs="Arial" w:eastAsia="Arial" w:hAnsi="Arial"/>
          <w:sz w:val="18"/>
          <w:szCs w:val="18"/>
          <w:b w:val="1"/>
          <w:bCs w:val="1"/>
          <w:color w:val="auto"/>
        </w:rPr>
        <w:t xml:space="preserve"> </w:t>
      </w:r>
      <w:r>
        <w:rPr>
          <w:rFonts w:ascii="Arial" w:cs="Arial" w:eastAsia="Arial" w:hAnsi="Arial"/>
          <w:sz w:val="18"/>
          <w:szCs w:val="18"/>
          <w:color w:val="auto"/>
        </w:rPr>
        <w:t>(the “February 2013 Secured Credit Facility”) that amended and restated our $1.82 billion senior secured credit facility, dated October 15, 2012 (the “October 2012 Secured Credit Facility”). The February 2013 Credit Facility amended the October 2012 Secured Credit Facility by: (i) reducing the interest rate from LIBOR plus 4.50%, with a 1.25% LIBOR floor, to LIBOR plus 3.50%, with a 1.00% LIBOR floor; and (ii) extending the call protection period for the lenders from October 15, 2013 to December 31, 2013.</w:t>
      </w:r>
    </w:p>
    <w:p>
      <w:pPr>
        <w:spacing w:after="0" w:line="14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Borrowings under the February 2013 Secured Credit Facility are collateralized by a first lien on a fixed pool of assets, with required minimum collateral coverage of not less than 125% of outstanding borrowings. If collateral coverage is less than 137.5% of outstanding borrowings, 100% of the proceeds from principal repayments and sales of collateral will be applied to repay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outstanding borrowings under the February 2013 Secured Credit Facility. For so long as collateral coverage is between 137.5% and 150% of outstanding borrowings, 50% of proceeds from principal repayments and sales of collateral will be applied to repay outstanding borrowings under the February 2013 Secured Credit Facility and for so long as collateral coverage is greater than 150% of outstanding borrowings, we may retain all proceeds from principal repayments and sales of collateral. We retain proceeds from interest, rent, lease payments and fee income in all cases.</w:t>
      </w:r>
    </w:p>
    <w:p>
      <w:pPr>
        <w:spacing w:after="0" w:line="13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connection with the February 2013 Secured Credit Facility transaction, we incurred $17.1 million of lender fees, of which $14.4 million was capitalized in "Debt Obligations, net" on our Consolidated Balance Sheets and $2.7 million was recorded as a loss in "Gain (loss) on early extinguishment of debt, net" on our Consolidated Statements of Operations as it related to the lenders who did not participate in the new facility. We also incurred $3.8 million in third party fees, of which $3.6 million was recognized in “Other expense” on our Consolidated Statements of Operations, as it related primarily to those lenders from the original facility that modified their debt under the new facility, and $0.2 million was recorded in “Deferred expenses and other assets, net” on our Consolidated Balance Sheets, as it related to the new lenders.</w:t>
      </w:r>
    </w:p>
    <w:p>
      <w:pPr>
        <w:spacing w:after="0" w:line="153"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February 2013 Secured Credit Facility contains certain covenants relating to the collateral, among other matters, but does not contain corporate level financial covenants. For so long as we maintain our qualification as a REIT, we are permitted to distribute 100% of our REIT taxable income on an annual basis. In addition, we may distribute to our stockholders real estate assets, or interests therein, having an aggregate equity value not to exceed $200 million, that are not collateral securing the borrowings under the February 2013 Secured Credit Facility. Except for the distribution of real estate assets described in the preceding sentence, we may not pay common dividends if we cease to qualify as a REIT.</w:t>
      </w:r>
    </w:p>
    <w:p>
      <w:pPr>
        <w:spacing w:after="0" w:line="13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Through December 31, 2013, we have made cumulative amortization repayments of $327.6 million on the February 2013 Secured Credit Facility bringing the outstanding balance to $1.38 billion. Repayments of the February 2013 Secured Credit Facility prior to the scheduled maturity date have resulted in losses on early extinguishment of debt of $7.0 million for the year ended December 31, 2013 related to the accelerated amortization of discounts and unamortized deferred financing fees on the portion of the facility that was repaid.</w:t>
      </w:r>
    </w:p>
    <w:p>
      <w:pPr>
        <w:spacing w:after="0" w:line="142" w:lineRule="exact"/>
        <w:rPr>
          <w:sz w:val="20"/>
          <w:szCs w:val="20"/>
          <w:color w:val="auto"/>
        </w:rPr>
      </w:pPr>
    </w:p>
    <w:p>
      <w:pPr>
        <w:ind w:firstLine="432"/>
        <w:spacing w:after="0" w:line="313" w:lineRule="auto"/>
        <w:rPr>
          <w:sz w:val="20"/>
          <w:szCs w:val="20"/>
          <w:color w:val="auto"/>
        </w:rPr>
      </w:pPr>
      <w:r>
        <w:rPr>
          <w:rFonts w:ascii="Arial" w:cs="Arial" w:eastAsia="Arial" w:hAnsi="Arial"/>
          <w:sz w:val="17"/>
          <w:szCs w:val="17"/>
          <w:b w:val="1"/>
          <w:bCs w:val="1"/>
          <w:color w:val="auto"/>
        </w:rPr>
        <w:t>October 2012 Secured Credit Facility</w:t>
      </w:r>
      <w:r>
        <w:rPr>
          <w:rFonts w:ascii="Arial" w:cs="Arial" w:eastAsia="Arial" w:hAnsi="Arial"/>
          <w:sz w:val="17"/>
          <w:szCs w:val="17"/>
          <w:color w:val="auto"/>
        </w:rPr>
        <w:t>—On October 15, 2012, we entered into the October 2012 Secured Credit Facility. Proceeds from the October</w:t>
      </w:r>
      <w:r>
        <w:rPr>
          <w:rFonts w:ascii="Arial" w:cs="Arial" w:eastAsia="Arial" w:hAnsi="Arial"/>
          <w:sz w:val="17"/>
          <w:szCs w:val="17"/>
          <w:b w:val="1"/>
          <w:bCs w:val="1"/>
          <w:color w:val="auto"/>
        </w:rPr>
        <w:t xml:space="preserve"> </w:t>
      </w:r>
      <w:r>
        <w:rPr>
          <w:rFonts w:ascii="Arial" w:cs="Arial" w:eastAsia="Arial" w:hAnsi="Arial"/>
          <w:sz w:val="17"/>
          <w:szCs w:val="17"/>
          <w:color w:val="auto"/>
        </w:rPr>
        <w:t>2012 Secured Credit Facility were used to refinance the remaining outstanding balances of our then existing 2011 Secured Credit Facilities.</w:t>
      </w:r>
    </w:p>
    <w:p>
      <w:pPr>
        <w:spacing w:after="0" w:line="14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During the year ended December 31, 2012, in connection with the October 2012 Secured Credit Facility transaction, we incurred $14.8 million in third party fees, of which $8.1 million was recognized in “Other expense” on our Consolidated Statements of Operations as it related to the portion of lenders from the original facility that modified their debt under the new facility. The remaining $6.6 million of fees were recorded in “Deferred expenses and other assets, net” on our Consolidated Balance Sheets, as they related to the portion of lenders that were new to the facility.</w:t>
      </w:r>
    </w:p>
    <w:p>
      <w:pPr>
        <w:spacing w:after="0" w:line="13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October 2012 Secured Credit Facility was refinanced by the February 2013 Secured Credit Facility. Prior to refinancing, we made cumulative amortization repayments of $113.0 million on the October 2012 Secured Credit Facility, which resulted in losses on early extinguishment of debt of $0.8 million and $1.2 million during the year ended December 31, 2013 and 2012, respectively, related to the accelerated amortization of discounts and unamortized deferred financing fees on the portion of the facility that was repaid.</w:t>
      </w:r>
    </w:p>
    <w:p>
      <w:pPr>
        <w:spacing w:after="0" w:line="146"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At the time of the refinancing, we had $30.5 million of unamortized discounts and financing fees related to the October 2012 Secured Credit Facility. During the year ended December 31, 2013, in connection with the refinancing, we recorded a loss on early extinguishment of debt of $4.9 million, related primarily to the portion of lenders in the original facility that did not participate in the new facility. The remaining $25.6 million of unamortized fees and discounts will continue to be amortized into interest expense over the remaining term of the February 2013 Secured Credit Facility.</w:t>
      </w:r>
    </w:p>
    <w:p>
      <w:pPr>
        <w:spacing w:after="0" w:line="110"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6"/>
          <w:szCs w:val="16"/>
          <w:b w:val="1"/>
          <w:bCs w:val="1"/>
          <w:color w:val="auto"/>
        </w:rPr>
        <w:t>March 2012 Secured Credit Facilities</w:t>
      </w:r>
      <w:r>
        <w:rPr>
          <w:rFonts w:ascii="Arial" w:cs="Arial" w:eastAsia="Arial" w:hAnsi="Arial"/>
          <w:sz w:val="16"/>
          <w:szCs w:val="16"/>
          <w:color w:val="auto"/>
        </w:rPr>
        <w:t>—In March 2012, we entered into an $880.0 million senior secured credit agreement providing for two tranches</w:t>
      </w:r>
      <w:r>
        <w:rPr>
          <w:rFonts w:ascii="Arial" w:cs="Arial" w:eastAsia="Arial" w:hAnsi="Arial"/>
          <w:sz w:val="16"/>
          <w:szCs w:val="16"/>
          <w:b w:val="1"/>
          <w:bCs w:val="1"/>
          <w:color w:val="auto"/>
        </w:rPr>
        <w:t xml:space="preserve"> </w:t>
      </w:r>
      <w:r>
        <w:rPr>
          <w:rFonts w:ascii="Arial" w:cs="Arial" w:eastAsia="Arial" w:hAnsi="Arial"/>
          <w:sz w:val="16"/>
          <w:szCs w:val="16"/>
          <w:color w:val="auto"/>
        </w:rPr>
        <w:t>of term loans: a $410.0 million 2012 A-1 tranche due March 2016, which bears interest at a rate of LIBOR + 4.00% (the "2012 Tranche A-1 Facility"), and a $470.0 million 2012 A-2 tranche due March 2017, which bears interest at a rate of LIBOR + 5.75% (the "2012 Tranche A-2 Facility," together the "March 2012 Secured Credit Facilities"). The 2012 A-1 and A-2 tranches were issued at 98.0% of par and 98.5% of par, respectively, and both tranches include a LIBOR floor of 1.25%. Proceeds from the March 2012 Secured Credit Facilities, together with cash on hand, were used to repurchase and repay at maturity $606.7 million aggregate principal amount of our convertible notes due October 2012, to fully repay the $244.0 million balance on our unsecured credit facility due June 2012, and to repay, upon maturity, $90.3 million outstanding principal balance of our 5.50% senior unsecured notes.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March 2012 Secured Credit Facilities are collateralized by a first lien on a fixed pool of assets. Proceeds from principal repayments and sales of collateral are applied to amortize the March 2012 Secured Credit Facilities. Proceeds received for interest, rent, lease payments and fee income are retained by us. The 2012 Tranche A-1 Facility required amortization payments of $41.0 million to be made every six months beginning December 31, 2012. After the 2012 Tranche A-1 Facility is repaid, proceeds from principal repayments and sales of collateral will be used to amortize the 2012 Tranche A-2 Facility. We may make optional prepayments on each tranche of term loans, subject to prepayment fees.</w:t>
      </w:r>
    </w:p>
    <w:p>
      <w:pPr>
        <w:spacing w:after="0" w:line="17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year ended December 31, 2013, we repaid the remaining outstanding balance of the 2012 Tranche A-1 Facility. Repayments of the 2012 Tranche A-1 Facility prior to scheduled amortization dates have resulted in losses on early extinguishment of debt of $4.4 million and $8.1 million during the years ended December 31, 2013 and 2012, respectively, related to the accelerated amortization of discounts and unamortized deferred financing fees on the portion of the facility that was repaid.</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Additionally, during the year ended December 31, 2013, we made cumulative amortization repayments of $38.5 million on the 2012 Tranche A-2 Facility prior to maturity have resulted in losses on early extinguishment of debt of $1.0 million related to the accelerated amortization of discounts and unamortized deferred financing fees on the portion of the facility that was repaid during the year.</w:t>
      </w:r>
    </w:p>
    <w:p>
      <w:pPr>
        <w:spacing w:after="0" w:line="177" w:lineRule="exact"/>
        <w:rPr>
          <w:sz w:val="20"/>
          <w:szCs w:val="20"/>
          <w:color w:val="auto"/>
        </w:rPr>
      </w:pPr>
    </w:p>
    <w:p>
      <w:pPr>
        <w:jc w:val="both"/>
        <w:ind w:firstLine="432"/>
        <w:spacing w:after="0" w:line="303" w:lineRule="auto"/>
        <w:rPr>
          <w:sz w:val="20"/>
          <w:szCs w:val="20"/>
          <w:color w:val="auto"/>
        </w:rPr>
      </w:pPr>
      <w:r>
        <w:rPr>
          <w:rFonts w:ascii="Arial" w:cs="Arial" w:eastAsia="Arial" w:hAnsi="Arial"/>
          <w:sz w:val="16"/>
          <w:szCs w:val="16"/>
          <w:b w:val="1"/>
          <w:bCs w:val="1"/>
          <w:color w:val="auto"/>
        </w:rPr>
        <w:t>2011 Secured Credit Facilities</w:t>
      </w:r>
      <w:r>
        <w:rPr>
          <w:rFonts w:ascii="Arial" w:cs="Arial" w:eastAsia="Arial" w:hAnsi="Arial"/>
          <w:sz w:val="16"/>
          <w:szCs w:val="16"/>
          <w:color w:val="auto"/>
        </w:rPr>
        <w:t>—In March 2011, we entered into a $2.95 billion senior secured credit agreement providing for two tranches of term</w:t>
      </w:r>
      <w:r>
        <w:rPr>
          <w:rFonts w:ascii="Arial" w:cs="Arial" w:eastAsia="Arial" w:hAnsi="Arial"/>
          <w:sz w:val="16"/>
          <w:szCs w:val="16"/>
          <w:b w:val="1"/>
          <w:bCs w:val="1"/>
          <w:color w:val="auto"/>
        </w:rPr>
        <w:t xml:space="preserve"> </w:t>
      </w:r>
      <w:r>
        <w:rPr>
          <w:rFonts w:ascii="Arial" w:cs="Arial" w:eastAsia="Arial" w:hAnsi="Arial"/>
          <w:sz w:val="16"/>
          <w:szCs w:val="16"/>
          <w:color w:val="auto"/>
        </w:rPr>
        <w:t>loans: a $1.50 billion 2011 A-1 tranche due June 2013, bearing interest at a rate of LIBOR + 3.75% (the "2011 Tranche A-1 Facility"), and a $1.45 billion 2011 A-2 tranche due June 2014, bearing interest at a rate of LIBOR + 5.75% (the "2011 Tranche A-2 Facility," together the "2011 Secured Credit Facilities"). The 2011 A-1 and A-2 tranches were issued at 99.0% of par and 98.5% of par, respectively, and both tranches include a LIBOR floor of 1.25%.</w:t>
      </w:r>
    </w:p>
    <w:p>
      <w:pPr>
        <w:spacing w:after="0" w:line="15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2011 Secured Credit Facilities were refinanced by the October 2012 Secured Credit Facility. Prior to refinancing, we made cumulative amortization repayments of $1.07 billion on the 2011 Secured Credit Facilities, which resulted in losses on early extinguishment of debt of $4.5 million and $12.0 million for the years ended December 31, 2012 and 2011, respectively, related to the accelerated amortization of discounts and unamortized deferred financing fees on the portion of the facility that was repaid.</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At the time of the refinancing, we had $21.2 million of unamortized discounts and financing fees related to the 2011 Secured Credit Facilities. In connection with the refinancing, we recorded a loss on early extinguishment of debt of $12.1 million, related primarily to the portion of lenders in the original facility that did not participate in the new facility. The remaining $9.0 million of unamortized fees and discounts will continue to be amortized to interest expense over the remaining term of the October 2012 Secured Credit Facility.</w:t>
      </w:r>
    </w:p>
    <w:p>
      <w:pPr>
        <w:spacing w:after="0" w:line="183"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Secured Term Loans</w:t>
      </w:r>
      <w:r>
        <w:rPr>
          <w:rFonts w:ascii="Arial" w:cs="Arial" w:eastAsia="Arial" w:hAnsi="Arial"/>
          <w:sz w:val="18"/>
          <w:szCs w:val="18"/>
          <w:color w:val="auto"/>
        </w:rPr>
        <w:t>—In October 2012, a consolidated subsidiary of the Company entered into a $28.0 million secured term loan maturing in</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2019, bearing interest at a rate of LIBOR + 2.00%. Simultaneously with the financing, we entered into an interest rate swap to exchange our variable rate on the loan for a fixed interest rate (see Note 10).</w:t>
      </w:r>
    </w:p>
    <w:p>
      <w:pPr>
        <w:spacing w:after="0" w:line="18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September 2012, we refinanced two secured term loans with an aggregate outstanding principal balance of $53.3 million, bearing interest at rates of 5.3% and 8.2% and maturing in January 2013 with a new $54.5 million secured term loan. The new loan bears interest at 4.851%, matures in October 2022 and is collateralized by the same net lease asset as the original term loan. In connection with the refinancing, we incurred $0.5 million of losses related to a prepayment penalty, which was recorded in "Gain (loss) on early extinguishment of debt, net" on our Consolidated Statements of Operations for the year ended December 31, 2012.</w:t>
      </w:r>
    </w:p>
    <w:p>
      <w:pPr>
        <w:spacing w:after="0" w:line="18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during the year ended December 31, 2012, in conjunction with the sale of a portfolio of 12 net lease assets, we repaid the $50.8 million outstanding balances of our LIBOR + 4.50% secured term loans due in 2014 and terminated the related interest rate swaps associated with the loans (see Note 10).</w:t>
      </w:r>
    </w:p>
    <w:p>
      <w:pPr>
        <w:spacing w:after="0" w:line="177"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7"/>
          <w:szCs w:val="17"/>
          <w:b w:val="1"/>
          <w:bCs w:val="1"/>
          <w:color w:val="auto"/>
        </w:rPr>
        <w:t>Unsecured Credit Facility</w:t>
      </w:r>
      <w:r>
        <w:rPr>
          <w:rFonts w:ascii="Arial" w:cs="Arial" w:eastAsia="Arial" w:hAnsi="Arial"/>
          <w:sz w:val="17"/>
          <w:szCs w:val="17"/>
          <w:color w:val="auto"/>
        </w:rPr>
        <w:t>—During the year ended December 31, 2012, we repaid the $243.7 million remaining principal balance of our</w:t>
      </w:r>
      <w:r>
        <w:rPr>
          <w:rFonts w:ascii="Arial" w:cs="Arial" w:eastAsia="Arial" w:hAnsi="Arial"/>
          <w:sz w:val="17"/>
          <w:szCs w:val="17"/>
          <w:b w:val="1"/>
          <w:bCs w:val="1"/>
          <w:color w:val="auto"/>
        </w:rPr>
        <w:t xml:space="preserve"> </w:t>
      </w:r>
      <w:r>
        <w:rPr>
          <w:rFonts w:ascii="Arial" w:cs="Arial" w:eastAsia="Arial" w:hAnsi="Arial"/>
          <w:sz w:val="17"/>
          <w:szCs w:val="17"/>
          <w:color w:val="auto"/>
        </w:rPr>
        <w:t>LIBOR + 0.85% unsecured credit facility due June 2012. In connection with the repayment, we recorded a loss on early extinguishment of debt of $0.2 million related to the accelerated amortization of discounts and unamortized deferred financing fees on the portion of the facility that was repaid.</w:t>
      </w:r>
    </w:p>
    <w:p>
      <w:pPr>
        <w:spacing w:after="0" w:line="158"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Secured Notes</w:t>
      </w:r>
      <w:r>
        <w:rPr>
          <w:rFonts w:ascii="Arial" w:cs="Arial" w:eastAsia="Arial" w:hAnsi="Arial"/>
          <w:sz w:val="18"/>
          <w:szCs w:val="18"/>
          <w:color w:val="auto"/>
        </w:rPr>
        <w:t>—In January 2011, we redeemed the $312.3 million remaining principal balance of our 10% 2014 secured exchange notes and recorded</w:t>
      </w:r>
      <w:r>
        <w:rPr>
          <w:rFonts w:ascii="Arial" w:cs="Arial" w:eastAsia="Arial" w:hAnsi="Arial"/>
          <w:sz w:val="18"/>
          <w:szCs w:val="18"/>
          <w:b w:val="1"/>
          <w:bCs w:val="1"/>
          <w:color w:val="auto"/>
        </w:rPr>
        <w:t xml:space="preserve"> </w:t>
      </w:r>
      <w:r>
        <w:rPr>
          <w:rFonts w:ascii="Arial" w:cs="Arial" w:eastAsia="Arial" w:hAnsi="Arial"/>
          <w:sz w:val="18"/>
          <w:szCs w:val="18"/>
          <w:color w:val="auto"/>
        </w:rPr>
        <w:t>a gain on early extinguishment of debt of $109.0 million primarily related to the recognition of deferred gain premiums that resulted from a previous debt exchange.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Unsecured Notes</w:t>
      </w:r>
      <w:r>
        <w:rPr>
          <w:rFonts w:ascii="Arial" w:cs="Arial" w:eastAsia="Arial" w:hAnsi="Arial"/>
          <w:sz w:val="18"/>
          <w:szCs w:val="18"/>
          <w:color w:val="auto"/>
        </w:rPr>
        <w:t>—In November 2013, we issued $200.0 million aggregate principal of 1.50% convertible senior unsecured notes due November 2016.</w:t>
      </w:r>
      <w:r>
        <w:rPr>
          <w:rFonts w:ascii="Arial" w:cs="Arial" w:eastAsia="Arial" w:hAnsi="Arial"/>
          <w:sz w:val="18"/>
          <w:szCs w:val="18"/>
          <w:b w:val="1"/>
          <w:bCs w:val="1"/>
          <w:color w:val="auto"/>
        </w:rPr>
        <w:t xml:space="preserve"> </w:t>
      </w:r>
      <w:r>
        <w:rPr>
          <w:rFonts w:ascii="Arial" w:cs="Arial" w:eastAsia="Arial" w:hAnsi="Arial"/>
          <w:sz w:val="18"/>
          <w:szCs w:val="18"/>
          <w:color w:val="auto"/>
        </w:rPr>
        <w:t>Proceeds from the transaction, together with cash on hand, were used to fully repay the remaining $200.6 million of outstanding 5.70% senior unsecured notes due March 2014. In connection with the repayment of the 5.70% senior unsecured notes, we incurred $2.8 million of losses related to a prepayment penalty and the accelerated amortization of discounts, which was recorded in "Gain (loss) on early extinguishment of debt, net" on our Consolidated Statements of Operations for the year ended December 31, 2013.</w:t>
      </w:r>
    </w:p>
    <w:p>
      <w:pPr>
        <w:spacing w:after="0" w:line="18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May 2013, we issued $265.0 million aggregate principal of 3.875% senior unsecured notes due July 2016 and issued $300.0 million aggregate principal of 4.875% senior unsecured notes due July 2018. Net proceeds from these transactions, together with cash on hand, were used to fully repay the remaining $96.8 million of outstanding 8.625% senior unsecured notes due June 2013 and the remaining $448.5 million of outstanding 5.95% senior unsecured notes due in October 2013. In connection with the repayment of the 5.95% senior unsecured notes, we incurred $9.5 million of losses related to a prepayment penalty and the accelerated amortization of discounts, which was recorded in "Gain (loss) on early extinguishment of debt, net" on our Consolidated Statements of Operations for the year ended December 31, 2013.</w:t>
      </w:r>
    </w:p>
    <w:p>
      <w:pPr>
        <w:spacing w:after="0" w:line="19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November 2012, we issued $300.0 million aggregate principal of 7.125% senior unsecured notes due February 2018 and issued $200.0 million aggregate principal of 3.00% convertible senior unsecured notes due November 2016. Proceeds from these transactions were used to fully repay $67.1 million of the 6.5% senior unsecured notes due December 2013 and partially repay $404.9 million of the 8.625% senior unsecured notes due June 2013. In connection with these repurchases, we paid a $14.9 million prepayment penalty which was reflected in "Gain (loss) on early extinguishment of debt, net" on our Consolidated Statements of Operations for the year ended December 31, 2012.</w:t>
      </w:r>
    </w:p>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May 2012, we issued $275.0 million aggregate principal of 9.0% senior unsecured notes due June 2017 that were sold at 98.012% of their principal amount.</w:t>
      </w:r>
    </w:p>
    <w:p>
      <w:pPr>
        <w:spacing w:after="0" w:line="1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year ended December 31, 2012, we repaid, upon maturity, the $460.7 million outstanding principal balance of our LIBOR + 0.50% senior unsecured convertible notes, the $169.7 million outstanding principal balance of our 5.15% senior unsecured notes and the $90.3 million outstanding principal balance of our 5.50% senior unsecured notes. In addition, we repurchased $420.4 million par value of senior unsecured notes with various maturities ranging from March 2012 to October 2012. In connection with these repurchases, we recorded aggregate gains on early extinguishment of debt of $3.2 million, for the year ended December 31, 2012.</w:t>
      </w:r>
    </w:p>
    <w:p>
      <w:pPr>
        <w:spacing w:after="0" w:line="184"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Encumbered/Unencumbered Assets</w:t>
      </w:r>
      <w:r>
        <w:rPr>
          <w:rFonts w:ascii="Arial" w:cs="Arial" w:eastAsia="Arial" w:hAnsi="Arial"/>
          <w:sz w:val="18"/>
          <w:szCs w:val="18"/>
          <w:color w:val="auto"/>
        </w:rPr>
        <w:t>—As of December 31, 2013, the carrying value of our encumbered and unencumbered assets by asset type are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 ($ in thousands):</w:t>
      </w:r>
    </w:p>
    <w:p>
      <w:pPr>
        <w:spacing w:after="0" w:line="387"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As of December 31,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gridSpan w:val="2"/>
          </w:tcPr>
          <w:p>
            <w:pPr>
              <w:jc w:val="center"/>
              <w:ind w:right="79"/>
              <w:spacing w:after="0"/>
              <w:rPr>
                <w:sz w:val="20"/>
                <w:szCs w:val="20"/>
                <w:color w:val="auto"/>
              </w:rPr>
            </w:pPr>
            <w:r>
              <w:rPr>
                <w:rFonts w:ascii="Arial" w:cs="Arial" w:eastAsia="Arial" w:hAnsi="Arial"/>
                <w:sz w:val="14"/>
                <w:szCs w:val="14"/>
                <w:b w:val="1"/>
                <w:bCs w:val="1"/>
                <w:color w:val="auto"/>
                <w:w w:val="89"/>
              </w:rPr>
              <w:t>2013</w:t>
            </w:r>
          </w:p>
        </w:tc>
        <w:tc>
          <w:tcPr>
            <w:tcW w:w="10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2012</w:t>
            </w:r>
          </w:p>
        </w:tc>
        <w:tc>
          <w:tcPr>
            <w:tcW w:w="1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114"/>
              <w:spacing w:after="0" w:line="153" w:lineRule="exact"/>
              <w:rPr>
                <w:sz w:val="20"/>
                <w:szCs w:val="20"/>
                <w:color w:val="auto"/>
              </w:rPr>
            </w:pPr>
            <w:r>
              <w:rPr>
                <w:rFonts w:ascii="Arial" w:cs="Arial" w:eastAsia="Arial" w:hAnsi="Arial"/>
                <w:sz w:val="14"/>
                <w:szCs w:val="14"/>
                <w:b w:val="1"/>
                <w:bCs w:val="1"/>
                <w:color w:val="auto"/>
                <w:w w:val="96"/>
              </w:rPr>
              <w:t>Encumbered</w:t>
            </w:r>
          </w:p>
        </w:tc>
        <w:tc>
          <w:tcPr>
            <w:tcW w:w="120" w:type="dxa"/>
            <w:vAlign w:val="bottom"/>
          </w:tcPr>
          <w:p>
            <w:pPr>
              <w:spacing w:after="0"/>
              <w:rPr>
                <w:sz w:val="13"/>
                <w:szCs w:val="13"/>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Unencumbered Assets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74"/>
              <w:spacing w:after="0" w:line="153" w:lineRule="exact"/>
              <w:rPr>
                <w:sz w:val="20"/>
                <w:szCs w:val="20"/>
                <w:color w:val="auto"/>
              </w:rPr>
            </w:pPr>
            <w:r>
              <w:rPr>
                <w:rFonts w:ascii="Arial" w:cs="Arial" w:eastAsia="Arial" w:hAnsi="Arial"/>
                <w:sz w:val="14"/>
                <w:szCs w:val="14"/>
                <w:b w:val="1"/>
                <w:bCs w:val="1"/>
                <w:color w:val="auto"/>
                <w:w w:val="94"/>
              </w:rPr>
              <w:t>Encumbered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114"/>
              <w:spacing w:after="0" w:line="153" w:lineRule="exact"/>
              <w:rPr>
                <w:sz w:val="20"/>
                <w:szCs w:val="20"/>
                <w:color w:val="auto"/>
              </w:rPr>
            </w:pPr>
            <w:r>
              <w:rPr>
                <w:rFonts w:ascii="Arial" w:cs="Arial" w:eastAsia="Arial" w:hAnsi="Arial"/>
                <w:sz w:val="14"/>
                <w:szCs w:val="14"/>
                <w:b w:val="1"/>
                <w:bCs w:val="1"/>
                <w:color w:val="auto"/>
                <w:w w:val="92"/>
              </w:rPr>
              <w:t>Unencumbered</w:t>
            </w:r>
          </w:p>
        </w:tc>
        <w:tc>
          <w:tcPr>
            <w:tcW w:w="0" w:type="dxa"/>
            <w:vAlign w:val="bottom"/>
          </w:tcPr>
          <w:p>
            <w:pPr>
              <w:spacing w:after="0"/>
              <w:rPr>
                <w:sz w:val="1"/>
                <w:szCs w:val="1"/>
                <w:color w:val="auto"/>
              </w:rPr>
            </w:pPr>
          </w:p>
        </w:tc>
      </w:tr>
      <w:tr>
        <w:trPr>
          <w:trHeight w:val="192"/>
        </w:trPr>
        <w:tc>
          <w:tcPr>
            <w:tcW w:w="5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Assets</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1,644,463</w:t>
            </w:r>
          </w:p>
        </w:tc>
        <w:tc>
          <w:tcPr>
            <w:tcW w:w="520" w:type="dxa"/>
            <w:vAlign w:val="bottom"/>
            <w:tcBorders>
              <w:bottom w:val="single" w:sz="8" w:color="CCEEFF"/>
            </w:tcBorders>
            <w:gridSpan w:val="2"/>
            <w:shd w:val="clear" w:color="auto" w:fill="CCEEFF"/>
          </w:tcPr>
          <w:p>
            <w:pPr>
              <w:jc w:val="center"/>
              <w:ind w:right="79"/>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1,151,718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1,640,005</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1,099,094</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Real estate available and held for sale</w:t>
            </w:r>
          </w:p>
        </w:tc>
        <w:tc>
          <w:tcPr>
            <w:tcW w:w="16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152,604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207,913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263,842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372,023</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Loans receivable, net(1)</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860,557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538,752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1,197,403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665,682</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Other investments</w:t>
            </w:r>
          </w:p>
        </w:tc>
        <w:tc>
          <w:tcPr>
            <w:tcW w:w="16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24,093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183,116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43,545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355,298</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907,995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556,207</w:t>
            </w:r>
          </w:p>
        </w:tc>
        <w:tc>
          <w:tcPr>
            <w:tcW w:w="0" w:type="dxa"/>
            <w:vAlign w:val="bottom"/>
          </w:tcPr>
          <w:p>
            <w:pPr>
              <w:spacing w:after="0"/>
              <w:rPr>
                <w:sz w:val="1"/>
                <w:szCs w:val="1"/>
                <w:color w:val="auto"/>
              </w:rPr>
            </w:pPr>
          </w:p>
        </w:tc>
      </w:tr>
      <w:tr>
        <w:trPr>
          <w:trHeight w:val="257"/>
        </w:trPr>
        <w:tc>
          <w:tcPr>
            <w:tcW w:w="5440" w:type="dxa"/>
            <w:vAlign w:val="bottom"/>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2,681,717</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center"/>
              <w:ind w:right="199"/>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2,989,494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3,144,795</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3,048,304</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As of December 31, 2013 and 2012, the amounts presented exclude general reserves for loan losses of $29.2 million and $33.1 million, respectively.</w:t>
      </w:r>
    </w:p>
    <w:p>
      <w:pPr>
        <w:spacing w:after="0" w:line="16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b w:val="1"/>
          <w:bCs w:val="1"/>
          <w:color w:val="auto"/>
        </w:rPr>
        <w:t>Debt Covenants</w:t>
      </w:r>
      <w:r>
        <w:rPr>
          <w:rFonts w:ascii="Arial" w:cs="Arial" w:eastAsia="Arial" w:hAnsi="Arial"/>
          <w:sz w:val="18"/>
          <w:szCs w:val="18"/>
          <w:color w:val="auto"/>
        </w:rPr>
        <w:t>—Our outstanding unsecured debt securities contain corporate level covenants that include a covenant to maintain a ratio of</w:t>
      </w:r>
      <w:r>
        <w:rPr>
          <w:rFonts w:ascii="Arial" w:cs="Arial" w:eastAsia="Arial" w:hAnsi="Arial"/>
          <w:sz w:val="18"/>
          <w:szCs w:val="18"/>
          <w:b w:val="1"/>
          <w:bCs w:val="1"/>
          <w:color w:val="auto"/>
        </w:rPr>
        <w:t xml:space="preserve"> </w:t>
      </w:r>
      <w:r>
        <w:rPr>
          <w:rFonts w:ascii="Arial" w:cs="Arial" w:eastAsia="Arial" w:hAnsi="Arial"/>
          <w:sz w:val="18"/>
          <w:szCs w:val="18"/>
          <w:color w:val="auto"/>
        </w:rPr>
        <w:t>unencumbered assets to unsecured indebtedness of at least 1.2x and a restriction on debt incurrence based upon the effect of the debt incurrence on our fixed charge coverage ratio. If any of our covenants are breached and not cured within applicable cure periods, the breach could result in acceleration of our debt securities unless a waiver or modification is agreed upon with the requisite percentage of the bondholders. While we expect that our ability to incur new indebtedness under the fixed charge coverage ratio will be limited for the foreseeable future, which may put limitations on our ability to make new investments,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will continue to be permitted to incur indebtedness for the purpose of refinancing existing indebtedness and for other permitted purposes under the indentures.</w:t>
      </w:r>
    </w:p>
    <w:p>
      <w:pPr>
        <w:spacing w:after="0" w:line="17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Our March 2012 Secured Credit Facilities and February 2013 Secured Credit Facility are collectively defined as the "Secured Credit Facilities." Our Secured Credit Facilities contain certain covenants, including covenants relating to collateral coverage, dividend payments, restrictions on fundamental changes, transactions with affiliates, matters relating to the liens granted to the lenders and the delivery of information to the lenders. In particular, we are required to maintain collateral coverage of 1.25x outstanding borrowings. In addition, for so long as we maintain our qualification as a REIT, the Secured Credit Facilities permit us to distribute 100% of our REIT taxable income on an annual basis and the February 2013 Secured Credit Facility permits us to distribute to our shareholders real estate assets, or interests therein, having an aggregate equity value not to exceed $200 million, so long as such assets are not collateral for the February 2013 Secured Credit Facility. We may not pay common dividends if we cease to qualify as a REIT (except that the February 2013 Secured Credit Facility permits us to distribute certain real estate assets as described in the preceding sentence).</w:t>
      </w:r>
    </w:p>
    <w:p>
      <w:pPr>
        <w:spacing w:after="0" w:line="17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Secured Credit Facilities contain cross default provisions that would allow the lenders to declare an event of default and accelerate our indebtedness to them if we fail to pay amounts due in respect of our other recourse indebtedness in excess of specified thresholds or if the lenders under such other indebtedness are otherwise permitted to accelerate such indebtedness for any reason. The indentures governing our unsecured public debt securities permit the bondholders to declare an event of default and accelerate our indebtedness to them if our other recourse indebtedness in excess of specified thresholds is not paid at final maturity or if such indebtedness is accelerated.</w:t>
      </w:r>
    </w:p>
    <w:p>
      <w:pPr>
        <w:spacing w:after="0" w:line="144"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Derivatives</w:t>
      </w:r>
      <w:r>
        <w:rPr>
          <w:rFonts w:ascii="Arial" w:cs="Arial" w:eastAsia="Arial" w:hAnsi="Arial"/>
          <w:sz w:val="18"/>
          <w:szCs w:val="18"/>
          <w:color w:val="auto"/>
        </w:rPr>
        <w:t>—Our use of derivative financial instruments is primarily limited to the utilization of interest rate swaps, interest rate caps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to manage interest rate risk exposure and foreign exchange contracts to manage our risk to changes in foreign currencies (see Note 10 of the Notes to the Consolidated Financial Statements). In 2013, we entered into a $500 million notional interest rate cap agreement to reduce exposure to expected increases in future interest rates and the resulting payments associated with variable interest rate debt. The agreement is effective in July 2014, matures in July 2017 and caps our LIBOR interest rates at 1.00% for the notional amount.</w:t>
      </w:r>
    </w:p>
    <w:p>
      <w:pPr>
        <w:spacing w:after="0" w:line="184"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b w:val="1"/>
          <w:bCs w:val="1"/>
          <w:color w:val="auto"/>
        </w:rPr>
        <w:t>Off-Balance Sheet Arrangements</w:t>
      </w:r>
      <w:r>
        <w:rPr>
          <w:rFonts w:ascii="Arial" w:cs="Arial" w:eastAsia="Arial" w:hAnsi="Arial"/>
          <w:sz w:val="18"/>
          <w:szCs w:val="18"/>
          <w:color w:val="auto"/>
        </w:rPr>
        <w:t>—We are not dependent on the use of any off-balance sheet financing arrangements for liquidity. We have made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in various unconsolidated ventures. See Item 8—"Financial Statements and Supplemental Data—Note 6" for further details of our unconsolidated investments. Our maximum exposure to loss from these investments is limited to the carrying value of our investments and any unfunded commitments (see below).</w:t>
      </w:r>
    </w:p>
    <w:p>
      <w:pPr>
        <w:spacing w:after="0" w:line="180"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b w:val="1"/>
          <w:bCs w:val="1"/>
          <w:color w:val="auto"/>
        </w:rPr>
        <w:t>Unfunded Commitments</w:t>
      </w:r>
      <w:r>
        <w:rPr>
          <w:rFonts w:ascii="Arial" w:cs="Arial" w:eastAsia="Arial" w:hAnsi="Arial"/>
          <w:sz w:val="17"/>
          <w:szCs w:val="17"/>
          <w:color w:val="auto"/>
        </w:rPr>
        <w:t>—We generally fund construction and development loans and build-outs of space in net lease assets over a period of time if</w:t>
      </w:r>
      <w:r>
        <w:rPr>
          <w:rFonts w:ascii="Arial" w:cs="Arial" w:eastAsia="Arial" w:hAnsi="Arial"/>
          <w:sz w:val="17"/>
          <w:szCs w:val="17"/>
          <w:b w:val="1"/>
          <w:bCs w:val="1"/>
          <w:color w:val="auto"/>
        </w:rPr>
        <w:t xml:space="preserve"> </w:t>
      </w:r>
      <w:r>
        <w:rPr>
          <w:rFonts w:ascii="Arial" w:cs="Arial" w:eastAsia="Arial" w:hAnsi="Arial"/>
          <w:sz w:val="17"/>
          <w:szCs w:val="17"/>
          <w:color w:val="auto"/>
        </w:rPr>
        <w:t>and when the borrowers and tenants meet established milestones and other performance criteria. We refer to these arrangements as Performance-Based Commitments. In addition, we sometimes establish a maximum amount of additional funding which we will make available to a borrower or tenant for an expansion or addition to a project if we approve of the expansion or addition in our sole discretion. We refer to these arrangements as Discretionary Fundings. Finally, we have committed to invest capital in several real estate funds and other ventures. These arrangements are referred to as Strategic Investments. As of December 31, 2013, the maximum amounts of the fundings we may make under each category, assuming all performance hurdles and milestones are met under the Performance-Based Commitments, that we approve all Discretionary Fundings and that 100% of our capital committed to Strategic Investments is drawn down, are as follows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Loans and Other</w:t>
            </w:r>
          </w:p>
        </w:tc>
        <w:tc>
          <w:tcPr>
            <w:tcW w:w="220" w:type="dxa"/>
            <w:vAlign w:val="bottom"/>
          </w:tcPr>
          <w:p>
            <w:pPr>
              <w:spacing w:after="0"/>
              <w:rPr>
                <w:sz w:val="14"/>
                <w:szCs w:val="14"/>
                <w:color w:val="auto"/>
              </w:rPr>
            </w:pPr>
          </w:p>
        </w:tc>
        <w:tc>
          <w:tcPr>
            <w:tcW w:w="11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Real Estate</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Strategic</w:t>
            </w:r>
          </w:p>
        </w:tc>
        <w:tc>
          <w:tcPr>
            <w:tcW w:w="320" w:type="dxa"/>
            <w:vAlign w:val="bottom"/>
          </w:tcPr>
          <w:p>
            <w:pPr>
              <w:spacing w:after="0"/>
              <w:rPr>
                <w:sz w:val="14"/>
                <w:szCs w:val="14"/>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Lending Investments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Performance-Based Commitments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53,164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72,600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Discretionary Fundings</w:t>
            </w:r>
          </w:p>
        </w:tc>
        <w:tc>
          <w:tcPr>
            <w:tcW w:w="1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Strategic Investments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46,591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46,591</w:t>
            </w:r>
          </w:p>
        </w:tc>
        <w:tc>
          <w:tcPr>
            <w:tcW w:w="0" w:type="dxa"/>
            <w:vAlign w:val="bottom"/>
          </w:tcPr>
          <w:p>
            <w:pPr>
              <w:spacing w:after="0"/>
              <w:rPr>
                <w:sz w:val="1"/>
                <w:szCs w:val="1"/>
                <w:color w:val="auto"/>
              </w:rPr>
            </w:pP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19,436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53,164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46,591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119,191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Transactions with Related Parties</w:t>
      </w:r>
      <w:r>
        <w:rPr>
          <w:rFonts w:ascii="Arial" w:cs="Arial" w:eastAsia="Arial" w:hAnsi="Arial"/>
          <w:sz w:val="18"/>
          <w:szCs w:val="18"/>
          <w:color w:val="auto"/>
        </w:rPr>
        <w:t>—We previously held an equity interest of approximately 24% in LNR and two of our executive officers formerly</w:t>
      </w:r>
      <w:r>
        <w:rPr>
          <w:rFonts w:ascii="Arial" w:cs="Arial" w:eastAsia="Arial" w:hAnsi="Arial"/>
          <w:sz w:val="18"/>
          <w:szCs w:val="18"/>
          <w:b w:val="1"/>
          <w:bCs w:val="1"/>
          <w:color w:val="auto"/>
        </w:rPr>
        <w:t xml:space="preserve"> </w:t>
      </w:r>
      <w:r>
        <w:rPr>
          <w:rFonts w:ascii="Arial" w:cs="Arial" w:eastAsia="Arial" w:hAnsi="Arial"/>
          <w:sz w:val="18"/>
          <w:szCs w:val="18"/>
          <w:color w:val="auto"/>
        </w:rPr>
        <w:t>served on LNR's board of managers. In April 2013, we sold our interest in LNR for net proceeds of $220.3 million.</w:t>
      </w:r>
    </w:p>
    <w:p>
      <w:pPr>
        <w:spacing w:after="0" w:line="121" w:lineRule="exact"/>
        <w:rPr>
          <w:sz w:val="20"/>
          <w:szCs w:val="20"/>
          <w:color w:val="auto"/>
        </w:rPr>
      </w:pPr>
    </w:p>
    <w:p>
      <w:pPr>
        <w:jc w:val="both"/>
        <w:ind w:right="20" w:firstLine="432"/>
        <w:spacing w:after="0" w:line="282" w:lineRule="auto"/>
        <w:rPr>
          <w:sz w:val="20"/>
          <w:szCs w:val="20"/>
          <w:color w:val="auto"/>
        </w:rPr>
      </w:pPr>
      <w:r>
        <w:rPr>
          <w:rFonts w:ascii="Arial" w:cs="Arial" w:eastAsia="Arial" w:hAnsi="Arial"/>
          <w:sz w:val="18"/>
          <w:szCs w:val="18"/>
          <w:b w:val="1"/>
          <w:bCs w:val="1"/>
          <w:color w:val="auto"/>
        </w:rPr>
        <w:t>Stock Repurchase Programs</w:t>
      </w:r>
      <w:r>
        <w:rPr>
          <w:rFonts w:ascii="Arial" w:cs="Arial" w:eastAsia="Arial" w:hAnsi="Arial"/>
          <w:sz w:val="18"/>
          <w:szCs w:val="18"/>
          <w:color w:val="auto"/>
        </w:rPr>
        <w:t>—Our Board of Directors has approved a stock repurchase program that authorizes repurchases of our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in open market and privately negotiated purchases, including pursuant to one or more trading plans.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year ended December 31, 2013, we repurchased 1.7 million shares of our outstanding Common Stock for approximately $21.0 million, at an average cost of $12.35 per share. During the year ended December 31, 2012, we repurchased 0.8 million shares of our outstanding Common Stock for approximately $4.6 million, at an average cost of $5.69 per share. As of December 31, 2013, we had remaining authorization to repurchase up to $29.0 million of Common Stock out of the $50.0 million authorized by our Board in 2013.</w:t>
      </w:r>
    </w:p>
    <w:p>
      <w:pPr>
        <w:spacing w:after="0" w:line="142"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7"/>
          <w:szCs w:val="17"/>
          <w:b w:val="1"/>
          <w:bCs w:val="1"/>
          <w:color w:val="auto"/>
        </w:rPr>
        <w:t>Subsequent Events</w:t>
      </w:r>
      <w:r>
        <w:rPr>
          <w:rFonts w:ascii="Arial" w:cs="Arial" w:eastAsia="Arial" w:hAnsi="Arial"/>
          <w:sz w:val="17"/>
          <w:szCs w:val="17"/>
          <w:color w:val="auto"/>
        </w:rPr>
        <w:t>—In February 2014, we partnered with a sovereign wealth fund to form a venture in which the partners plan to contribute up to an</w:t>
      </w:r>
      <w:r>
        <w:rPr>
          <w:rFonts w:ascii="Arial" w:cs="Arial" w:eastAsia="Arial" w:hAnsi="Arial"/>
          <w:sz w:val="17"/>
          <w:szCs w:val="17"/>
          <w:b w:val="1"/>
          <w:bCs w:val="1"/>
          <w:color w:val="auto"/>
        </w:rPr>
        <w:t xml:space="preserve"> </w:t>
      </w:r>
      <w:r>
        <w:rPr>
          <w:rFonts w:ascii="Arial" w:cs="Arial" w:eastAsia="Arial" w:hAnsi="Arial"/>
          <w:sz w:val="17"/>
          <w:szCs w:val="17"/>
          <w:color w:val="auto"/>
        </w:rPr>
        <w:t>aggregate $500 million of equity to acquire and develop up to $1.25 billion of net lease assets over time. We own approximately 52% of the venture and will be responsible for sourcing new opportunities and managing the venture and its assets in exchange for a promote and management fee. The venture’s first investment was acquired by us for $93.6 million during 2013 and was subsequently sold to the venture.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8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judgments in certain circumstances that affect amounts reported as assets, liabilities, revenues and expenses. We have established detailed policies and control procedures intended to ensure that valuation methods, including any judgments made as part of such methods, are well controlled, reviewed and applied consistently from period to period. We base our estimates on historical corporate and industry experience and various other assumptions that we believe to be appropriate under the circumstances. For all of these estimates, we caution that future events rarely develop exactly as forecasted, and, therefore, routinely require adjustment.</w:t>
      </w:r>
    </w:p>
    <w:p>
      <w:pPr>
        <w:spacing w:after="0" w:line="21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2013, management reviewed and evaluated these critical accounting estimates and believes they are appropriate. Our significant accounting policies are described in Item 8—"Financial Statements and Supplemental Data—Note 3." The following is a summary of accounting policies that require more significant management estimates and judgments:</w:t>
      </w:r>
    </w:p>
    <w:p>
      <w:pPr>
        <w:spacing w:after="0" w:line="23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b w:val="1"/>
          <w:bCs w:val="1"/>
          <w:i w:val="1"/>
          <w:iCs w:val="1"/>
          <w:color w:val="auto"/>
        </w:rPr>
        <w:t>Reserve for loan losses</w:t>
      </w:r>
      <w:r>
        <w:rPr>
          <w:rFonts w:ascii="Arial" w:cs="Arial" w:eastAsia="Arial" w:hAnsi="Arial"/>
          <w:sz w:val="18"/>
          <w:szCs w:val="18"/>
          <w:color w:val="auto"/>
        </w:rPr>
        <w:t>—The reserve for loan losses reflects management's estimate of loan losses inherent in the loan portfolio as of the balance sheet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The reserve is increased through the "Provision for loan losses" on our Consolidated Statements of Operations and is decreased by charge-offs when losses are confirmed through the receipt of assets such as cash in a pre-foreclosure sale or via ownership control of the underlying collateral in full satisfaction of the loan upon foreclosure or when significant collection efforts have ceased. We have one portfolio segment, represented by commercial real estate lending, whereby we utilize a uniform process for determining our reserves for loan losses. The reserve for loan losses includes a general, formula-based component and an asset-specific component.</w:t>
      </w:r>
    </w:p>
    <w:p>
      <w:pPr>
        <w:spacing w:after="0" w:line="247"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The general reserve component covers performing loans and reserves for loan losses are recorded when (i) available information as of each balance sheet date indicates that it is probable a loss has occurred in the portfolio and (ii) the amount of the loss can be reasonably estimated. The formula-based general reserve is derived from estimated principal default probabilities and loss severities applied to groups of loans based upon risk ratings assigned to loans with similar risk characteristics during our quarterly loan portfolio assessment. During this assessment, we perform a comprehensive analysis of our loan portfolio and assign risk ratings to loans that incorporate management's current judgments about their credit quality based on all known and relevant internal and external factors that may affect collectability. We consider, among other things, payment status, lien position, borrower financial resources and investment in collateral, collateral type, project economics and geographical location as well as national and regional economic factors. This methodology results in loans being segmented by risk classification into risk rating categories that are associated with estimated probabilities of default and principal loss. Ratings range from "1" to "5" with "1" representing the lowest risk of loss and "5" representing the highest risk of loss. We estimate loss rates based on historical realized losses experienced within our portfolio and take into account current economic conditions affecting the commercial real estate market when establishing appropriate time frames to evaluate loss experience.</w:t>
      </w:r>
    </w:p>
    <w:p>
      <w:pPr>
        <w:spacing w:after="0" w:line="23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asset-specific reserve component relates to reserves for losses on impaired loans. We consider a loan to be impaired when, based upon current information and events, we believe that it is probable that we will be unable to collect all amounts due under the contractual terms of the loan agreement. This assessment is made on a loan-by-loan basis each quarter based on such factors as payment status, lien position, borrower financial resources and investment in collateral, collateral type, project economics and geographical location as well as national and regional economic factors. A reserve is established for an impaired loan when the present value of payments expected to be received, observable market prices, or the estimated fair value of the collateral (for loans that are dependent on the collateral for repayment) is lower than the carrying value of that loan.</w:t>
      </w:r>
    </w:p>
    <w:p>
      <w:pPr>
        <w:spacing w:after="0" w:line="23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Substantially all of our impaired loans are collateral dependent and impairment is measured using the estimated fair value of collateral, less costs to sell. We generally use the income approach through internally developed valuation models to estimate the fair value of the collateral for such loans. In more limited cases, we obtain external "as is" appraisals for loan collateral, generally when third party participations exist. Valuations are performed or obtained at the time a loan is determined to be impaired and designated non-performing, and they are updated if circumstances indicate that a significant change in value has occurred. In limited cases, appraised values may be discounted when real estate markets rapidly deteriorate.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 loan is also considered impaired if its terms are modified in a troubled debt restructuring ("TDR"). A TDR occurs when we grant a concession to a debtor that is experiencing financial difficulties. Impairments on TDR loans are generally measured based on the present value of expected future cash flows discounted at the effective interest rate of the original loan.</w:t>
      </w:r>
    </w:p>
    <w:p>
      <w:pPr>
        <w:spacing w:after="0" w:line="23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provisions for loan losses for the years ended December 31, 2013, 2012 and 2011 were $5.5 million, $81.7 million and$46.4 million, respectively. The total reserve for loan losses at December 31, 2013 and 2012, included asset specific reserves of $348.0 million and $491.4 million, respectively, and general reserves of $29.2 million and $33.1 million, respectively.</w:t>
      </w:r>
    </w:p>
    <w:p>
      <w:pPr>
        <w:spacing w:after="0" w:line="23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b w:val="1"/>
          <w:bCs w:val="1"/>
          <w:i w:val="1"/>
          <w:iCs w:val="1"/>
          <w:color w:val="auto"/>
        </w:rPr>
        <w:t>Acquisition of real estate</w:t>
      </w:r>
      <w:r>
        <w:rPr>
          <w:rFonts w:ascii="Arial" w:cs="Arial" w:eastAsia="Arial" w:hAnsi="Arial"/>
          <w:sz w:val="16"/>
          <w:szCs w:val="16"/>
          <w:color w:val="auto"/>
        </w:rPr>
        <w:t>—We generally acquire real estate assets through cash purchases or through foreclosure or deed-in-lieu of foreclosure in full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partial satisfaction of non-performing loans. When we acquire assets through foreclosure or deed in lieu of foreclosure, based on our strategic plan to realize the maximum value from the collateral received, these properties are classified as "Real estate, net" or "Real estate available and held for sale" on our Consolidated Balance Sheets. When we intend to hold, operate or develop the property for a period of at least 12 months, assets are classified as "Real estate, net," and when we intend to market these properties for sale in the near term, assets are classified as "Real estate available and held for sale." Assets classified as real estate are initially recorded at their estimated fair value and assets classified as assets held for sale are recorded at their estimated fair value less costs to sell. The excess of the carrying value of the loan over these amounts is charged-off against the reserve for loan losses. In both cases, upon acquisition, tangible and intangible assets and liabilities acquired are recorded at their estimated fair values.</w:t>
      </w:r>
    </w:p>
    <w:p>
      <w:pPr>
        <w:spacing w:after="0" w:line="8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years ended December 31, 2013, 2012 and 2011 we received title to properties in satisfaction of senior mortgage loans with fair values of $31.1 million, $267.5 million and $502.5 million, respectively, for which those properties had served as collateral.</w:t>
      </w:r>
    </w:p>
    <w:p>
      <w:pPr>
        <w:spacing w:after="0" w:line="8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b w:val="1"/>
          <w:bCs w:val="1"/>
          <w:i w:val="1"/>
          <w:iCs w:val="1"/>
          <w:color w:val="auto"/>
        </w:rPr>
        <w:t>Impairment or disposal of long-lived assets</w:t>
      </w:r>
      <w:r>
        <w:rPr>
          <w:rFonts w:ascii="Arial" w:cs="Arial" w:eastAsia="Arial" w:hAnsi="Arial"/>
          <w:sz w:val="17"/>
          <w:szCs w:val="17"/>
          <w:color w:val="auto"/>
        </w:rPr>
        <w:t>—Real estate assets to be disposed of are reported at the lower of their carrying amount or estimated fair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value less costs to sell and are included in "Real estate held for sale" on our Consolidated Balance Sheets. The difference between the estimated fair value less costs to sell and the carrying value will be recorded as an impairment charge and included in "Income (loss) from discontinued operations" on the Consolidated Statements of Operations. Once the asset is classified as held for sale, depreciation expense is no longer recorded and historical operating results are reclassified to "Income (loss) from discontinued operations" on the Consolidated Statements of Operations.</w:t>
      </w:r>
    </w:p>
    <w:p>
      <w:pPr>
        <w:spacing w:after="0" w:line="22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periodically review long-lived assets to be held and used for impairment in value whenever events or changes in circumstances indicate that the carrying amount of such assets may not be recoverable. A held for use long-lived asset's value is impaired only if management's estimate of the aggregate future cash flows (undiscounted and without interest charges) to be generated by the asset (taking into account the anticipated holding period of the asset) is less than the carrying value. Such estimate of cash flows considers factors such as expected future operating income, trends and prospects, as well as the effects of demand, competition and other economic factors. To the extent impairment has occurred, the loss will be measured as the excess of the carrying amount of the property over the fair value of the asset and reflected as an adjustment to the basis of the asset. Impairments of real estate assets are recorded in "Impairment of assets," on our Consolidated Statements of Operations.</w:t>
      </w:r>
    </w:p>
    <w:p>
      <w:pPr>
        <w:spacing w:after="0" w:line="23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years ended December 31, 2013, 2012 and 2011, we recorded impairment charges on real estate assets of $14.4 million, $35.4 million and $22.4 million, respectively, due to changes in local market conditions and business strategy. Of these amounts, $1.8 million, $22.6 million and $9.1 million, respectively, were included in "Income (loss) from discontinued operations."</w:t>
      </w:r>
    </w:p>
    <w:p>
      <w:pPr>
        <w:spacing w:after="0" w:line="23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b w:val="1"/>
          <w:bCs w:val="1"/>
          <w:i w:val="1"/>
          <w:iCs w:val="1"/>
          <w:color w:val="auto"/>
        </w:rPr>
        <w:t>Identified intangible assets and liabilities</w:t>
      </w:r>
      <w:r>
        <w:rPr>
          <w:rFonts w:ascii="Arial" w:cs="Arial" w:eastAsia="Arial" w:hAnsi="Arial"/>
          <w:sz w:val="17"/>
          <w:szCs w:val="17"/>
          <w:color w:val="auto"/>
        </w:rPr>
        <w:t>—We record intangible assets and liabilities acquired at their estimated fair values separate and apart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goodwill. We determine whether such intangible assets and liabilities have finite or indefinite lives. As of December 31, 2013, all such acquired intangible assets and liabilities have finite lives. We amortize finite lived intangible assets and liabilities based on the period over which the assets and liabilities are expected to contribute directly or indirectly to the future cash flows of the business acquired. We review finite lived intangible assets for impairment whenever events or changes in circumstances indicate that their carrying amount may not be recoverable. If we determine the carrying value of an intangible asset is not recoverable we will record an impairment charge to the extent its carrying value exceeds its estimated fair value. Impairments of intangibles are recorded in "Impairment of assets" on our Consolidated Statements of Operations.</w:t>
      </w:r>
    </w:p>
    <w:p>
      <w:pPr>
        <w:spacing w:after="0" w:line="23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b w:val="1"/>
          <w:bCs w:val="1"/>
          <w:i w:val="1"/>
          <w:iCs w:val="1"/>
          <w:color w:val="auto"/>
        </w:rPr>
        <w:t>Valuation of deferred tax assets</w:t>
      </w:r>
      <w:r>
        <w:rPr>
          <w:rFonts w:ascii="Arial" w:cs="Arial" w:eastAsia="Arial" w:hAnsi="Arial"/>
          <w:sz w:val="17"/>
          <w:szCs w:val="17"/>
          <w:color w:val="auto"/>
        </w:rPr>
        <w:t>—Deferred income taxes reflect the net tax effects of temporary differences between the carrying amount of assets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liabilities for financial reporting purposes and the amounts used for income tax purposes, as well as operating loss and tax credit carryforwards. We evaluate the realizability of our deferred tax assets and recognize a valuation allowance if, based on the available evidence, both positive and negative, it is more likely than not that some portion or all of our deferred tax assets will not be realized. When evaluating the realizability of our deferred tax assets, we consider, among other matters, estimates of expected future taxable income, nature of current and cumulative losses, existing and projected book/tax differences, tax planning strategies available, and the general and industry specific economic outlook. This realizability analysis is inherently subjective, as it requires us to forecast our business and general economic environment in future periods. Changes in estimate of deferred tax asset realizability, if any are included in "Income tax (expense) benefit" on the Consolidated Statements of Operations.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While certain entities with net operating losses ("NOLs") may generate profits in the future, which may allow us to utilize the NOLs, we continue to record a full valuation allowance on the net deferred tax asset due to the history of losses and the uncertainty of the entities' ability to generate such profits. We recorded a full valuation allowance of $56.0 million and $40.8 million as of December 31, 2013 and 2012, respectively.</w:t>
      </w:r>
    </w:p>
    <w:p>
      <w:pPr>
        <w:spacing w:after="0" w:line="22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b w:val="1"/>
          <w:bCs w:val="1"/>
          <w:i w:val="1"/>
          <w:iCs w:val="1"/>
          <w:color w:val="auto"/>
        </w:rPr>
        <w:t>Variable interest entities</w:t>
      </w:r>
      <w:r>
        <w:rPr>
          <w:rFonts w:ascii="Arial" w:cs="Arial" w:eastAsia="Arial" w:hAnsi="Arial"/>
          <w:sz w:val="17"/>
          <w:szCs w:val="17"/>
          <w:color w:val="auto"/>
        </w:rPr>
        <w:t>—We evaluate our investments and other contractual arrangements to determine if our interests constitute variable interests in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variable interest entity ("VIE") and if we are the primary beneficiary. There is a significant amount of judgment required to determine if an entity is considered a VIE and if we are the primary beneficiary. We first perform a qualitative analysis, which requires certain subjective decisions regarding our assessment, including, but not limited to, which interests create or absorb variability, the contractual terms, the key decision making powers, impact on the VIE's economic performance and related party relationships. An iterative quantitative analysis is required if our qualitative analysis proves inconclusive as to whether the entity is a VIE or we are the primary beneficiary and consolidation is required.</w:t>
      </w:r>
    </w:p>
    <w:p>
      <w:pPr>
        <w:spacing w:after="0" w:line="233"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b w:val="1"/>
          <w:bCs w:val="1"/>
          <w:i w:val="1"/>
          <w:iCs w:val="1"/>
          <w:color w:val="auto"/>
        </w:rPr>
        <w:t>Fair value of assets and liabilities</w:t>
      </w:r>
      <w:r>
        <w:rPr>
          <w:rFonts w:ascii="Arial" w:cs="Arial" w:eastAsia="Arial" w:hAnsi="Arial"/>
          <w:sz w:val="17"/>
          <w:szCs w:val="17"/>
          <w:color w:val="auto"/>
        </w:rPr>
        <w:t>—The degree of management judgment involved in determining the fair value of assets and liabilities is dependent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the availability of quoted market prices or observable market parameters. For financial and nonfinancial assets and liabilities that trade actively and have quoted market prices or observable market parameters, there is minimal subjectivity involved in measuring fair value. When observable market prices and parameters are not fully available, management judgment is necessary to estimate fair value. In addition, changes in market conditions may reduce the availability of quoted prices or observable data. For example, reduced liquidity in the capital markets or changes in secondary market activities could result in observable market inputs becoming unavailable. Therefore, when market data is not available, we would use valuation techniques requiring more management judgment to estimate the appropriate fair value measurement.</w:t>
      </w:r>
    </w:p>
    <w:p>
      <w:pPr>
        <w:spacing w:after="0" w:line="23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See Item 8—"Financial Statements and Supplementary Data—Note 14" for a complete discussion on how we determine fair value of financial and non-financial assets and financial liabilities and the related measurement techniques and estimates involved.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Risks</w:t>
      </w:r>
    </w:p>
    <w:p>
      <w:pPr>
        <w:spacing w:after="0" w:line="28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Market risk is the exposure to loss resulting from changes in interest rates, foreign currency exchange rates, commodity prices and equity prices. In pursuing our business plan, the primary market risk to which we are exposed is interest rate risk. Our operating results will depend in part on the difference between the interest and related income earned on our assets and the interest expense incurred in connection with our interest-bearing liabilities. Changes in the general level of interest rates prevailing in the financial markets will affect the spread between our floating rate assets and liabilities subject to the net amount of floating rate assets/liabilities and the impact of interest rate floors and caps. Any significant compression of the spreads between interest-earning assets and interest-bearing liabilities could have a material adverse effect on us.</w:t>
      </w:r>
    </w:p>
    <w:p>
      <w:pPr>
        <w:spacing w:after="0" w:line="23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the event of a significant rising interest rate environment or economic downturn, defaults could increase and cause us to incur additional credit losses which would adversely affect our liquidity and operating results. Such delinquencies or defaults would likely have an adverse effect on the spreads between interest-earning assets and interest-bearing liabilities. In addition, an increase in interest rates could, among other things, reduce the value of our fixed-rate interest-bearing assets and our ability to realize gains from the sale of such assets.</w:t>
      </w:r>
    </w:p>
    <w:p>
      <w:pPr>
        <w:spacing w:after="0" w:line="24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Interest rates are highly sensitive to many factors, including governmental monetary and tax policies, domestic and international economic and political conditions, and other factors beyond our control. We monitor the spreads between our interest-earning assets and interest-bearing liabilities and may implement hedging strategies to limit the effects of changes in interest rates on our operations, including engaging in interest rate swaps, interest rate caps and other interest rate-related derivative contracts. Such strategies are designed to reduce our exposure, on specific transactions or on a portfolio basis, to changes in cash flows as a result of interest rate movements in the market. We do not enter into derivative contracts for speculative purposes or as a hedge against changes in our credit risk or the credit risk of our borrowers.</w:t>
      </w:r>
    </w:p>
    <w:p>
      <w:pPr>
        <w:spacing w:after="0" w:line="247"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While a REIT may utilize derivative instruments to hedge interest rate risk on its liabilities incurred to acquire or carry real estate assets without generating non-qualifying income, use of derivatives for other purposes will generate non-qualified income for REIT income test purposes. This includes hedging asset related risks such as credit, foreign exchange and prepayment or interest rate exposure on our loan assets. As a result our ability to hedge these types of risks is limited. There can be no assurance that our profitability will not be adversely affected during any period as a result of changing interest rates.</w:t>
      </w:r>
    </w:p>
    <w:p>
      <w:pPr>
        <w:spacing w:after="0" w:line="20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quantifies the potential changes in net income should interest rates increase by 50 or 100 basis points and decrease by 10 basis points, assuming no change in the shape of the yield curve (i.e., relative interest rates). The base interest rate scenario assumes the one-month LIBOR rate of 0.17% as of December 31, 2013. Actual results could differ significantly from those estimated in the table.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8640" w:type="dxa"/>
            <w:vAlign w:val="bottom"/>
          </w:tcPr>
          <w:p>
            <w:pPr>
              <w:jc w:val="right"/>
              <w:ind w:right="3893"/>
              <w:spacing w:after="0"/>
              <w:rPr>
                <w:sz w:val="20"/>
                <w:szCs w:val="20"/>
                <w:color w:val="auto"/>
              </w:rPr>
            </w:pPr>
            <w:r>
              <w:rPr>
                <w:rFonts w:ascii="Arial" w:cs="Arial" w:eastAsia="Arial" w:hAnsi="Arial"/>
                <w:sz w:val="18"/>
                <w:szCs w:val="18"/>
                <w:b w:val="1"/>
                <w:bCs w:val="1"/>
                <w:color w:val="auto"/>
              </w:rPr>
              <w:t>Estimated Percentage Change In Net Income</w:t>
            </w:r>
          </w:p>
        </w:tc>
      </w:tr>
      <w:tr>
        <w:trPr>
          <w:trHeight w:val="534"/>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Change in Interest Rates</w:t>
            </w:r>
          </w:p>
        </w:tc>
        <w:tc>
          <w:tcPr>
            <w:tcW w:w="86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Net Income(1)</w:t>
            </w: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 Basis Points</w:t>
            </w:r>
          </w:p>
        </w:tc>
        <w:tc>
          <w:tcPr>
            <w:tcW w:w="8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(0.59)%</w:t>
            </w: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Base Interest Rate</w:t>
            </w:r>
          </w:p>
        </w:tc>
        <w:tc>
          <w:tcPr>
            <w:tcW w:w="864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27"/>
        </w:trPr>
        <w:tc>
          <w:tcPr>
            <w:tcW w:w="2780" w:type="dxa"/>
            <w:vAlign w:val="bottom"/>
          </w:tcPr>
          <w:p>
            <w:pPr>
              <w:spacing w:after="0"/>
              <w:rPr>
                <w:sz w:val="2"/>
                <w:szCs w:val="2"/>
                <w:color w:val="auto"/>
              </w:rPr>
            </w:pPr>
          </w:p>
        </w:tc>
        <w:tc>
          <w:tcPr>
            <w:tcW w:w="864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+50 Basis Points</w:t>
            </w:r>
          </w:p>
        </w:tc>
        <w:tc>
          <w:tcPr>
            <w:tcW w:w="8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2.93 %</w:t>
            </w: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+100 Basis Points</w:t>
            </w:r>
          </w:p>
        </w:tc>
        <w:tc>
          <w:tcPr>
            <w:tcW w:w="8640" w:type="dxa"/>
            <w:vAlign w:val="bottom"/>
          </w:tcPr>
          <w:p>
            <w:pPr>
              <w:jc w:val="right"/>
              <w:spacing w:after="0"/>
              <w:rPr>
                <w:sz w:val="20"/>
                <w:szCs w:val="20"/>
                <w:color w:val="auto"/>
              </w:rPr>
            </w:pPr>
            <w:r>
              <w:rPr>
                <w:rFonts w:ascii="Arial" w:cs="Arial" w:eastAsia="Arial" w:hAnsi="Arial"/>
                <w:sz w:val="18"/>
                <w:szCs w:val="18"/>
                <w:color w:val="auto"/>
              </w:rPr>
              <w:t>3.86 %</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660" w:hanging="652"/>
        <w:spacing w:after="0" w:line="249"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 have an overall net variable-rate debt exposure. However, this is negated by interest rate floors that cause the debt to act as fixed rate until such time as market interest rates move above the floor minimums. As such, we are effectively in a net variable-rate asset exposure, which results in an increase in net income when rates increase and a decrease in net income when rates decrease. A 10 basis point decrease in interest rates would decrease net income by $0.7 million. A 50 and 100 basis increase in interest rates would increase net income by $3.3 million and $4.3 million, respectively. As of December 31, 2013, $117.9 million of our floating rate loans have a cumulative weighted average interest rate floor of 3.24% and $1.81 billion of our floating rate debt has a cumulative weighted average interest rate floor of 1.06%.</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Supplemental Data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Financial Statements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Borders>
              <w:bottom w:val="single" w:sz="8" w:color="CCEEFF"/>
            </w:tcBorders>
          </w:tcPr>
          <w:p>
            <w:pPr>
              <w:spacing w:after="0"/>
              <w:rPr>
                <w:sz w:val="16"/>
                <w:szCs w:val="16"/>
                <w:color w:val="auto"/>
              </w:rPr>
            </w:pPr>
          </w:p>
        </w:tc>
        <w:tc>
          <w:tcPr>
            <w:tcW w:w="3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7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Page</w:t>
            </w:r>
          </w:p>
        </w:tc>
      </w:tr>
      <w:tr>
        <w:trPr>
          <w:trHeight w:val="250"/>
        </w:trPr>
        <w:tc>
          <w:tcPr>
            <w:tcW w:w="10320" w:type="dxa"/>
            <w:vAlign w:val="bottom"/>
            <w:tcBorders>
              <w:bottom w:val="single" w:sz="8" w:color="CCEEFF"/>
            </w:tcBorders>
            <w:gridSpan w:val="12"/>
            <w:shd w:val="clear" w:color="auto" w:fill="CCEEFF"/>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280" w:type="dxa"/>
            <w:vAlign w:val="bottom"/>
          </w:tcPr>
          <w:p>
            <w:pPr>
              <w:spacing w:after="0"/>
              <w:rPr>
                <w:sz w:val="17"/>
                <w:szCs w:val="17"/>
                <w:color w:val="auto"/>
              </w:rPr>
            </w:pPr>
          </w:p>
        </w:tc>
        <w:tc>
          <w:tcPr>
            <w:tcW w:w="10040" w:type="dxa"/>
            <w:vAlign w:val="bottom"/>
            <w:gridSpan w:val="11"/>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Report of Independent Registered Public Accounting Firm</w:t>
              </w:r>
            </w:hyperlink>
          </w:p>
        </w:tc>
        <w:tc>
          <w:tcPr>
            <w:tcW w:w="640" w:type="dxa"/>
            <w:vAlign w:val="bottom"/>
            <w:gridSpan w:val="4"/>
          </w:tcPr>
          <w:p>
            <w:pPr>
              <w:jc w:val="right"/>
              <w:ind w:right="2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r>
      <w:tr>
        <w:trPr>
          <w:trHeight w:val="48"/>
        </w:trPr>
        <w:tc>
          <w:tcPr>
            <w:tcW w:w="280" w:type="dxa"/>
            <w:vAlign w:val="bottom"/>
          </w:tcPr>
          <w:p>
            <w:pPr>
              <w:spacing w:after="0"/>
              <w:rPr>
                <w:sz w:val="4"/>
                <w:szCs w:val="4"/>
                <w:color w:val="auto"/>
              </w:rPr>
            </w:pPr>
          </w:p>
        </w:tc>
        <w:tc>
          <w:tcPr>
            <w:tcW w:w="3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80" w:type="dxa"/>
            <w:vAlign w:val="bottom"/>
            <w:tcBorders>
              <w:right w:val="single" w:sz="8" w:color="CCEEFF"/>
            </w:tcBorders>
            <w:shd w:val="clear" w:color="auto" w:fill="CCEEFF"/>
          </w:tcPr>
          <w:p>
            <w:pPr>
              <w:spacing w:after="0"/>
              <w:rPr>
                <w:sz w:val="17"/>
                <w:szCs w:val="17"/>
                <w:color w:val="auto"/>
              </w:rPr>
            </w:pPr>
          </w:p>
        </w:tc>
        <w:tc>
          <w:tcPr>
            <w:tcW w:w="10040" w:type="dxa"/>
            <w:vAlign w:val="bottom"/>
            <w:gridSpan w:val="11"/>
            <w:shd w:val="clear" w:color="auto" w:fill="CCEEFF"/>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Consolidated Balance Sheets as of December 31, 2013 and 2012</w:t>
              </w:r>
            </w:hyperlink>
          </w:p>
        </w:tc>
        <w:tc>
          <w:tcPr>
            <w:tcW w:w="64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45</w:t>
              </w:r>
            </w:hyperlink>
          </w:p>
        </w:tc>
      </w:tr>
      <w:tr>
        <w:trPr>
          <w:trHeight w:val="48"/>
        </w:trPr>
        <w:tc>
          <w:tcPr>
            <w:tcW w:w="280" w:type="dxa"/>
            <w:vAlign w:val="bottom"/>
            <w:tcBorders>
              <w:top w:val="single" w:sz="8" w:color="CCEEFF"/>
              <w:right w:val="single" w:sz="8" w:color="CCEEFF"/>
            </w:tcBorders>
            <w:shd w:val="clear" w:color="auto" w:fill="CCEEFF"/>
          </w:tcPr>
          <w:p>
            <w:pPr>
              <w:spacing w:after="0"/>
              <w:rPr>
                <w:sz w:val="4"/>
                <w:szCs w:val="4"/>
                <w:color w:val="auto"/>
              </w:rPr>
            </w:pPr>
          </w:p>
        </w:tc>
        <w:tc>
          <w:tcPr>
            <w:tcW w:w="3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80" w:type="dxa"/>
            <w:vAlign w:val="bottom"/>
          </w:tcPr>
          <w:p>
            <w:pPr>
              <w:spacing w:after="0"/>
              <w:rPr>
                <w:sz w:val="17"/>
                <w:szCs w:val="17"/>
                <w:color w:val="auto"/>
              </w:rPr>
            </w:pPr>
          </w:p>
        </w:tc>
        <w:tc>
          <w:tcPr>
            <w:tcW w:w="10040" w:type="dxa"/>
            <w:vAlign w:val="bottom"/>
            <w:gridSpan w:val="11"/>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Consolidated Statements of Operations for the years ended December 31, 2013, 2012 and 2011</w:t>
              </w:r>
            </w:hyperlink>
          </w:p>
        </w:tc>
        <w:tc>
          <w:tcPr>
            <w:tcW w:w="640" w:type="dxa"/>
            <w:vAlign w:val="bottom"/>
            <w:gridSpan w:val="4"/>
          </w:tcPr>
          <w:p>
            <w:pPr>
              <w:jc w:val="right"/>
              <w:ind w:right="2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48"/>
        </w:trPr>
        <w:tc>
          <w:tcPr>
            <w:tcW w:w="280" w:type="dxa"/>
            <w:vAlign w:val="bottom"/>
          </w:tcPr>
          <w:p>
            <w:pPr>
              <w:spacing w:after="0"/>
              <w:rPr>
                <w:sz w:val="4"/>
                <w:szCs w:val="4"/>
                <w:color w:val="auto"/>
              </w:rPr>
            </w:pPr>
          </w:p>
        </w:tc>
        <w:tc>
          <w:tcPr>
            <w:tcW w:w="3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80" w:type="dxa"/>
            <w:vAlign w:val="bottom"/>
            <w:tcBorders>
              <w:right w:val="single" w:sz="8" w:color="CCEEFF"/>
            </w:tcBorders>
            <w:shd w:val="clear" w:color="auto" w:fill="CCEEFF"/>
          </w:tcPr>
          <w:p>
            <w:pPr>
              <w:spacing w:after="0"/>
              <w:rPr>
                <w:sz w:val="17"/>
                <w:szCs w:val="17"/>
                <w:color w:val="auto"/>
              </w:rPr>
            </w:pPr>
          </w:p>
        </w:tc>
        <w:tc>
          <w:tcPr>
            <w:tcW w:w="8320" w:type="dxa"/>
            <w:vAlign w:val="bottom"/>
            <w:gridSpan w:val="10"/>
            <w:shd w:val="clear" w:color="auto" w:fill="CCEEFF"/>
          </w:tcPr>
          <w:p>
            <w:pPr>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Consolidated Statements of Comprehensive Income (Loss) For the years ended December 31, 2013, 2012 and 2011</w:t>
              </w:r>
            </w:hyperlink>
          </w:p>
        </w:tc>
        <w:tc>
          <w:tcPr>
            <w:tcW w:w="172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48"/>
        </w:trPr>
        <w:tc>
          <w:tcPr>
            <w:tcW w:w="280" w:type="dxa"/>
            <w:vAlign w:val="bottom"/>
            <w:tcBorders>
              <w:top w:val="single" w:sz="8" w:color="CCEEFF"/>
              <w:right w:val="single" w:sz="8" w:color="CCEEFF"/>
            </w:tcBorders>
            <w:shd w:val="clear" w:color="auto" w:fill="CCEEFF"/>
          </w:tcPr>
          <w:p>
            <w:pPr>
              <w:spacing w:after="0"/>
              <w:rPr>
                <w:sz w:val="4"/>
                <w:szCs w:val="4"/>
                <w:color w:val="auto"/>
              </w:rPr>
            </w:pPr>
          </w:p>
        </w:tc>
        <w:tc>
          <w:tcPr>
            <w:tcW w:w="3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0000EE"/>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80" w:type="dxa"/>
            <w:vAlign w:val="bottom"/>
          </w:tcPr>
          <w:p>
            <w:pPr>
              <w:spacing w:after="0"/>
              <w:rPr>
                <w:sz w:val="17"/>
                <w:szCs w:val="17"/>
                <w:color w:val="auto"/>
              </w:rPr>
            </w:pPr>
          </w:p>
        </w:tc>
        <w:tc>
          <w:tcPr>
            <w:tcW w:w="10040" w:type="dxa"/>
            <w:vAlign w:val="bottom"/>
            <w:gridSpan w:val="11"/>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Consolidated Statements of Changes in Equity for the years ended December 31, 2013, 2012 and 2011</w:t>
              </w:r>
            </w:hyperlink>
          </w:p>
        </w:tc>
        <w:tc>
          <w:tcPr>
            <w:tcW w:w="640" w:type="dxa"/>
            <w:vAlign w:val="bottom"/>
            <w:gridSpan w:val="4"/>
          </w:tcPr>
          <w:p>
            <w:pPr>
              <w:jc w:val="right"/>
              <w:ind w:right="2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48</w:t>
              </w:r>
            </w:hyperlink>
          </w:p>
        </w:tc>
      </w:tr>
      <w:tr>
        <w:trPr>
          <w:trHeight w:val="48"/>
        </w:trPr>
        <w:tc>
          <w:tcPr>
            <w:tcW w:w="280" w:type="dxa"/>
            <w:vAlign w:val="bottom"/>
          </w:tcPr>
          <w:p>
            <w:pPr>
              <w:spacing w:after="0"/>
              <w:rPr>
                <w:sz w:val="4"/>
                <w:szCs w:val="4"/>
                <w:color w:val="auto"/>
              </w:rPr>
            </w:pPr>
          </w:p>
        </w:tc>
        <w:tc>
          <w:tcPr>
            <w:tcW w:w="3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9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80" w:type="dxa"/>
            <w:vAlign w:val="bottom"/>
            <w:tcBorders>
              <w:right w:val="single" w:sz="8" w:color="CCEEFF"/>
            </w:tcBorders>
            <w:shd w:val="clear" w:color="auto" w:fill="CCEEFF"/>
          </w:tcPr>
          <w:p>
            <w:pPr>
              <w:spacing w:after="0"/>
              <w:rPr>
                <w:sz w:val="17"/>
                <w:szCs w:val="17"/>
                <w:color w:val="auto"/>
              </w:rPr>
            </w:pPr>
          </w:p>
        </w:tc>
        <w:tc>
          <w:tcPr>
            <w:tcW w:w="10040" w:type="dxa"/>
            <w:vAlign w:val="bottom"/>
            <w:gridSpan w:val="11"/>
            <w:shd w:val="clear" w:color="auto" w:fill="CCEEFF"/>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Consolidated Statements of Cash Flows for the years ended December 31, 2013, 2012 and 2011</w:t>
              </w:r>
            </w:hyperlink>
          </w:p>
        </w:tc>
        <w:tc>
          <w:tcPr>
            <w:tcW w:w="64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r>
      <w:tr>
        <w:trPr>
          <w:trHeight w:val="48"/>
        </w:trPr>
        <w:tc>
          <w:tcPr>
            <w:tcW w:w="280" w:type="dxa"/>
            <w:vAlign w:val="bottom"/>
            <w:tcBorders>
              <w:top w:val="single" w:sz="8" w:color="CCEEFF"/>
              <w:right w:val="single" w:sz="8" w:color="CCEEFF"/>
            </w:tcBorders>
            <w:shd w:val="clear" w:color="auto" w:fill="CCEEFF"/>
          </w:tcPr>
          <w:p>
            <w:pPr>
              <w:spacing w:after="0"/>
              <w:rPr>
                <w:sz w:val="4"/>
                <w:szCs w:val="4"/>
                <w:color w:val="auto"/>
              </w:rPr>
            </w:pPr>
          </w:p>
        </w:tc>
        <w:tc>
          <w:tcPr>
            <w:tcW w:w="3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80" w:type="dxa"/>
            <w:vAlign w:val="bottom"/>
          </w:tcPr>
          <w:p>
            <w:pPr>
              <w:spacing w:after="0"/>
              <w:rPr>
                <w:sz w:val="17"/>
                <w:szCs w:val="17"/>
                <w:color w:val="auto"/>
              </w:rPr>
            </w:pPr>
          </w:p>
        </w:tc>
        <w:tc>
          <w:tcPr>
            <w:tcW w:w="6880" w:type="dxa"/>
            <w:vAlign w:val="bottom"/>
            <w:gridSpan w:val="8"/>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Notes to Consolidated Financial Statements</w:t>
              </w:r>
            </w:hyperlink>
          </w:p>
        </w:tc>
        <w:tc>
          <w:tcPr>
            <w:tcW w:w="3160" w:type="dxa"/>
            <w:vAlign w:val="bottom"/>
            <w:gridSpan w:val="3"/>
          </w:tcPr>
          <w:p>
            <w:pPr>
              <w:spacing w:after="0"/>
              <w:rPr>
                <w:sz w:val="17"/>
                <w:szCs w:val="17"/>
                <w:color w:val="auto"/>
              </w:rPr>
            </w:pPr>
          </w:p>
        </w:tc>
        <w:tc>
          <w:tcPr>
            <w:tcW w:w="640" w:type="dxa"/>
            <w:vAlign w:val="bottom"/>
            <w:gridSpan w:val="4"/>
          </w:tcPr>
          <w:p>
            <w:pPr>
              <w:jc w:val="right"/>
              <w:ind w:right="2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51</w:t>
              </w:r>
            </w:hyperlink>
          </w:p>
        </w:tc>
      </w:tr>
      <w:tr>
        <w:trPr>
          <w:trHeight w:val="48"/>
        </w:trPr>
        <w:tc>
          <w:tcPr>
            <w:tcW w:w="280" w:type="dxa"/>
            <w:vAlign w:val="bottom"/>
          </w:tcPr>
          <w:p>
            <w:pPr>
              <w:spacing w:after="0"/>
              <w:rPr>
                <w:sz w:val="4"/>
                <w:szCs w:val="4"/>
                <w:color w:val="auto"/>
              </w:rPr>
            </w:pPr>
          </w:p>
        </w:tc>
        <w:tc>
          <w:tcPr>
            <w:tcW w:w="312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320" w:type="dxa"/>
            <w:vAlign w:val="bottom"/>
            <w:gridSpan w:val="12"/>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Financial Statement Schedules:</w:t>
            </w:r>
          </w:p>
        </w:tc>
        <w:tc>
          <w:tcPr>
            <w:tcW w:w="64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94</w:t>
              </w:r>
            </w:hyperlink>
          </w:p>
        </w:tc>
      </w:tr>
      <w:tr>
        <w:trPr>
          <w:trHeight w:val="48"/>
        </w:trPr>
        <w:tc>
          <w:tcPr>
            <w:tcW w:w="280" w:type="dxa"/>
            <w:vAlign w:val="bottom"/>
            <w:tcBorders>
              <w:top w:val="single" w:sz="8" w:color="CCEEFF"/>
              <w:right w:val="single" w:sz="8" w:color="CCEEFF"/>
            </w:tcBorders>
            <w:shd w:val="clear" w:color="auto" w:fill="CCEEFF"/>
          </w:tcPr>
          <w:p>
            <w:pPr>
              <w:spacing w:after="0"/>
              <w:rPr>
                <w:sz w:val="4"/>
                <w:szCs w:val="4"/>
                <w:color w:val="auto"/>
              </w:rPr>
            </w:pPr>
          </w:p>
        </w:tc>
        <w:tc>
          <w:tcPr>
            <w:tcW w:w="3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80" w:type="dxa"/>
            <w:vAlign w:val="bottom"/>
          </w:tcPr>
          <w:p>
            <w:pPr>
              <w:spacing w:after="0"/>
              <w:rPr>
                <w:sz w:val="17"/>
                <w:szCs w:val="17"/>
                <w:color w:val="auto"/>
              </w:rPr>
            </w:pPr>
          </w:p>
        </w:tc>
        <w:tc>
          <w:tcPr>
            <w:tcW w:w="10040" w:type="dxa"/>
            <w:vAlign w:val="bottom"/>
            <w:gridSpan w:val="11"/>
          </w:tcPr>
          <w:p>
            <w:pPr>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Schedule II—Valuation and Qualifying Accounts and Reserves</w:t>
              </w:r>
            </w:hyperlink>
          </w:p>
        </w:tc>
        <w:tc>
          <w:tcPr>
            <w:tcW w:w="640" w:type="dxa"/>
            <w:vAlign w:val="bottom"/>
            <w:gridSpan w:val="4"/>
          </w:tcPr>
          <w:p>
            <w:pPr>
              <w:jc w:val="right"/>
              <w:ind w:right="20"/>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94</w:t>
              </w:r>
            </w:hyperlink>
          </w:p>
        </w:tc>
      </w:tr>
      <w:tr>
        <w:trPr>
          <w:trHeight w:val="48"/>
        </w:trPr>
        <w:tc>
          <w:tcPr>
            <w:tcW w:w="280" w:type="dxa"/>
            <w:vAlign w:val="bottom"/>
          </w:tcPr>
          <w:p>
            <w:pPr>
              <w:spacing w:after="0"/>
              <w:rPr>
                <w:sz w:val="4"/>
                <w:szCs w:val="4"/>
                <w:color w:val="auto"/>
              </w:rPr>
            </w:pPr>
          </w:p>
        </w:tc>
        <w:tc>
          <w:tcPr>
            <w:tcW w:w="3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80" w:type="dxa"/>
            <w:vAlign w:val="bottom"/>
            <w:tcBorders>
              <w:right w:val="single" w:sz="8" w:color="CCEEFF"/>
            </w:tcBorders>
            <w:shd w:val="clear" w:color="auto" w:fill="CCEEFF"/>
          </w:tcPr>
          <w:p>
            <w:pPr>
              <w:spacing w:after="0"/>
              <w:rPr>
                <w:sz w:val="17"/>
                <w:szCs w:val="17"/>
                <w:color w:val="auto"/>
              </w:rPr>
            </w:pPr>
          </w:p>
        </w:tc>
        <w:tc>
          <w:tcPr>
            <w:tcW w:w="10040" w:type="dxa"/>
            <w:vAlign w:val="bottom"/>
            <w:gridSpan w:val="11"/>
            <w:shd w:val="clear" w:color="auto" w:fill="CCEEFF"/>
          </w:tcPr>
          <w:p>
            <w:pPr>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Schedule III—Real Estate and Accumulated Depreciation</w:t>
              </w:r>
            </w:hyperlink>
          </w:p>
        </w:tc>
        <w:tc>
          <w:tcPr>
            <w:tcW w:w="64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95</w:t>
              </w:r>
            </w:hyperlink>
          </w:p>
        </w:tc>
      </w:tr>
      <w:tr>
        <w:trPr>
          <w:trHeight w:val="48"/>
        </w:trPr>
        <w:tc>
          <w:tcPr>
            <w:tcW w:w="280" w:type="dxa"/>
            <w:vAlign w:val="bottom"/>
            <w:tcBorders>
              <w:top w:val="single" w:sz="8" w:color="CCEEFF"/>
              <w:right w:val="single" w:sz="8" w:color="CCEEFF"/>
            </w:tcBorders>
            <w:shd w:val="clear" w:color="auto" w:fill="CCEEFF"/>
          </w:tcPr>
          <w:p>
            <w:pPr>
              <w:spacing w:after="0"/>
              <w:rPr>
                <w:sz w:val="4"/>
                <w:szCs w:val="4"/>
                <w:color w:val="auto"/>
              </w:rPr>
            </w:pPr>
          </w:p>
        </w:tc>
        <w:tc>
          <w:tcPr>
            <w:tcW w:w="3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80" w:type="dxa"/>
            <w:vAlign w:val="bottom"/>
          </w:tcPr>
          <w:p>
            <w:pPr>
              <w:spacing w:after="0"/>
              <w:rPr>
                <w:sz w:val="17"/>
                <w:szCs w:val="17"/>
                <w:color w:val="auto"/>
              </w:rPr>
            </w:pPr>
          </w:p>
        </w:tc>
        <w:tc>
          <w:tcPr>
            <w:tcW w:w="4140" w:type="dxa"/>
            <w:vAlign w:val="bottom"/>
            <w:gridSpan w:val="3"/>
          </w:tcPr>
          <w:p>
            <w:pPr>
              <w:spacing w:after="0" w:line="202" w:lineRule="exact"/>
              <w:rPr>
                <w:rFonts w:ascii="Arial" w:cs="Arial" w:eastAsia="Arial" w:hAnsi="Arial"/>
                <w:sz w:val="18"/>
                <w:szCs w:val="18"/>
                <w:color w:val="0000EE"/>
              </w:rPr>
            </w:pPr>
            <w:hyperlink w:anchor="page110">
              <w:r>
                <w:rPr>
                  <w:rFonts w:ascii="Arial" w:cs="Arial" w:eastAsia="Arial" w:hAnsi="Arial"/>
                  <w:sz w:val="18"/>
                  <w:szCs w:val="18"/>
                  <w:color w:val="0000EE"/>
                </w:rPr>
                <w:t>Schedule IV—Mortgage Loans on Real Estate</w:t>
              </w:r>
            </w:hyperlink>
          </w:p>
        </w:tc>
        <w:tc>
          <w:tcPr>
            <w:tcW w:w="5900" w:type="dxa"/>
            <w:vAlign w:val="bottom"/>
            <w:gridSpan w:val="8"/>
          </w:tcPr>
          <w:p>
            <w:pPr>
              <w:spacing w:after="0"/>
              <w:rPr>
                <w:sz w:val="17"/>
                <w:szCs w:val="17"/>
                <w:color w:val="auto"/>
              </w:rPr>
            </w:pPr>
          </w:p>
        </w:tc>
        <w:tc>
          <w:tcPr>
            <w:tcW w:w="640" w:type="dxa"/>
            <w:vAlign w:val="bottom"/>
            <w:gridSpan w:val="4"/>
          </w:tcPr>
          <w:p>
            <w:pPr>
              <w:jc w:val="right"/>
              <w:ind w:right="20"/>
              <w:spacing w:after="0" w:line="202" w:lineRule="exact"/>
              <w:rPr>
                <w:rFonts w:ascii="Arial" w:cs="Arial" w:eastAsia="Arial" w:hAnsi="Arial"/>
                <w:sz w:val="18"/>
                <w:szCs w:val="18"/>
                <w:color w:val="0000EE"/>
              </w:rPr>
            </w:pPr>
            <w:hyperlink w:anchor="page110">
              <w:r>
                <w:rPr>
                  <w:rFonts w:ascii="Arial" w:cs="Arial" w:eastAsia="Arial" w:hAnsi="Arial"/>
                  <w:sz w:val="18"/>
                  <w:szCs w:val="18"/>
                  <w:color w:val="0000EE"/>
                </w:rPr>
                <w:t>106</w:t>
              </w:r>
            </w:hyperlink>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9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All other schedules are omitted because they are not applicable or the required information is shown in the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60"/>
          </w:cols>
          <w:pgMar w:left="240" w:top="118" w:right="69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iStar Financial Inc.:</w:t>
      </w:r>
    </w:p>
    <w:p>
      <w:pPr>
        <w:spacing w:after="0" w:line="144"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 xml:space="preserve">In our opinion, the consolidated financial statements listed in the accompanying index present fairly, in all material respects, the financial position of iStar Financial Inc. and its subsidiaries (collectively, the ‘‘Company’’) at December 31, 2013 and 2012, and the results of their operations and their cash flows for each of the three years in the period ended December 31, 2013 in conformity with accounting principles generally accepted in the United States of America. In addition, in our opinion, the financial statement schedules listed in the accompanying index present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2013,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(1992) </w:t>
      </w:r>
      <w:r>
        <w:rPr>
          <w:rFonts w:ascii="Arial" w:cs="Arial" w:eastAsia="Arial" w:hAnsi="Arial"/>
          <w:sz w:val="16"/>
          <w:szCs w:val="16"/>
          <w:color w:val="auto"/>
        </w:rPr>
        <w:t>issued by the Committee of Sponsoring Organizations of the Treadway Commission (COSO). The Company’s management is responsible for these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and financial statement schedules,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at cost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3,220,634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3,117,405</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Less: accumulated depreciation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(424,453)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(378,306)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2,796,181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2,739,099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Real estate available and held for sale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360,517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635,865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3,156,698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3,374,964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Loans receivable and other lending investments,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1,370,109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w w:val="97"/>
              </w:rPr>
              <w:t>1,829,985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207,209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398,843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513,568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256,344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48,769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36,778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interest and operating lease income receivable,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14,941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15,226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operating lease income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92,737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84,735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expenses and other assets,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237,980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163,124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5,642,011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6,159,999</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3020"/>
              <w:spacing w:after="0"/>
              <w:rPr>
                <w:sz w:val="20"/>
                <w:szCs w:val="20"/>
                <w:color w:val="auto"/>
              </w:rPr>
            </w:pPr>
            <w:r>
              <w:rPr>
                <w:rFonts w:ascii="Arial" w:cs="Arial" w:eastAsia="Arial" w:hAnsi="Arial"/>
                <w:sz w:val="18"/>
                <w:szCs w:val="18"/>
                <w:b w:val="1"/>
                <w:bCs w:val="1"/>
                <w:color w:val="auto"/>
              </w:rPr>
              <w:t>LIABILITIES AND EQUITY</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170,831</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141,670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4,158,125</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4,691,494</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4,328,956</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7"/>
              </w:rPr>
              <w:t>4,833,164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11,590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13,681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iStar Financial Inc. shareholders' equity: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Series D, E, F, G, and I, liquidation preference $25.00 per share (see Note 11)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Convertible Preferred Stock Series J, liquidation preference $50.00 per share (see Note 11)</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High Performance Units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9,800</w:t>
            </w:r>
          </w:p>
        </w:tc>
        <w:tc>
          <w:tcPr>
            <w:tcW w:w="0" w:type="dxa"/>
            <w:vAlign w:val="bottom"/>
          </w:tcPr>
          <w:p>
            <w:pPr>
              <w:spacing w:after="0"/>
              <w:rPr>
                <w:sz w:val="1"/>
                <w:szCs w:val="1"/>
                <w:color w:val="auto"/>
              </w:rPr>
            </w:pP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w w:val="89"/>
              </w:rPr>
              <w:t>Common Stock, $0.001 par value, 200,000 shares authorized, 144,334 issued and 83,717 outstanding at December</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31, 2013 and 142,699 issued and 83,782 outstanding at December 31, 2012</w:t>
            </w:r>
          </w:p>
        </w:tc>
        <w:tc>
          <w:tcPr>
            <w:tcW w:w="36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4,022,138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3,832,780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Retained earnings (deficit)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(2,521,618)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1"/>
              </w:rPr>
              <w:t>(2,360,647)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 (loss) (see Note 11)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w w:val="89"/>
              </w:rPr>
              <w:t>Treasury stock, at cost, $0.001 par value, 60,617 shares at December 31, 2013 and 58,917 shares at December 31,</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2012</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(262,954)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(241,969)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iStar Financial Inc. shareholders' equity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1,243,260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1,238,944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58,205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74,210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equity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1,301,465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1,313,154</w:t>
            </w:r>
          </w:p>
        </w:tc>
        <w:tc>
          <w:tcPr>
            <w:tcW w:w="0" w:type="dxa"/>
            <w:vAlign w:val="bottom"/>
          </w:tcPr>
          <w:p>
            <w:pPr>
              <w:spacing w:after="0"/>
              <w:rPr>
                <w:sz w:val="1"/>
                <w:szCs w:val="1"/>
                <w:color w:val="auto"/>
              </w:rPr>
            </w:pP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5,642,011</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7"/>
              </w:rPr>
              <w:t>6,159,999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2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2011</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Operating lease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234,567</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216,291</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195,872</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108,015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133,410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226,871</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Other income</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48,208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47,838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39,722</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revenues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390,790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397,539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462,465</w:t>
            </w:r>
          </w:p>
        </w:tc>
      </w:tr>
      <w:tr>
        <w:trPr>
          <w:trHeight w:val="231"/>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Costs and expenses: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266,225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355,097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342,186</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Real estate expense</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157,441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151,458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138,714</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71,266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68,770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58,091</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92,114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80,856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105,039</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loan losses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81,740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46,412</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Impairment of assets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12,589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13,778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13,239</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expense</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8,050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17,266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11,070</w:t>
            </w:r>
          </w:p>
        </w:tc>
      </w:tr>
      <w:tr>
        <w:trPr>
          <w:trHeight w:val="217"/>
        </w:trPr>
        <w:tc>
          <w:tcPr>
            <w:tcW w:w="7080" w:type="dxa"/>
            <w:vAlign w:val="bottom"/>
          </w:tcPr>
          <w:p>
            <w:pPr>
              <w:ind w:left="280"/>
              <w:spacing w:after="0"/>
              <w:rPr>
                <w:sz w:val="20"/>
                <w:szCs w:val="20"/>
                <w:color w:val="auto"/>
              </w:rPr>
            </w:pPr>
            <w:r>
              <w:rPr>
                <w:rFonts w:ascii="Arial" w:cs="Arial" w:eastAsia="Arial" w:hAnsi="Arial"/>
                <w:sz w:val="16"/>
                <w:szCs w:val="16"/>
                <w:color w:val="auto"/>
              </w:rPr>
              <w:t>Total costs and expenses</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613,174</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768,965</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714,751</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earnings from equity method investments and other items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(222,384)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(371,426)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(252,286)</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Gain (loss) on early extinguishment of debt, net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(33,190)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(37,816)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101,466</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Earnings from equity method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41,520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103,009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95,091</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Loss on transfer of interest to unconsolidated subsidiary</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(7,373)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 before income taxes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(221,427)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(306,233)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(55,729)</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Income tax (expense) benefit</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659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(8,445)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4,719</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operations(1)</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(220,768)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(314,678)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(51,010)</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Income (loss) from discontinued operations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644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(17,481)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(5,514)</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Gain from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25,110</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Income from sales of residential property</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86,658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63,472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5,721</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(111,233)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(241,430)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(25,693)</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Net (income) loss attributable to noncontrolling interests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3,629</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iStar Financial Inc.</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(111,951)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(239,930)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(22,064)</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Preferred dividends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(42,320)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(42,320)</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allocable to HPU holders and Participating Security holders(2)(3)</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5,202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9,253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1,997</w:t>
            </w:r>
          </w:p>
        </w:tc>
      </w:tr>
      <w:tr>
        <w:trPr>
          <w:trHeight w:val="28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(loss) allocable to common shareholders</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(155,769)</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(272,997)</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(62,387)</w:t>
            </w: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Per common share data(1):</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Income (loss) attributable to iStar Financial Inc. from continuing operations: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 and diluted</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(0.91)</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Net income (loss) attributable to iStar Financial Inc.:</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 and diluted</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(0.70)</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Weighted average number of common shares—basic and diluted</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84,990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83,742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88,688</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Per HPU share data(1)(2):</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Income (loss) attributable to iStar Financial Inc. from continuing operations: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 and diluted</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(638.27)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(173.66)</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Net income (loss) attributable to iStar Financial Inc.:</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 and diluted</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(616.87)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(133.13)</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Weighted average number of HPU shares—basic and diluted</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w:t>
            </w:r>
          </w:p>
        </w:tc>
      </w:tr>
    </w:tbl>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11" w:lineRule="exact"/>
        <w:rPr>
          <w:sz w:val="20"/>
          <w:szCs w:val="20"/>
          <w:color w:val="auto"/>
        </w:rPr>
      </w:pPr>
    </w:p>
    <w:p>
      <w:pPr>
        <w:ind w:left="660" w:hanging="652"/>
        <w:spacing w:after="0" w:line="250"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Income (loss) from continuing operations attributable to iStar Financial Inc. for the years ended December 31, 2013, 2012 and 2011 was $(221.5) million, $(313.2) million and $(47.4) million, respectively. See Note 13 for details on the calculation of earnings per share.</w:t>
      </w:r>
    </w:p>
    <w:p>
      <w:pPr>
        <w:ind w:left="660" w:hanging="652"/>
        <w:spacing w:after="0"/>
        <w:tabs>
          <w:tab w:leader="none" w:pos="6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HPU holders are current and former Company employees who purchased high performance common stock units under the Company's High Performance Unit Program (see Note 11).</w:t>
      </w:r>
    </w:p>
    <w:p>
      <w:pPr>
        <w:spacing w:after="0" w:line="12" w:lineRule="exact"/>
        <w:rPr>
          <w:rFonts w:ascii="Arial" w:cs="Arial" w:eastAsia="Arial" w:hAnsi="Arial"/>
          <w:sz w:val="13"/>
          <w:szCs w:val="13"/>
          <w:color w:val="auto"/>
        </w:rPr>
      </w:pPr>
    </w:p>
    <w:p>
      <w:pPr>
        <w:ind w:left="660" w:right="20" w:hanging="652"/>
        <w:spacing w:after="0" w:line="255"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Participating Security holders are Company employees and directors who hold unvested restricted stock units, restricted stock awards and common stock equivalents granted under the Company's Long Term Incentive Plans that are eligible to participate in dividends (see Note 12 and Note 13).</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18" w:right="239" w:bottom="54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18" w:right="239" w:bottom="541" w:gutter="0" w:footer="0" w:header="0"/>
          <w:type w:val="continuous"/>
        </w:sectPr>
      </w:pPr>
    </w:p>
    <w:bookmarkStart w:id="50" w:name="page51"/>
    <w:bookmarkEnd w:id="50"/>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For the Years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(241,430)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(25,693)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Reclassification of (gains)/losses on available-for-sale securities into earnings upon</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realization(1)</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w w:val="94"/>
              </w:rPr>
              <w:t>Reclassification of (gains)/losses on cash flow hedges into earnings upon realization(2)</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Reclassification of (gains)/losses on cumulative translation adjustment into earnings upon</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realization(3)</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Unrealized gains/(losses) on available-for-sale securities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gains/(losses) on cash flow hedges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Unrealized gains/(losses) on cumulative translation adjustment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(114,324)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(242,287)</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(27,630)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noncontrolling interests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3,629</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iStar Financial Inc.</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(115,042)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(240,787)</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(24,001)</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line="250"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For the year ended December 31, 2013, $266 and $593 are included in "Other income" and "Earnings from equity method investments," respectively, on the Company's Consolidated Statements of Operations.</w:t>
      </w:r>
    </w:p>
    <w:p>
      <w:pPr>
        <w:ind w:left="660" w:hanging="652"/>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Included in "Interest expense" on the Company's Consolidated Statements of Operations.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Included in "Earnings from equity method investments" on the Company's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2013, 2012 and 2011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iStar Financial Inc. Shareholders' Equity</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Preferred</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Common</w:t>
            </w: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Retained</w:t>
            </w:r>
          </w:p>
        </w:tc>
        <w:tc>
          <w:tcPr>
            <w:tcW w:w="11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Treasury</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2"/>
                <w:szCs w:val="12"/>
                <w:color w:val="auto"/>
              </w:rPr>
            </w:pPr>
          </w:p>
        </w:tc>
        <w:tc>
          <w:tcPr>
            <w:tcW w:w="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020" w:type="dxa"/>
            <w:vAlign w:val="bottom"/>
            <w:gridSpan w:val="2"/>
            <w:vMerge w:val="continue"/>
          </w:tcPr>
          <w:p>
            <w:pPr>
              <w:spacing w:after="0"/>
              <w:rPr>
                <w:sz w:val="12"/>
                <w:szCs w:val="12"/>
                <w:color w:val="auto"/>
              </w:rPr>
            </w:pPr>
          </w:p>
        </w:tc>
        <w:tc>
          <w:tcPr>
            <w:tcW w:w="1140" w:type="dxa"/>
            <w:vAlign w:val="bottom"/>
            <w:tcBorders>
              <w:right w:val="single" w:sz="8" w:color="auto"/>
            </w:tcBorders>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Noncontrolling</w:t>
            </w:r>
          </w:p>
        </w:tc>
        <w:tc>
          <w:tcPr>
            <w:tcW w:w="9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Series</w:t>
            </w:r>
          </w:p>
        </w:tc>
        <w:tc>
          <w:tcPr>
            <w:tcW w:w="7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HPU's</w:t>
            </w:r>
          </w:p>
        </w:tc>
        <w:tc>
          <w:tcPr>
            <w:tcW w:w="7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Stock at</w:t>
            </w: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Earnings</w:t>
            </w:r>
          </w:p>
        </w:tc>
        <w:tc>
          <w:tcPr>
            <w:tcW w:w="11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Stock at</w:t>
            </w:r>
          </w:p>
        </w:tc>
        <w:tc>
          <w:tcPr>
            <w:tcW w:w="1140" w:type="dxa"/>
            <w:vAlign w:val="bottom"/>
            <w:tcBorders>
              <w:right w:val="single" w:sz="8" w:color="auto"/>
            </w:tcBorders>
            <w:gridSpan w:val="3"/>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20" w:type="dxa"/>
            <w:vAlign w:val="bottom"/>
          </w:tcPr>
          <w:p>
            <w:pPr>
              <w:spacing w:after="0"/>
              <w:rPr>
                <w:sz w:val="16"/>
                <w:szCs w:val="16"/>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Stock(1)</w:t>
            </w:r>
          </w:p>
        </w:tc>
        <w:tc>
          <w:tcPr>
            <w:tcW w:w="14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J(1)</w:t>
            </w: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Par</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(Deficit)</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Income (Loss)</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6"/>
                <w:szCs w:val="16"/>
                <w:color w:val="auto"/>
              </w:rPr>
            </w:pPr>
          </w:p>
        </w:tc>
        <w:tc>
          <w:tcPr>
            <w:tcW w:w="96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Interests</w:t>
            </w:r>
          </w:p>
        </w:tc>
        <w:tc>
          <w:tcPr>
            <w:tcW w:w="960" w:type="dxa"/>
            <w:vAlign w:val="bottom"/>
          </w:tcPr>
          <w:p>
            <w:pPr>
              <w:jc w:val="right"/>
              <w:ind w:right="19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5"/>
        </w:trPr>
        <w:tc>
          <w:tcPr>
            <w:tcW w:w="1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w:t>
            </w:r>
          </w:p>
        </w:tc>
        <w:tc>
          <w:tcPr>
            <w:tcW w:w="2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2010</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$ 9,800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0"/>
              </w:rPr>
              <w:t>$3,809,071</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$(2,014,013)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1,609</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 (158,492)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46,524</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$1,694,659</w:t>
            </w:r>
          </w:p>
        </w:tc>
        <w:tc>
          <w:tcPr>
            <w:tcW w:w="0" w:type="dxa"/>
            <w:vAlign w:val="bottom"/>
          </w:tcPr>
          <w:p>
            <w:pPr>
              <w:spacing w:after="0"/>
              <w:rPr>
                <w:sz w:val="1"/>
                <w:szCs w:val="1"/>
                <w:color w:val="auto"/>
              </w:rPr>
            </w:pPr>
          </w:p>
        </w:tc>
      </w:tr>
      <w:tr>
        <w:trPr>
          <w:trHeight w:val="229"/>
        </w:trPr>
        <w:tc>
          <w:tcPr>
            <w:tcW w:w="192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40"/>
              <w:spacing w:after="0"/>
              <w:rPr>
                <w:sz w:val="20"/>
                <w:szCs w:val="20"/>
                <w:color w:val="auto"/>
              </w:rPr>
            </w:pPr>
            <w:r>
              <w:rPr>
                <w:rFonts w:ascii="Arial" w:cs="Arial" w:eastAsia="Arial" w:hAnsi="Arial"/>
                <w:sz w:val="18"/>
                <w:szCs w:val="18"/>
                <w:color w:val="auto"/>
              </w:rPr>
              <w:t>preferred</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(42,320)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(42,320)</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stock/restricted stock</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net</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25,389</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25,391</w:t>
            </w:r>
          </w:p>
        </w:tc>
        <w:tc>
          <w:tcPr>
            <w:tcW w:w="0" w:type="dxa"/>
            <w:vAlign w:val="bottom"/>
          </w:tcPr>
          <w:p>
            <w:pPr>
              <w:spacing w:after="0"/>
              <w:rPr>
                <w:sz w:val="1"/>
                <w:szCs w:val="1"/>
                <w:color w:val="auto"/>
              </w:rPr>
            </w:pPr>
          </w:p>
        </w:tc>
      </w:tr>
      <w:tr>
        <w:trPr>
          <w:trHeight w:val="229"/>
        </w:trPr>
        <w:tc>
          <w:tcPr>
            <w:tcW w:w="1920" w:type="dxa"/>
            <w:vAlign w:val="bottom"/>
          </w:tcPr>
          <w:p>
            <w:pPr>
              <w:ind w:left="40"/>
              <w:spacing w:after="0"/>
              <w:rPr>
                <w:sz w:val="20"/>
                <w:szCs w:val="20"/>
                <w:color w:val="auto"/>
              </w:rPr>
            </w:pPr>
            <w:r>
              <w:rPr>
                <w:rFonts w:ascii="Arial" w:cs="Arial" w:eastAsia="Arial" w:hAnsi="Arial"/>
                <w:sz w:val="18"/>
                <w:szCs w:val="18"/>
                <w:color w:val="auto"/>
              </w:rPr>
              <w:t>Net loss for the</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40"/>
              <w:spacing w:after="0"/>
              <w:rPr>
                <w:sz w:val="20"/>
                <w:szCs w:val="20"/>
                <w:color w:val="auto"/>
              </w:rPr>
            </w:pPr>
            <w:r>
              <w:rPr>
                <w:rFonts w:ascii="Arial" w:cs="Arial" w:eastAsia="Arial" w:hAnsi="Arial"/>
                <w:sz w:val="18"/>
                <w:szCs w:val="18"/>
                <w:color w:val="auto"/>
              </w:rPr>
              <w:t>period(2)</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(22,064)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(3,603)</w:t>
            </w:r>
          </w:p>
        </w:tc>
        <w:tc>
          <w:tcPr>
            <w:tcW w:w="120" w:type="dxa"/>
            <w:vAlign w:val="bottom"/>
            <w:tcBorders>
              <w:right w:val="single" w:sz="8" w:color="auto"/>
            </w:tcBorders>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(25,667)</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Change in accumulated</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43"/>
        </w:trPr>
        <w:tc>
          <w:tcPr>
            <w:tcW w:w="1920" w:type="dxa"/>
            <w:vAlign w:val="bottom"/>
          </w:tcPr>
          <w:p>
            <w:pPr>
              <w:ind w:left="40"/>
              <w:spacing w:after="0"/>
              <w:rPr>
                <w:sz w:val="20"/>
                <w:szCs w:val="20"/>
                <w:color w:val="auto"/>
              </w:rPr>
            </w:pPr>
            <w:r>
              <w:rPr>
                <w:rFonts w:ascii="Arial" w:cs="Arial" w:eastAsia="Arial" w:hAnsi="Arial"/>
                <w:sz w:val="18"/>
                <w:szCs w:val="18"/>
                <w:color w:val="auto"/>
              </w:rPr>
              <w:t>Repurchase of stock</w:t>
            </w:r>
          </w:p>
        </w:tc>
        <w:tc>
          <w:tcPr>
            <w:tcW w:w="2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(78,849)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(78,849)</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Contributions from</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3,917</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3,917</w:t>
            </w:r>
          </w:p>
        </w:tc>
        <w:tc>
          <w:tcPr>
            <w:tcW w:w="0" w:type="dxa"/>
            <w:vAlign w:val="bottom"/>
          </w:tcPr>
          <w:p>
            <w:pPr>
              <w:spacing w:after="0"/>
              <w:rPr>
                <w:sz w:val="1"/>
                <w:szCs w:val="1"/>
                <w:color w:val="auto"/>
              </w:rPr>
            </w:pPr>
          </w:p>
        </w:tc>
      </w:tr>
      <w:tr>
        <w:trPr>
          <w:trHeight w:val="229"/>
        </w:trPr>
        <w:tc>
          <w:tcPr>
            <w:tcW w:w="1920" w:type="dxa"/>
            <w:vAlign w:val="bottom"/>
          </w:tcPr>
          <w:p>
            <w:pPr>
              <w:ind w:left="40"/>
              <w:spacing w:after="0"/>
              <w:rPr>
                <w:sz w:val="20"/>
                <w:szCs w:val="20"/>
                <w:color w:val="auto"/>
              </w:rPr>
            </w:pPr>
            <w:r>
              <w:rPr>
                <w:rFonts w:ascii="Arial" w:cs="Arial" w:eastAsia="Arial" w:hAnsi="Arial"/>
                <w:sz w:val="18"/>
                <w:szCs w:val="18"/>
                <w:color w:val="auto"/>
              </w:rPr>
              <w:t>Distributions to</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(1,590)</w:t>
            </w:r>
          </w:p>
        </w:tc>
        <w:tc>
          <w:tcPr>
            <w:tcW w:w="120" w:type="dxa"/>
            <w:vAlign w:val="bottom"/>
            <w:tcBorders>
              <w:right w:val="single" w:sz="8" w:color="auto"/>
            </w:tcBorders>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7"/>
        </w:trPr>
        <w:tc>
          <w:tcPr>
            <w:tcW w:w="1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2011</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$ 9,800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0"/>
              </w:rPr>
              <w:t>$3,834,460</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$(2,078,397)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 (237,341)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45,248</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$1,573,604</w:t>
            </w:r>
          </w:p>
        </w:tc>
        <w:tc>
          <w:tcPr>
            <w:tcW w:w="0" w:type="dxa"/>
            <w:vAlign w:val="bottom"/>
          </w:tcPr>
          <w:p>
            <w:pPr>
              <w:spacing w:after="0"/>
              <w:rPr>
                <w:sz w:val="1"/>
                <w:szCs w:val="1"/>
                <w:color w:val="auto"/>
              </w:rPr>
            </w:pPr>
          </w:p>
        </w:tc>
      </w:tr>
      <w:tr>
        <w:trPr>
          <w:trHeight w:val="229"/>
        </w:trPr>
        <w:tc>
          <w:tcPr>
            <w:tcW w:w="192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40"/>
              <w:spacing w:after="0"/>
              <w:rPr>
                <w:sz w:val="20"/>
                <w:szCs w:val="20"/>
                <w:color w:val="auto"/>
              </w:rPr>
            </w:pPr>
            <w:r>
              <w:rPr>
                <w:rFonts w:ascii="Arial" w:cs="Arial" w:eastAsia="Arial" w:hAnsi="Arial"/>
                <w:sz w:val="18"/>
                <w:szCs w:val="18"/>
                <w:color w:val="auto"/>
              </w:rPr>
              <w:t>preferred</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(42,320)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(42,320)</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stock</w:t>
            </w: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(4,628)</w:t>
            </w:r>
          </w:p>
        </w:tc>
        <w:tc>
          <w:tcPr>
            <w:tcW w:w="0" w:type="dxa"/>
            <w:vAlign w:val="bottom"/>
          </w:tcPr>
          <w:p>
            <w:pPr>
              <w:spacing w:after="0"/>
              <w:rPr>
                <w:sz w:val="1"/>
                <w:szCs w:val="1"/>
                <w:color w:val="auto"/>
              </w:rPr>
            </w:pPr>
          </w:p>
        </w:tc>
      </w:tr>
      <w:tr>
        <w:trPr>
          <w:trHeight w:val="229"/>
        </w:trPr>
        <w:tc>
          <w:tcPr>
            <w:tcW w:w="1920" w:type="dxa"/>
            <w:vAlign w:val="bottom"/>
          </w:tcPr>
          <w:p>
            <w:pPr>
              <w:ind w:left="40"/>
              <w:spacing w:after="0"/>
              <w:rPr>
                <w:sz w:val="20"/>
                <w:szCs w:val="20"/>
                <w:color w:val="auto"/>
              </w:rPr>
            </w:pPr>
            <w:r>
              <w:rPr>
                <w:rFonts w:ascii="Arial" w:cs="Arial" w:eastAsia="Arial" w:hAnsi="Arial"/>
                <w:sz w:val="18"/>
                <w:szCs w:val="18"/>
                <w:color w:val="auto"/>
              </w:rPr>
              <w:t>Issuance of</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40"/>
              <w:spacing w:after="0"/>
              <w:rPr>
                <w:sz w:val="20"/>
                <w:szCs w:val="20"/>
                <w:color w:val="auto"/>
              </w:rPr>
            </w:pPr>
            <w:r>
              <w:rPr>
                <w:rFonts w:ascii="Arial" w:cs="Arial" w:eastAsia="Arial" w:hAnsi="Arial"/>
                <w:sz w:val="18"/>
                <w:szCs w:val="18"/>
                <w:color w:val="auto"/>
              </w:rPr>
              <w:t>stock/restricted stock</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40"/>
              <w:spacing w:after="0"/>
              <w:rPr>
                <w:sz w:val="20"/>
                <w:szCs w:val="20"/>
                <w:color w:val="auto"/>
              </w:rPr>
            </w:pPr>
            <w:r>
              <w:rPr>
                <w:rFonts w:ascii="Arial" w:cs="Arial" w:eastAsia="Arial" w:hAnsi="Arial"/>
                <w:sz w:val="18"/>
                <w:szCs w:val="18"/>
                <w:color w:val="auto"/>
              </w:rPr>
              <w:t>unit amortization, net</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2,705</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2,708</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for the</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period(2)</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(239,930)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(240,618)</w:t>
            </w:r>
          </w:p>
        </w:tc>
        <w:tc>
          <w:tcPr>
            <w:tcW w:w="0" w:type="dxa"/>
            <w:vAlign w:val="bottom"/>
          </w:tcPr>
          <w:p>
            <w:pPr>
              <w:spacing w:after="0"/>
              <w:rPr>
                <w:sz w:val="1"/>
                <w:szCs w:val="1"/>
                <w:color w:val="auto"/>
              </w:rPr>
            </w:pPr>
          </w:p>
        </w:tc>
      </w:tr>
      <w:tr>
        <w:trPr>
          <w:trHeight w:val="229"/>
        </w:trPr>
        <w:tc>
          <w:tcPr>
            <w:tcW w:w="1920" w:type="dxa"/>
            <w:vAlign w:val="bottom"/>
          </w:tcPr>
          <w:p>
            <w:pPr>
              <w:ind w:left="40"/>
              <w:spacing w:after="0"/>
              <w:rPr>
                <w:sz w:val="20"/>
                <w:szCs w:val="20"/>
                <w:color w:val="auto"/>
              </w:rPr>
            </w:pPr>
            <w:r>
              <w:rPr>
                <w:rFonts w:ascii="Arial" w:cs="Arial" w:eastAsia="Arial" w:hAnsi="Arial"/>
                <w:sz w:val="18"/>
                <w:szCs w:val="18"/>
                <w:color w:val="auto"/>
                <w:w w:val="98"/>
              </w:rPr>
              <w:t>Change in accumulated</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40"/>
              <w:spacing w:after="0"/>
              <w:rPr>
                <w:sz w:val="20"/>
                <w:szCs w:val="20"/>
                <w:color w:val="auto"/>
              </w:rPr>
            </w:pPr>
            <w:r>
              <w:rPr>
                <w:rFonts w:ascii="Arial" w:cs="Arial" w:eastAsia="Arial" w:hAnsi="Arial"/>
                <w:sz w:val="18"/>
                <w:szCs w:val="18"/>
                <w:color w:val="auto"/>
              </w:rPr>
              <w:t>other comprehensive</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40"/>
              <w:spacing w:after="0"/>
              <w:rPr>
                <w:sz w:val="20"/>
                <w:szCs w:val="20"/>
                <w:color w:val="auto"/>
              </w:rPr>
            </w:pPr>
            <w:r>
              <w:rPr>
                <w:rFonts w:ascii="Arial" w:cs="Arial" w:eastAsia="Arial" w:hAnsi="Arial"/>
                <w:sz w:val="18"/>
                <w:szCs w:val="18"/>
                <w:color w:val="auto"/>
              </w:rPr>
              <w:t>income (loss)</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Repurchase of</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notes</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29"/>
        </w:trPr>
        <w:tc>
          <w:tcPr>
            <w:tcW w:w="1920" w:type="dxa"/>
            <w:vAlign w:val="bottom"/>
          </w:tcPr>
          <w:p>
            <w:pPr>
              <w:ind w:left="40"/>
              <w:spacing w:after="0"/>
              <w:rPr>
                <w:sz w:val="20"/>
                <w:szCs w:val="20"/>
                <w:color w:val="auto"/>
              </w:rPr>
            </w:pPr>
            <w:r>
              <w:rPr>
                <w:rFonts w:ascii="Arial" w:cs="Arial" w:eastAsia="Arial" w:hAnsi="Arial"/>
                <w:sz w:val="18"/>
                <w:szCs w:val="18"/>
                <w:color w:val="auto"/>
              </w:rPr>
              <w:t>Additional paid in</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40"/>
              <w:spacing w:after="0"/>
              <w:rPr>
                <w:sz w:val="20"/>
                <w:szCs w:val="20"/>
                <w:color w:val="auto"/>
              </w:rPr>
            </w:pPr>
            <w:r>
              <w:rPr>
                <w:rFonts w:ascii="Arial" w:cs="Arial" w:eastAsia="Arial" w:hAnsi="Arial"/>
                <w:sz w:val="18"/>
                <w:szCs w:val="18"/>
                <w:color w:val="auto"/>
              </w:rPr>
              <w:t>capital attributable to</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40"/>
              <w:spacing w:after="0"/>
              <w:rPr>
                <w:sz w:val="20"/>
                <w:szCs w:val="20"/>
                <w:color w:val="auto"/>
              </w:rPr>
            </w:pPr>
            <w:r>
              <w:rPr>
                <w:rFonts w:ascii="Arial" w:cs="Arial" w:eastAsia="Arial" w:hAnsi="Arial"/>
                <w:sz w:val="18"/>
                <w:szCs w:val="18"/>
                <w:color w:val="auto"/>
              </w:rPr>
              <w:t>redeemable</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Contributions from</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noncontrolling</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interests(3)</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32,654</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32,654</w:t>
            </w:r>
          </w:p>
        </w:tc>
        <w:tc>
          <w:tcPr>
            <w:tcW w:w="0" w:type="dxa"/>
            <w:vAlign w:val="bottom"/>
          </w:tcPr>
          <w:p>
            <w:pPr>
              <w:spacing w:after="0"/>
              <w:rPr>
                <w:sz w:val="1"/>
                <w:szCs w:val="1"/>
                <w:color w:val="auto"/>
              </w:rPr>
            </w:pPr>
          </w:p>
        </w:tc>
      </w:tr>
      <w:tr>
        <w:trPr>
          <w:trHeight w:val="229"/>
        </w:trPr>
        <w:tc>
          <w:tcPr>
            <w:tcW w:w="1920" w:type="dxa"/>
            <w:vAlign w:val="bottom"/>
          </w:tcPr>
          <w:p>
            <w:pPr>
              <w:ind w:left="40"/>
              <w:spacing w:after="0"/>
              <w:rPr>
                <w:sz w:val="20"/>
                <w:szCs w:val="20"/>
                <w:color w:val="auto"/>
              </w:rPr>
            </w:pPr>
            <w:r>
              <w:rPr>
                <w:rFonts w:ascii="Arial" w:cs="Arial" w:eastAsia="Arial" w:hAnsi="Arial"/>
                <w:sz w:val="18"/>
                <w:szCs w:val="18"/>
                <w:color w:val="auto"/>
              </w:rPr>
              <w:t>Distributions to</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(3,004)</w:t>
            </w:r>
          </w:p>
        </w:tc>
        <w:tc>
          <w:tcPr>
            <w:tcW w:w="120" w:type="dxa"/>
            <w:vAlign w:val="bottom"/>
            <w:tcBorders>
              <w:right w:val="single" w:sz="8" w:color="auto"/>
            </w:tcBorders>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7"/>
        </w:trPr>
        <w:tc>
          <w:tcPr>
            <w:tcW w:w="1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w:t>
            </w: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w w:val="89"/>
              </w:rPr>
              <w:t>$ 9,800</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4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90"/>
              </w:rPr>
              <w:t>$3,832,780</w:t>
            </w:r>
          </w:p>
        </w:tc>
        <w:tc>
          <w:tcPr>
            <w:tcW w:w="10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$(2,360,647)</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 (241,969)</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74,210</w:t>
            </w:r>
          </w:p>
        </w:tc>
        <w:tc>
          <w:tcPr>
            <w:tcW w:w="120" w:type="dxa"/>
            <w:vAlign w:val="bottom"/>
            <w:tcBorders>
              <w:right w:val="single" w:sz="8" w:color="CCEEFF"/>
            </w:tcBorders>
            <w:shd w:val="clear" w:color="auto" w:fill="CCEEFF"/>
          </w:tcPr>
          <w:p>
            <w:pPr>
              <w:spacing w:after="0"/>
              <w:rPr>
                <w:sz w:val="18"/>
                <w:szCs w:val="18"/>
                <w:color w:val="auto"/>
              </w:rPr>
            </w:pPr>
          </w:p>
        </w:tc>
        <w:tc>
          <w:tcPr>
            <w:tcW w:w="9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88"/>
              </w:rPr>
              <w:t>$ 1,313,154</w:t>
            </w:r>
          </w:p>
        </w:tc>
        <w:tc>
          <w:tcPr>
            <w:tcW w:w="0" w:type="dxa"/>
            <w:vAlign w:val="bottom"/>
          </w:tcPr>
          <w:p>
            <w:pPr>
              <w:spacing w:after="0"/>
              <w:rPr>
                <w:sz w:val="1"/>
                <w:szCs w:val="1"/>
                <w:color w:val="auto"/>
              </w:rPr>
            </w:pPr>
          </w:p>
        </w:tc>
      </w:tr>
      <w:tr>
        <w:trPr>
          <w:trHeight w:val="237"/>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31, 2012</w:t>
            </w:r>
          </w:p>
        </w:tc>
        <w:tc>
          <w:tcPr>
            <w:tcW w:w="240" w:type="dxa"/>
            <w:vAlign w:val="bottom"/>
            <w:vMerge w:val="continue"/>
            <w:shd w:val="clear" w:color="auto" w:fill="CCEEFF"/>
          </w:tcPr>
          <w:p>
            <w:pPr>
              <w:spacing w:after="0"/>
              <w:rPr>
                <w:sz w:val="20"/>
                <w:szCs w:val="20"/>
                <w:color w:val="auto"/>
              </w:rPr>
            </w:pPr>
          </w:p>
        </w:tc>
        <w:tc>
          <w:tcPr>
            <w:tcW w:w="4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640" w:type="dxa"/>
            <w:vAlign w:val="bottom"/>
            <w:gridSpan w:val="2"/>
            <w:vMerge w:val="continue"/>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4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18" w:right="239" w:bottom="1440" w:gutter="0" w:footer="0" w:header="0"/>
          <w:type w:val="continuous"/>
        </w:sectPr>
      </w:pPr>
    </w:p>
    <w:bookmarkStart w:id="52" w:name="page53"/>
    <w:bookmarkEnd w:id="52"/>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2013, 2012 and 2011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iStar Financial Inc. Shareholders' Equity</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Preferred</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Common</w:t>
            </w: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Retained</w:t>
            </w:r>
          </w:p>
        </w:tc>
        <w:tc>
          <w:tcPr>
            <w:tcW w:w="11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Treasury</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2"/>
                <w:szCs w:val="12"/>
                <w:color w:val="auto"/>
              </w:rPr>
            </w:pPr>
          </w:p>
        </w:tc>
        <w:tc>
          <w:tcPr>
            <w:tcW w:w="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020" w:type="dxa"/>
            <w:vAlign w:val="bottom"/>
            <w:gridSpan w:val="2"/>
            <w:vMerge w:val="continue"/>
          </w:tcPr>
          <w:p>
            <w:pPr>
              <w:spacing w:after="0"/>
              <w:rPr>
                <w:sz w:val="12"/>
                <w:szCs w:val="12"/>
                <w:color w:val="auto"/>
              </w:rPr>
            </w:pPr>
          </w:p>
        </w:tc>
        <w:tc>
          <w:tcPr>
            <w:tcW w:w="1140" w:type="dxa"/>
            <w:vAlign w:val="bottom"/>
            <w:tcBorders>
              <w:right w:val="single" w:sz="8" w:color="auto"/>
            </w:tcBorders>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Noncontrolling</w:t>
            </w:r>
          </w:p>
        </w:tc>
        <w:tc>
          <w:tcPr>
            <w:tcW w:w="9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Series</w:t>
            </w:r>
          </w:p>
        </w:tc>
        <w:tc>
          <w:tcPr>
            <w:tcW w:w="7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HPU's</w:t>
            </w:r>
          </w:p>
        </w:tc>
        <w:tc>
          <w:tcPr>
            <w:tcW w:w="7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Stock at</w:t>
            </w: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Earnings</w:t>
            </w: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Stock at</w:t>
            </w:r>
          </w:p>
        </w:tc>
        <w:tc>
          <w:tcPr>
            <w:tcW w:w="1140" w:type="dxa"/>
            <w:vAlign w:val="bottom"/>
            <w:tcBorders>
              <w:right w:val="single" w:sz="8" w:color="auto"/>
            </w:tcBorders>
            <w:gridSpan w:val="3"/>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20" w:type="dxa"/>
            <w:vAlign w:val="bottom"/>
          </w:tcPr>
          <w:p>
            <w:pPr>
              <w:spacing w:after="0"/>
              <w:rPr>
                <w:sz w:val="16"/>
                <w:szCs w:val="16"/>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Stock(1)</w:t>
            </w:r>
          </w:p>
        </w:tc>
        <w:tc>
          <w:tcPr>
            <w:tcW w:w="14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J(1)</w:t>
            </w: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Par</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(Deficit)</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Income (Loss)</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6"/>
                <w:szCs w:val="16"/>
                <w:color w:val="auto"/>
              </w:rPr>
            </w:pPr>
          </w:p>
        </w:tc>
        <w:tc>
          <w:tcPr>
            <w:tcW w:w="96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Interests</w:t>
            </w:r>
          </w:p>
        </w:tc>
        <w:tc>
          <w:tcPr>
            <w:tcW w:w="960" w:type="dxa"/>
            <w:vAlign w:val="bottom"/>
          </w:tcPr>
          <w:p>
            <w:pPr>
              <w:jc w:val="right"/>
              <w:ind w:right="193"/>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5"/>
        </w:trPr>
        <w:tc>
          <w:tcPr>
            <w:tcW w:w="1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w:t>
            </w:r>
          </w:p>
        </w:tc>
        <w:tc>
          <w:tcPr>
            <w:tcW w:w="2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31, 2012</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$ 9,800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0"/>
              </w:rPr>
              <w:t>$3,832,780</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$(2,360,647)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 (241,969)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74,210</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3"/>
              </w:rPr>
              <w:t>$1,313,154</w:t>
            </w:r>
          </w:p>
        </w:tc>
        <w:tc>
          <w:tcPr>
            <w:tcW w:w="0" w:type="dxa"/>
            <w:vAlign w:val="bottom"/>
          </w:tcPr>
          <w:p>
            <w:pPr>
              <w:spacing w:after="0"/>
              <w:rPr>
                <w:sz w:val="1"/>
                <w:szCs w:val="1"/>
                <w:color w:val="auto"/>
              </w:rPr>
            </w:pPr>
          </w:p>
        </w:tc>
      </w:tr>
      <w:tr>
        <w:trPr>
          <w:trHeight w:val="229"/>
        </w:trPr>
        <w:tc>
          <w:tcPr>
            <w:tcW w:w="1920" w:type="dxa"/>
            <w:vAlign w:val="bottom"/>
          </w:tcPr>
          <w:p>
            <w:pPr>
              <w:ind w:left="40"/>
              <w:spacing w:after="0"/>
              <w:rPr>
                <w:sz w:val="20"/>
                <w:szCs w:val="20"/>
                <w:color w:val="auto"/>
              </w:rPr>
            </w:pPr>
            <w:r>
              <w:rPr>
                <w:rFonts w:ascii="Arial" w:cs="Arial" w:eastAsia="Arial" w:hAnsi="Arial"/>
                <w:sz w:val="18"/>
                <w:szCs w:val="18"/>
                <w:color w:val="auto"/>
              </w:rPr>
              <w:t>Issuance of Preferred</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40"/>
              <w:spacing w:after="0"/>
              <w:rPr>
                <w:sz w:val="20"/>
                <w:szCs w:val="20"/>
                <w:color w:val="auto"/>
              </w:rPr>
            </w:pPr>
            <w:r>
              <w:rPr>
                <w:rFonts w:ascii="Arial" w:cs="Arial" w:eastAsia="Arial" w:hAnsi="Arial"/>
                <w:sz w:val="18"/>
                <w:szCs w:val="18"/>
                <w:color w:val="auto"/>
              </w:rPr>
              <w:t>Stock</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4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193,506</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193,510</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declared—</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(49,020)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(49,020)</w:t>
            </w:r>
          </w:p>
        </w:tc>
        <w:tc>
          <w:tcPr>
            <w:tcW w:w="0" w:type="dxa"/>
            <w:vAlign w:val="bottom"/>
          </w:tcPr>
          <w:p>
            <w:pPr>
              <w:spacing w:after="0"/>
              <w:rPr>
                <w:sz w:val="1"/>
                <w:szCs w:val="1"/>
                <w:color w:val="auto"/>
              </w:rPr>
            </w:pPr>
          </w:p>
        </w:tc>
      </w:tr>
      <w:tr>
        <w:trPr>
          <w:trHeight w:val="243"/>
        </w:trPr>
        <w:tc>
          <w:tcPr>
            <w:tcW w:w="1920" w:type="dxa"/>
            <w:vAlign w:val="bottom"/>
          </w:tcPr>
          <w:p>
            <w:pPr>
              <w:ind w:left="40"/>
              <w:spacing w:after="0"/>
              <w:rPr>
                <w:sz w:val="20"/>
                <w:szCs w:val="20"/>
                <w:color w:val="auto"/>
              </w:rPr>
            </w:pPr>
            <w:r>
              <w:rPr>
                <w:rFonts w:ascii="Arial" w:cs="Arial" w:eastAsia="Arial" w:hAnsi="Arial"/>
                <w:sz w:val="18"/>
                <w:szCs w:val="18"/>
                <w:color w:val="auto"/>
              </w:rPr>
              <w:t>Repurchase of stock</w:t>
            </w:r>
          </w:p>
        </w:tc>
        <w:tc>
          <w:tcPr>
            <w:tcW w:w="2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(20,985)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(20,985)</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stock/restricted stock</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 amortization, net</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29"/>
        </w:trPr>
        <w:tc>
          <w:tcPr>
            <w:tcW w:w="1920" w:type="dxa"/>
            <w:vAlign w:val="bottom"/>
          </w:tcPr>
          <w:p>
            <w:pPr>
              <w:ind w:left="40"/>
              <w:spacing w:after="0"/>
              <w:rPr>
                <w:sz w:val="20"/>
                <w:szCs w:val="20"/>
                <w:color w:val="auto"/>
              </w:rPr>
            </w:pPr>
            <w:r>
              <w:rPr>
                <w:rFonts w:ascii="Arial" w:cs="Arial" w:eastAsia="Arial" w:hAnsi="Arial"/>
                <w:sz w:val="18"/>
                <w:szCs w:val="18"/>
                <w:color w:val="auto"/>
              </w:rPr>
              <w:t>Net loss for the</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40"/>
              <w:spacing w:after="0"/>
              <w:rPr>
                <w:sz w:val="20"/>
                <w:szCs w:val="20"/>
                <w:color w:val="auto"/>
              </w:rPr>
            </w:pPr>
            <w:r>
              <w:rPr>
                <w:rFonts w:ascii="Arial" w:cs="Arial" w:eastAsia="Arial" w:hAnsi="Arial"/>
                <w:sz w:val="18"/>
                <w:szCs w:val="18"/>
                <w:color w:val="auto"/>
              </w:rPr>
              <w:t>period(2)</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(111,951)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3,837</w:t>
            </w:r>
          </w:p>
        </w:tc>
        <w:tc>
          <w:tcPr>
            <w:tcW w:w="120" w:type="dxa"/>
            <w:vAlign w:val="bottom"/>
            <w:tcBorders>
              <w:right w:val="single" w:sz="8" w:color="auto"/>
            </w:tcBorders>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(108,114)</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Change in accumulated</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29"/>
        </w:trPr>
        <w:tc>
          <w:tcPr>
            <w:tcW w:w="1920" w:type="dxa"/>
            <w:vAlign w:val="bottom"/>
          </w:tcPr>
          <w:p>
            <w:pPr>
              <w:ind w:left="40"/>
              <w:spacing w:after="0"/>
              <w:rPr>
                <w:sz w:val="20"/>
                <w:szCs w:val="20"/>
                <w:color w:val="auto"/>
              </w:rPr>
            </w:pPr>
            <w:r>
              <w:rPr>
                <w:rFonts w:ascii="Arial" w:cs="Arial" w:eastAsia="Arial" w:hAnsi="Arial"/>
                <w:sz w:val="18"/>
                <w:szCs w:val="18"/>
                <w:color w:val="auto"/>
              </w:rPr>
              <w:t>Additional paid in</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40"/>
              <w:spacing w:after="0"/>
              <w:rPr>
                <w:sz w:val="20"/>
                <w:szCs w:val="20"/>
                <w:color w:val="auto"/>
              </w:rPr>
            </w:pPr>
            <w:r>
              <w:rPr>
                <w:rFonts w:ascii="Arial" w:cs="Arial" w:eastAsia="Arial" w:hAnsi="Arial"/>
                <w:sz w:val="18"/>
                <w:szCs w:val="18"/>
                <w:color w:val="auto"/>
              </w:rPr>
              <w:t>capital attributable to</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40"/>
              <w:spacing w:after="0"/>
              <w:rPr>
                <w:sz w:val="20"/>
                <w:szCs w:val="20"/>
                <w:color w:val="auto"/>
              </w:rPr>
            </w:pPr>
            <w:r>
              <w:rPr>
                <w:rFonts w:ascii="Arial" w:cs="Arial" w:eastAsia="Arial" w:hAnsi="Arial"/>
                <w:sz w:val="18"/>
                <w:szCs w:val="18"/>
                <w:color w:val="auto"/>
              </w:rPr>
              <w:t>redeemable</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40"/>
              <w:spacing w:after="0"/>
              <w:rPr>
                <w:sz w:val="20"/>
                <w:szCs w:val="20"/>
                <w:color w:val="auto"/>
              </w:rPr>
            </w:pPr>
            <w:r>
              <w:rPr>
                <w:rFonts w:ascii="Arial" w:cs="Arial" w:eastAsia="Arial" w:hAnsi="Arial"/>
                <w:sz w:val="18"/>
                <w:szCs w:val="18"/>
                <w:color w:val="auto"/>
              </w:rPr>
              <w:t>noncontrolling</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40"/>
              <w:spacing w:after="0"/>
              <w:rPr>
                <w:sz w:val="20"/>
                <w:szCs w:val="20"/>
                <w:color w:val="auto"/>
              </w:rPr>
            </w:pPr>
            <w:r>
              <w:rPr>
                <w:rFonts w:ascii="Arial" w:cs="Arial" w:eastAsia="Arial" w:hAnsi="Arial"/>
                <w:sz w:val="18"/>
                <w:szCs w:val="18"/>
                <w:color w:val="auto"/>
              </w:rPr>
              <w:t>interest(5)</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(2,772)</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Contributions from</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noncontrolling</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interests(4)</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10,264</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10,264</w:t>
            </w:r>
          </w:p>
        </w:tc>
        <w:tc>
          <w:tcPr>
            <w:tcW w:w="0" w:type="dxa"/>
            <w:vAlign w:val="bottom"/>
          </w:tcPr>
          <w:p>
            <w:pPr>
              <w:spacing w:after="0"/>
              <w:rPr>
                <w:sz w:val="1"/>
                <w:szCs w:val="1"/>
                <w:color w:val="auto"/>
              </w:rPr>
            </w:pPr>
          </w:p>
        </w:tc>
      </w:tr>
      <w:tr>
        <w:trPr>
          <w:trHeight w:val="229"/>
        </w:trPr>
        <w:tc>
          <w:tcPr>
            <w:tcW w:w="1920" w:type="dxa"/>
            <w:vAlign w:val="bottom"/>
          </w:tcPr>
          <w:p>
            <w:pPr>
              <w:ind w:left="40"/>
              <w:spacing w:after="0"/>
              <w:rPr>
                <w:sz w:val="20"/>
                <w:szCs w:val="20"/>
                <w:color w:val="auto"/>
              </w:rPr>
            </w:pPr>
            <w:r>
              <w:rPr>
                <w:rFonts w:ascii="Arial" w:cs="Arial" w:eastAsia="Arial" w:hAnsi="Arial"/>
                <w:sz w:val="18"/>
                <w:szCs w:val="18"/>
                <w:color w:val="auto"/>
              </w:rPr>
              <w:t>Distributions to</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40"/>
              <w:spacing w:after="0"/>
              <w:rPr>
                <w:sz w:val="20"/>
                <w:szCs w:val="20"/>
                <w:color w:val="auto"/>
              </w:rPr>
            </w:pPr>
            <w:r>
              <w:rPr>
                <w:rFonts w:ascii="Arial" w:cs="Arial" w:eastAsia="Arial" w:hAnsi="Arial"/>
                <w:sz w:val="18"/>
                <w:szCs w:val="18"/>
                <w:color w:val="auto"/>
              </w:rPr>
              <w:t>noncontrolling</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40"/>
              <w:spacing w:after="0"/>
              <w:rPr>
                <w:sz w:val="20"/>
                <w:szCs w:val="20"/>
                <w:color w:val="auto"/>
              </w:rPr>
            </w:pPr>
            <w:r>
              <w:rPr>
                <w:rFonts w:ascii="Arial" w:cs="Arial" w:eastAsia="Arial" w:hAnsi="Arial"/>
                <w:sz w:val="18"/>
                <w:szCs w:val="18"/>
                <w:color w:val="auto"/>
              </w:rPr>
              <w:t>interests(5)</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(30,106)</w:t>
            </w:r>
          </w:p>
        </w:tc>
        <w:tc>
          <w:tcPr>
            <w:tcW w:w="120" w:type="dxa"/>
            <w:vAlign w:val="bottom"/>
            <w:tcBorders>
              <w:right w:val="single" w:sz="8" w:color="auto"/>
            </w:tcBorders>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(30,106)</w:t>
            </w:r>
          </w:p>
        </w:tc>
        <w:tc>
          <w:tcPr>
            <w:tcW w:w="0" w:type="dxa"/>
            <w:vAlign w:val="bottom"/>
          </w:tcPr>
          <w:p>
            <w:pPr>
              <w:spacing w:after="0"/>
              <w:rPr>
                <w:sz w:val="1"/>
                <w:szCs w:val="1"/>
                <w:color w:val="auto"/>
              </w:rPr>
            </w:pPr>
          </w:p>
        </w:tc>
      </w:tr>
      <w:tr>
        <w:trPr>
          <w:trHeight w:val="27"/>
        </w:trPr>
        <w:tc>
          <w:tcPr>
            <w:tcW w:w="1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w:t>
            </w: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w w:val="89"/>
              </w:rPr>
              <w:t>$ 9,800</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4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w w:val="90"/>
              </w:rPr>
              <w:t>$4,022,138</w:t>
            </w:r>
          </w:p>
        </w:tc>
        <w:tc>
          <w:tcPr>
            <w:tcW w:w="10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$(2,521,618)</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21"/>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(4,276)</w:t>
            </w:r>
          </w:p>
        </w:tc>
        <w:tc>
          <w:tcPr>
            <w:tcW w:w="10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 (262,954)</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58,205</w:t>
            </w:r>
          </w:p>
        </w:tc>
        <w:tc>
          <w:tcPr>
            <w:tcW w:w="120" w:type="dxa"/>
            <w:vAlign w:val="bottom"/>
            <w:tcBorders>
              <w:right w:val="single" w:sz="8" w:color="CCEEFF"/>
            </w:tcBorders>
            <w:shd w:val="clear" w:color="auto" w:fill="CCEEFF"/>
          </w:tcPr>
          <w:p>
            <w:pPr>
              <w:spacing w:after="0"/>
              <w:rPr>
                <w:sz w:val="18"/>
                <w:szCs w:val="18"/>
                <w:color w:val="auto"/>
              </w:rPr>
            </w:pPr>
          </w:p>
        </w:tc>
        <w:tc>
          <w:tcPr>
            <w:tcW w:w="9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w w:val="88"/>
              </w:rPr>
              <w:t>$ 1,301,465</w:t>
            </w:r>
          </w:p>
        </w:tc>
        <w:tc>
          <w:tcPr>
            <w:tcW w:w="0" w:type="dxa"/>
            <w:vAlign w:val="bottom"/>
          </w:tcPr>
          <w:p>
            <w:pPr>
              <w:spacing w:after="0"/>
              <w:rPr>
                <w:sz w:val="1"/>
                <w:szCs w:val="1"/>
                <w:color w:val="auto"/>
              </w:rPr>
            </w:pPr>
          </w:p>
        </w:tc>
      </w:tr>
      <w:tr>
        <w:trPr>
          <w:trHeight w:val="237"/>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31, 2013</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See Note 11 for details on the Company's Cumulative Redeemable Preferred Stock.</w:t>
      </w:r>
    </w:p>
    <w:p>
      <w:pPr>
        <w:spacing w:after="0" w:line="13" w:lineRule="exact"/>
        <w:rPr>
          <w:rFonts w:ascii="Arial" w:cs="Arial" w:eastAsia="Arial" w:hAnsi="Arial"/>
          <w:sz w:val="14"/>
          <w:szCs w:val="14"/>
          <w:color w:val="auto"/>
        </w:rPr>
      </w:pPr>
    </w:p>
    <w:p>
      <w:pPr>
        <w:ind w:left="660" w:right="20" w:hanging="652"/>
        <w:spacing w:after="0" w:line="241"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For the years ended December 31, 2013, 2012 and 2011, net loss shown above excludes $(3,119), $(812) and $(26), respectively, of net loss attributable to redeemable noncontrolling interests.</w:t>
      </w:r>
    </w:p>
    <w:p>
      <w:pPr>
        <w:ind w:left="660" w:hanging="652"/>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$27.3 million of land assets contributed by a noncontrolling partner (see Note 4).</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$9.4 million of operating property assets contributed by a noncontrolling partner (see Note 4).</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an $8.8 million payment to redeem a noncontrolling member's interest.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iStar Financial Inc.</w:t>
      </w:r>
    </w:p>
    <w:p>
      <w:pPr>
        <w:spacing w:after="0" w:line="6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4"/>
                <w:szCs w:val="14"/>
                <w:b w:val="1"/>
                <w:bCs w:val="1"/>
                <w:color w:val="auto"/>
              </w:rPr>
              <w:t>For the Years Ended December 31,</w:t>
            </w:r>
          </w:p>
        </w:tc>
        <w:tc>
          <w:tcPr>
            <w:tcW w:w="1040" w:type="dxa"/>
            <w:vAlign w:val="bottom"/>
            <w:tcBorders>
              <w:bottom w:val="single" w:sz="8" w:color="auto"/>
            </w:tcBorders>
          </w:tcPr>
          <w:p>
            <w:pPr>
              <w:spacing w:after="0"/>
              <w:rPr>
                <w:sz w:val="16"/>
                <w:szCs w:val="16"/>
                <w:color w:val="auto"/>
              </w:rPr>
            </w:pPr>
          </w:p>
        </w:tc>
      </w:tr>
      <w:tr>
        <w:trPr>
          <w:trHeight w:val="264"/>
        </w:trPr>
        <w:tc>
          <w:tcPr>
            <w:tcW w:w="65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2011</w:t>
            </w: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65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(111,233)</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(241,430)</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(25,693)</w:t>
            </w:r>
          </w:p>
        </w:tc>
      </w:tr>
      <w:tr>
        <w:trPr>
          <w:trHeight w:val="33"/>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6560" w:type="dxa"/>
            <w:vAlign w:val="bottom"/>
          </w:tcPr>
          <w:p>
            <w:pPr>
              <w:ind w:left="160"/>
              <w:spacing w:after="0"/>
              <w:rPr>
                <w:sz w:val="20"/>
                <w:szCs w:val="20"/>
                <w:color w:val="auto"/>
              </w:rPr>
            </w:pPr>
            <w:r>
              <w:rPr>
                <w:rFonts w:ascii="Arial" w:cs="Arial" w:eastAsia="Arial" w:hAnsi="Arial"/>
                <w:sz w:val="16"/>
                <w:szCs w:val="16"/>
                <w:color w:val="auto"/>
              </w:rPr>
              <w:t>Provision for loan losses</w:t>
            </w:r>
          </w:p>
        </w:tc>
        <w:tc>
          <w:tcPr>
            <w:tcW w:w="3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5,489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81,740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46,412</w:t>
            </w:r>
          </w:p>
        </w:tc>
      </w:tr>
      <w:tr>
        <w:trPr>
          <w:trHeight w:val="33"/>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Impairment of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38,077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22,386</w:t>
            </w:r>
          </w:p>
        </w:tc>
      </w:tr>
      <w:tr>
        <w:trPr>
          <w:trHeight w:val="237"/>
        </w:trPr>
        <w:tc>
          <w:tcPr>
            <w:tcW w:w="6560" w:type="dxa"/>
            <w:vAlign w:val="bottom"/>
          </w:tcPr>
          <w:p>
            <w:pPr>
              <w:ind w:left="160"/>
              <w:spacing w:after="0"/>
              <w:rPr>
                <w:sz w:val="20"/>
                <w:szCs w:val="20"/>
                <w:color w:val="auto"/>
              </w:rPr>
            </w:pPr>
            <w:r>
              <w:rPr>
                <w:rFonts w:ascii="Arial" w:cs="Arial" w:eastAsia="Arial" w:hAnsi="Arial"/>
                <w:sz w:val="16"/>
                <w:szCs w:val="16"/>
                <w:color w:val="auto"/>
              </w:rPr>
              <w:t>Loss on transfer of interest to unconsolidated subsidiary</w:t>
            </w:r>
          </w:p>
        </w:tc>
        <w:tc>
          <w:tcPr>
            <w:tcW w:w="3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7,373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71,530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70,786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63,928</w:t>
            </w:r>
          </w:p>
        </w:tc>
      </w:tr>
      <w:tr>
        <w:trPr>
          <w:trHeight w:val="237"/>
        </w:trPr>
        <w:tc>
          <w:tcPr>
            <w:tcW w:w="6560" w:type="dxa"/>
            <w:vAlign w:val="bottom"/>
          </w:tcPr>
          <w:p>
            <w:pPr>
              <w:ind w:left="160"/>
              <w:spacing w:after="0"/>
              <w:rPr>
                <w:sz w:val="20"/>
                <w:szCs w:val="20"/>
                <w:color w:val="auto"/>
              </w:rPr>
            </w:pPr>
            <w:r>
              <w:rPr>
                <w:rFonts w:ascii="Arial" w:cs="Arial" w:eastAsia="Arial" w:hAnsi="Arial"/>
                <w:sz w:val="16"/>
                <w:szCs w:val="16"/>
                <w:color w:val="auto"/>
              </w:rPr>
              <w:t>Payments for withholding taxes upon vesting of stock-based compensation</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(14,098)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(12,589)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(6,273)</w:t>
            </w:r>
          </w:p>
        </w:tc>
      </w:tr>
      <w:tr>
        <w:trPr>
          <w:trHeight w:val="33"/>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Non-cash expense for 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29,702</w:t>
            </w:r>
          </w:p>
        </w:tc>
      </w:tr>
      <w:tr>
        <w:trPr>
          <w:trHeight w:val="237"/>
        </w:trPr>
        <w:tc>
          <w:tcPr>
            <w:tcW w:w="6560" w:type="dxa"/>
            <w:vAlign w:val="bottom"/>
          </w:tcPr>
          <w:p>
            <w:pPr>
              <w:ind w:left="160"/>
              <w:spacing w:after="0"/>
              <w:rPr>
                <w:sz w:val="20"/>
                <w:szCs w:val="20"/>
                <w:color w:val="auto"/>
              </w:rPr>
            </w:pPr>
            <w:r>
              <w:rPr>
                <w:rFonts w:ascii="Arial" w:cs="Arial" w:eastAsia="Arial" w:hAnsi="Arial"/>
                <w:sz w:val="16"/>
                <w:szCs w:val="16"/>
                <w:color w:val="auto"/>
              </w:rPr>
              <w:t>Amortization of discounts/premiums and deferred financing costs on debt</w:t>
            </w:r>
          </w:p>
        </w:tc>
        <w:tc>
          <w:tcPr>
            <w:tcW w:w="3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20,915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31,981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32,345</w:t>
            </w:r>
          </w:p>
        </w:tc>
      </w:tr>
      <w:tr>
        <w:trPr>
          <w:trHeight w:val="33"/>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Amortization of discounts/premiums and deferred interest on loans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(62,194)</w:t>
            </w:r>
          </w:p>
        </w:tc>
      </w:tr>
      <w:tr>
        <w:trPr>
          <w:trHeight w:val="237"/>
        </w:trPr>
        <w:tc>
          <w:tcPr>
            <w:tcW w:w="6560" w:type="dxa"/>
            <w:vAlign w:val="bottom"/>
          </w:tcPr>
          <w:p>
            <w:pPr>
              <w:ind w:left="160"/>
              <w:spacing w:after="0"/>
              <w:rPr>
                <w:sz w:val="20"/>
                <w:szCs w:val="20"/>
                <w:color w:val="auto"/>
              </w:rPr>
            </w:pPr>
            <w:r>
              <w:rPr>
                <w:rFonts w:ascii="Arial" w:cs="Arial" w:eastAsia="Arial" w:hAnsi="Arial"/>
                <w:sz w:val="16"/>
                <w:szCs w:val="16"/>
                <w:color w:val="auto"/>
              </w:rPr>
              <w:t>Earnings from equity method investments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(41,520)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(103,009)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(95,091)</w:t>
            </w:r>
          </w:p>
        </w:tc>
      </w:tr>
      <w:tr>
        <w:trPr>
          <w:trHeight w:val="33"/>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Distributions from operations of equity method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105,586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85,766</w:t>
            </w:r>
          </w:p>
        </w:tc>
      </w:tr>
      <w:tr>
        <w:trPr>
          <w:trHeight w:val="237"/>
        </w:trPr>
        <w:tc>
          <w:tcPr>
            <w:tcW w:w="6560" w:type="dxa"/>
            <w:vAlign w:val="bottom"/>
          </w:tcPr>
          <w:p>
            <w:pPr>
              <w:ind w:left="160"/>
              <w:spacing w:after="0"/>
              <w:rPr>
                <w:sz w:val="20"/>
                <w:szCs w:val="20"/>
                <w:color w:val="auto"/>
              </w:rPr>
            </w:pPr>
            <w:r>
              <w:rPr>
                <w:rFonts w:ascii="Arial" w:cs="Arial" w:eastAsia="Arial" w:hAnsi="Arial"/>
                <w:sz w:val="16"/>
                <w:szCs w:val="16"/>
                <w:color w:val="auto"/>
              </w:rPr>
              <w:t>Deferred operating lease income</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(12,077)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(11,812)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(9,390)</w:t>
            </w:r>
          </w:p>
        </w:tc>
      </w:tr>
      <w:tr>
        <w:trPr>
          <w:trHeight w:val="33"/>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(13,729)</w:t>
            </w:r>
          </w:p>
        </w:tc>
      </w:tr>
      <w:tr>
        <w:trPr>
          <w:trHeight w:val="237"/>
        </w:trPr>
        <w:tc>
          <w:tcPr>
            <w:tcW w:w="6560" w:type="dxa"/>
            <w:vAlign w:val="bottom"/>
          </w:tcPr>
          <w:p>
            <w:pPr>
              <w:ind w:left="160"/>
              <w:spacing w:after="0"/>
              <w:rPr>
                <w:sz w:val="20"/>
                <w:szCs w:val="20"/>
                <w:color w:val="auto"/>
              </w:rPr>
            </w:pPr>
            <w:r>
              <w:rPr>
                <w:rFonts w:ascii="Arial" w:cs="Arial" w:eastAsia="Arial" w:hAnsi="Arial"/>
                <w:sz w:val="16"/>
                <w:szCs w:val="16"/>
                <w:color w:val="auto"/>
              </w:rPr>
              <w:t>Income from sales of residential property</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(86,658)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(63,472)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(5,721)</w:t>
            </w:r>
          </w:p>
        </w:tc>
      </w:tr>
      <w:tr>
        <w:trPr>
          <w:trHeight w:val="33"/>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Gain from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(25,110)</w:t>
            </w:r>
          </w:p>
        </w:tc>
      </w:tr>
      <w:tr>
        <w:trPr>
          <w:trHeight w:val="237"/>
        </w:trPr>
        <w:tc>
          <w:tcPr>
            <w:tcW w:w="6560" w:type="dxa"/>
            <w:vAlign w:val="bottom"/>
          </w:tcPr>
          <w:p>
            <w:pPr>
              <w:ind w:left="160"/>
              <w:spacing w:after="0"/>
              <w:rPr>
                <w:sz w:val="20"/>
                <w:szCs w:val="20"/>
                <w:color w:val="auto"/>
              </w:rPr>
            </w:pPr>
            <w:r>
              <w:rPr>
                <w:rFonts w:ascii="Arial" w:cs="Arial" w:eastAsia="Arial" w:hAnsi="Arial"/>
                <w:sz w:val="16"/>
                <w:szCs w:val="16"/>
                <w:color w:val="auto"/>
              </w:rPr>
              <w:t>(Gain) loss on early extinguishment of debt, net</w:t>
            </w:r>
          </w:p>
        </w:tc>
        <w:tc>
          <w:tcPr>
            <w:tcW w:w="3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19,655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22,405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(97,742)</w:t>
            </w:r>
          </w:p>
        </w:tc>
      </w:tr>
      <w:tr>
        <w:trPr>
          <w:trHeight w:val="33"/>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Repayments and repurchases of debt—debt discount and prepayment penalty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(74,712)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(5,748)</w:t>
            </w:r>
          </w:p>
        </w:tc>
      </w:tr>
      <w:tr>
        <w:trPr>
          <w:trHeight w:val="237"/>
        </w:trPr>
        <w:tc>
          <w:tcPr>
            <w:tcW w:w="6560" w:type="dxa"/>
            <w:vAlign w:val="bottom"/>
          </w:tcPr>
          <w:p>
            <w:pPr>
              <w:ind w:left="160"/>
              <w:spacing w:after="0"/>
              <w:rPr>
                <w:sz w:val="20"/>
                <w:szCs w:val="20"/>
                <w:color w:val="auto"/>
              </w:rPr>
            </w:pPr>
            <w:r>
              <w:rPr>
                <w:rFonts w:ascii="Arial" w:cs="Arial" w:eastAsia="Arial" w:hAnsi="Arial"/>
                <w:sz w:val="16"/>
                <w:szCs w:val="16"/>
                <w:color w:val="auto"/>
              </w:rPr>
              <w:t>Other operating activities, net</w:t>
            </w:r>
          </w:p>
        </w:tc>
        <w:tc>
          <w:tcPr>
            <w:tcW w:w="3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6,917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9,427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6,492</w:t>
            </w:r>
          </w:p>
        </w:tc>
      </w:tr>
      <w:tr>
        <w:trPr>
          <w:trHeight w:val="33"/>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Changes in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6560" w:type="dxa"/>
            <w:vAlign w:val="bottom"/>
          </w:tcPr>
          <w:p>
            <w:pPr>
              <w:ind w:left="260"/>
              <w:spacing w:after="0"/>
              <w:rPr>
                <w:sz w:val="20"/>
                <w:szCs w:val="20"/>
                <w:color w:val="auto"/>
              </w:rPr>
            </w:pPr>
            <w:r>
              <w:rPr>
                <w:rFonts w:ascii="Arial" w:cs="Arial" w:eastAsia="Arial" w:hAnsi="Arial"/>
                <w:sz w:val="16"/>
                <w:szCs w:val="16"/>
                <w:color w:val="auto"/>
              </w:rPr>
              <w:t>Changes in accrued interest and operating lease income receivable, net</w:t>
            </w:r>
          </w:p>
        </w:tc>
        <w:tc>
          <w:tcPr>
            <w:tcW w:w="3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2,310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1,337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4,793</w:t>
            </w:r>
          </w:p>
        </w:tc>
      </w:tr>
      <w:tr>
        <w:trPr>
          <w:trHeight w:val="33"/>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Changes in deferred expenses and other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20,580</w:t>
            </w:r>
          </w:p>
        </w:tc>
      </w:tr>
      <w:tr>
        <w:trPr>
          <w:trHeight w:val="237"/>
        </w:trPr>
        <w:tc>
          <w:tcPr>
            <w:tcW w:w="6560" w:type="dxa"/>
            <w:vAlign w:val="bottom"/>
          </w:tcPr>
          <w:p>
            <w:pPr>
              <w:ind w:left="260"/>
              <w:spacing w:after="0"/>
              <w:rPr>
                <w:sz w:val="20"/>
                <w:szCs w:val="20"/>
                <w:color w:val="auto"/>
              </w:rPr>
            </w:pPr>
            <w:r>
              <w:rPr>
                <w:rFonts w:ascii="Arial" w:cs="Arial" w:eastAsia="Arial" w:hAnsi="Arial"/>
                <w:sz w:val="16"/>
                <w:szCs w:val="16"/>
                <w:color w:val="auto"/>
              </w:rPr>
              <w:t>Changes in accounts payable, accrued expenses and other liabilities</w:t>
            </w:r>
          </w:p>
        </w:tc>
        <w:tc>
          <w:tcPr>
            <w:tcW w:w="3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5,945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11,725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5,710</w:t>
            </w:r>
          </w:p>
        </w:tc>
      </w:tr>
      <w:tr>
        <w:trPr>
          <w:trHeight w:val="33"/>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Cash flows from operating activities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(180,465)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(191,932)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(28,577)</w:t>
            </w:r>
          </w:p>
        </w:tc>
      </w:tr>
      <w:tr>
        <w:trPr>
          <w:trHeight w:val="231"/>
        </w:trPr>
        <w:tc>
          <w:tcPr>
            <w:tcW w:w="65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33"/>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Investment originations and fundings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(257,600)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(120,333)</w:t>
            </w:r>
          </w:p>
        </w:tc>
      </w:tr>
      <w:tr>
        <w:trPr>
          <w:trHeight w:val="237"/>
        </w:trPr>
        <w:tc>
          <w:tcPr>
            <w:tcW w:w="6560" w:type="dxa"/>
            <w:vAlign w:val="bottom"/>
          </w:tcPr>
          <w:p>
            <w:pPr>
              <w:ind w:left="160"/>
              <w:spacing w:after="0"/>
              <w:rPr>
                <w:sz w:val="20"/>
                <w:szCs w:val="20"/>
                <w:color w:val="auto"/>
              </w:rPr>
            </w:pPr>
            <w:r>
              <w:rPr>
                <w:rFonts w:ascii="Arial" w:cs="Arial" w:eastAsia="Arial" w:hAnsi="Arial"/>
                <w:sz w:val="16"/>
                <w:szCs w:val="16"/>
                <w:color w:val="auto"/>
              </w:rPr>
              <w:t>Acquisitions of and capital expenditures on real estate assets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(211,767)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(92,820)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(64,169)</w:t>
            </w:r>
          </w:p>
        </w:tc>
      </w:tr>
      <w:tr>
        <w:trPr>
          <w:trHeight w:val="33"/>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Repayments of and principal collections on loans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613,615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728,657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1,208,403</w:t>
            </w:r>
          </w:p>
        </w:tc>
      </w:tr>
      <w:tr>
        <w:trPr>
          <w:trHeight w:val="237"/>
        </w:trPr>
        <w:tc>
          <w:tcPr>
            <w:tcW w:w="6560" w:type="dxa"/>
            <w:vAlign w:val="bottom"/>
          </w:tcPr>
          <w:p>
            <w:pPr>
              <w:ind w:left="160"/>
              <w:spacing w:after="0"/>
              <w:rPr>
                <w:sz w:val="20"/>
                <w:szCs w:val="20"/>
                <w:color w:val="auto"/>
              </w:rPr>
            </w:pPr>
            <w:r>
              <w:rPr>
                <w:rFonts w:ascii="Arial" w:cs="Arial" w:eastAsia="Arial" w:hAnsi="Arial"/>
                <w:sz w:val="16"/>
                <w:szCs w:val="16"/>
                <w:color w:val="auto"/>
              </w:rPr>
              <w:t>Net proceeds from sales of loans</w:t>
            </w:r>
          </w:p>
        </w:tc>
        <w:tc>
          <w:tcPr>
            <w:tcW w:w="3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81,614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56,998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95,859</w:t>
            </w:r>
          </w:p>
        </w:tc>
      </w:tr>
      <w:tr>
        <w:trPr>
          <w:trHeight w:val="33"/>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proceeds from sales of real estate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437,817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562,705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215,930</w:t>
            </w:r>
          </w:p>
        </w:tc>
      </w:tr>
      <w:tr>
        <w:trPr>
          <w:trHeight w:val="237"/>
        </w:trPr>
        <w:tc>
          <w:tcPr>
            <w:tcW w:w="6560" w:type="dxa"/>
            <w:vAlign w:val="bottom"/>
          </w:tcPr>
          <w:p>
            <w:pPr>
              <w:ind w:left="160"/>
              <w:spacing w:after="0"/>
              <w:rPr>
                <w:sz w:val="20"/>
                <w:szCs w:val="20"/>
                <w:color w:val="auto"/>
              </w:rPr>
            </w:pPr>
            <w:r>
              <w:rPr>
                <w:rFonts w:ascii="Arial" w:cs="Arial" w:eastAsia="Arial" w:hAnsi="Arial"/>
                <w:sz w:val="16"/>
                <w:szCs w:val="16"/>
                <w:color w:val="auto"/>
              </w:rPr>
              <w:t>Net proceeds from sale of other investments</w:t>
            </w:r>
          </w:p>
        </w:tc>
        <w:tc>
          <w:tcPr>
            <w:tcW w:w="3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220,281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Distributions from other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78,238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188,467</w:t>
            </w:r>
          </w:p>
        </w:tc>
      </w:tr>
      <w:tr>
        <w:trPr>
          <w:trHeight w:val="237"/>
        </w:trPr>
        <w:tc>
          <w:tcPr>
            <w:tcW w:w="6560" w:type="dxa"/>
            <w:vAlign w:val="bottom"/>
          </w:tcPr>
          <w:p>
            <w:pPr>
              <w:ind w:left="160"/>
              <w:spacing w:after="0"/>
              <w:rPr>
                <w:sz w:val="20"/>
                <w:szCs w:val="20"/>
                <w:color w:val="auto"/>
              </w:rPr>
            </w:pPr>
            <w:r>
              <w:rPr>
                <w:rFonts w:ascii="Arial" w:cs="Arial" w:eastAsia="Arial" w:hAnsi="Arial"/>
                <w:sz w:val="16"/>
                <w:szCs w:val="16"/>
                <w:color w:val="auto"/>
              </w:rPr>
              <w:t>Contributions to other investments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(12,784)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(10,640)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(41,820)</w:t>
            </w:r>
          </w:p>
        </w:tc>
      </w:tr>
      <w:tr>
        <w:trPr>
          <w:trHeight w:val="33"/>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Changes in restricted cash held in connection with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(20,042)</w:t>
            </w:r>
          </w:p>
        </w:tc>
      </w:tr>
      <w:tr>
        <w:trPr>
          <w:trHeight w:val="237"/>
        </w:trPr>
        <w:tc>
          <w:tcPr>
            <w:tcW w:w="6560" w:type="dxa"/>
            <w:vAlign w:val="bottom"/>
          </w:tcPr>
          <w:p>
            <w:pPr>
              <w:ind w:left="160"/>
              <w:spacing w:after="0"/>
              <w:rPr>
                <w:sz w:val="20"/>
                <w:szCs w:val="20"/>
                <w:color w:val="auto"/>
              </w:rPr>
            </w:pPr>
            <w:r>
              <w:rPr>
                <w:rFonts w:ascii="Arial" w:cs="Arial" w:eastAsia="Arial" w:hAnsi="Arial"/>
                <w:sz w:val="16"/>
                <w:szCs w:val="16"/>
                <w:color w:val="auto"/>
              </w:rPr>
              <w:t>Other investing activities, net</w:t>
            </w:r>
          </w:p>
        </w:tc>
        <w:tc>
          <w:tcPr>
            <w:tcW w:w="3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4,741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(3,361)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(1,038)</w:t>
            </w:r>
          </w:p>
        </w:tc>
      </w:tr>
      <w:tr>
        <w:trPr>
          <w:trHeight w:val="33"/>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Cash flows from investing activities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893,447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1,267,047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1,461,257</w:t>
            </w:r>
          </w:p>
        </w:tc>
      </w:tr>
      <w:tr>
        <w:trPr>
          <w:trHeight w:val="231"/>
        </w:trPr>
        <w:tc>
          <w:tcPr>
            <w:tcW w:w="656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33"/>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Borrowings from debt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1,444,565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3,498,794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3,037,825</w:t>
            </w:r>
          </w:p>
        </w:tc>
      </w:tr>
      <w:tr>
        <w:trPr>
          <w:trHeight w:val="237"/>
        </w:trPr>
        <w:tc>
          <w:tcPr>
            <w:tcW w:w="6560" w:type="dxa"/>
            <w:vAlign w:val="bottom"/>
          </w:tcPr>
          <w:p>
            <w:pPr>
              <w:ind w:left="160"/>
              <w:spacing w:after="0"/>
              <w:rPr>
                <w:sz w:val="20"/>
                <w:szCs w:val="20"/>
                <w:color w:val="auto"/>
              </w:rPr>
            </w:pPr>
            <w:r>
              <w:rPr>
                <w:rFonts w:ascii="Arial" w:cs="Arial" w:eastAsia="Arial" w:hAnsi="Arial"/>
                <w:sz w:val="16"/>
                <w:szCs w:val="16"/>
                <w:color w:val="auto"/>
              </w:rPr>
              <w:t>Repayments of debt obligations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(1,984,102)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(4,608,133)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(4,464,254)</w:t>
            </w:r>
          </w:p>
        </w:tc>
      </w:tr>
      <w:tr>
        <w:trPr>
          <w:trHeight w:val="33"/>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Payments for deferred financing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(35,545)</w:t>
            </w:r>
          </w:p>
        </w:tc>
      </w:tr>
      <w:tr>
        <w:trPr>
          <w:trHeight w:val="237"/>
        </w:trPr>
        <w:tc>
          <w:tcPr>
            <w:tcW w:w="6560" w:type="dxa"/>
            <w:vAlign w:val="bottom"/>
          </w:tcPr>
          <w:p>
            <w:pPr>
              <w:ind w:left="160"/>
              <w:spacing w:after="0"/>
              <w:rPr>
                <w:sz w:val="20"/>
                <w:szCs w:val="20"/>
                <w:color w:val="auto"/>
              </w:rPr>
            </w:pPr>
            <w:r>
              <w:rPr>
                <w:rFonts w:ascii="Arial" w:cs="Arial" w:eastAsia="Arial" w:hAnsi="Arial"/>
                <w:sz w:val="16"/>
                <w:szCs w:val="16"/>
                <w:color w:val="auto"/>
              </w:rPr>
              <w:t>Preferred dividends paid</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(42,320)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(42,320)</w:t>
            </w:r>
          </w:p>
        </w:tc>
      </w:tr>
      <w:tr>
        <w:trPr>
          <w:trHeight w:val="33"/>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Proceeds from issuance of preferred stock</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193,510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6560" w:type="dxa"/>
            <w:vAlign w:val="bottom"/>
          </w:tcPr>
          <w:p>
            <w:pPr>
              <w:ind w:left="160"/>
              <w:spacing w:after="0"/>
              <w:rPr>
                <w:sz w:val="20"/>
                <w:szCs w:val="20"/>
                <w:color w:val="auto"/>
              </w:rPr>
            </w:pPr>
            <w:r>
              <w:rPr>
                <w:rFonts w:ascii="Arial" w:cs="Arial" w:eastAsia="Arial" w:hAnsi="Arial"/>
                <w:sz w:val="16"/>
                <w:szCs w:val="16"/>
                <w:color w:val="auto"/>
              </w:rPr>
              <w:t>Purchase of treasury stock</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(20,985)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(4,628)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(78,849)</w:t>
            </w:r>
          </w:p>
        </w:tc>
      </w:tr>
      <w:tr>
        <w:trPr>
          <w:trHeight w:val="33"/>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financing activities, net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(22,187)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2,424</w:t>
            </w:r>
          </w:p>
        </w:tc>
      </w:tr>
      <w:tr>
        <w:trPr>
          <w:trHeight w:val="217"/>
        </w:trPr>
        <w:tc>
          <w:tcPr>
            <w:tcW w:w="6560" w:type="dxa"/>
            <w:vAlign w:val="bottom"/>
          </w:tcPr>
          <w:p>
            <w:pPr>
              <w:ind w:left="260"/>
              <w:spacing w:after="0"/>
              <w:rPr>
                <w:sz w:val="20"/>
                <w:szCs w:val="20"/>
                <w:color w:val="auto"/>
              </w:rPr>
            </w:pPr>
            <w:r>
              <w:rPr>
                <w:rFonts w:ascii="Arial" w:cs="Arial" w:eastAsia="Arial" w:hAnsi="Arial"/>
                <w:sz w:val="16"/>
                <w:szCs w:val="16"/>
                <w:color w:val="auto"/>
              </w:rPr>
              <w:t>Cash flows from financing activities</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(455,758)</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(1,175,597)</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(1,580,719)</w:t>
            </w:r>
          </w:p>
        </w:tc>
      </w:tr>
      <w:tr>
        <w:trPr>
          <w:trHeight w:val="33"/>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6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Changes in cash and cash equivalents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257,224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(100,482)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(148,039)</w:t>
            </w:r>
          </w:p>
        </w:tc>
      </w:tr>
      <w:tr>
        <w:trPr>
          <w:trHeight w:val="237"/>
        </w:trPr>
        <w:tc>
          <w:tcPr>
            <w:tcW w:w="6560" w:type="dxa"/>
            <w:vAlign w:val="bottom"/>
          </w:tcPr>
          <w:p>
            <w:pPr>
              <w:ind w:left="160"/>
              <w:spacing w:after="0"/>
              <w:rPr>
                <w:sz w:val="20"/>
                <w:szCs w:val="20"/>
                <w:color w:val="auto"/>
              </w:rPr>
            </w:pPr>
            <w:r>
              <w:rPr>
                <w:rFonts w:ascii="Arial" w:cs="Arial" w:eastAsia="Arial" w:hAnsi="Arial"/>
                <w:sz w:val="16"/>
                <w:szCs w:val="16"/>
                <w:color w:val="auto"/>
              </w:rPr>
              <w:t>Cash and cash equivalents at beginning of period</w:t>
            </w:r>
          </w:p>
        </w:tc>
        <w:tc>
          <w:tcPr>
            <w:tcW w:w="3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256,344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356,826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504,865</w:t>
            </w:r>
          </w:p>
        </w:tc>
      </w:tr>
      <w:tr>
        <w:trPr>
          <w:trHeight w:val="33"/>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Cash and cash equivalents at end of period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513,568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256,344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356,826</w:t>
            </w:r>
          </w:p>
        </w:tc>
      </w:tr>
      <w:tr>
        <w:trPr>
          <w:trHeight w:val="20"/>
        </w:trPr>
        <w:tc>
          <w:tcPr>
            <w:tcW w:w="6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3"/>
        </w:trPr>
        <w:tc>
          <w:tcPr>
            <w:tcW w:w="6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0"/>
        </w:trPr>
        <w:tc>
          <w:tcPr>
            <w:tcW w:w="6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Supplemental disclosure of cash flow information: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50"/>
        </w:trPr>
        <w:tc>
          <w:tcPr>
            <w:tcW w:w="6560" w:type="dxa"/>
            <w:vAlign w:val="bottom"/>
          </w:tcPr>
          <w:p>
            <w:pPr>
              <w:ind w:left="260"/>
              <w:spacing w:after="0"/>
              <w:rPr>
                <w:sz w:val="20"/>
                <w:szCs w:val="20"/>
                <w:color w:val="auto"/>
              </w:rPr>
            </w:pPr>
            <w:r>
              <w:rPr>
                <w:rFonts w:ascii="Arial" w:cs="Arial" w:eastAsia="Arial" w:hAnsi="Arial"/>
                <w:sz w:val="16"/>
                <w:szCs w:val="16"/>
                <w:color w:val="auto"/>
              </w:rPr>
              <w:t>Cash paid during the period for interest, net of amount capitalized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237,457</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329,546</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322,601</w:t>
            </w:r>
          </w:p>
        </w:tc>
      </w:tr>
      <w:tr>
        <w:trPr>
          <w:trHeight w:val="20"/>
        </w:trPr>
        <w:tc>
          <w:tcPr>
            <w:tcW w:w="6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280"/>
          </w:cols>
          <w:pgMar w:left="240" w:top="118" w:right="379" w:bottom="0" w:gutter="0" w:footer="0" w:header="0"/>
        </w:sectPr>
      </w:pPr>
    </w:p>
    <w:p>
      <w:pPr>
        <w:jc w:val="center"/>
        <w:ind w:right="-139"/>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ectPr>
          <w:pgSz w:w="11900" w:h="16838" w:orient="portrait"/>
          <w:cols w:equalWidth="0" w:num="1">
            <w:col w:w="11280"/>
          </w:cols>
          <w:pgMar w:left="240" w:top="118" w:right="379" w:bottom="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9019"/>
          </w:cols>
          <w:pgMar w:left="1440" w:top="125" w:right="1440"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225"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7"/>
          <w:szCs w:val="17"/>
          <w:b w:val="1"/>
          <w:bCs w:val="1"/>
          <w:color w:val="auto"/>
        </w:rPr>
        <w:t>Business</w:t>
      </w:r>
      <w:r>
        <w:rPr>
          <w:rFonts w:ascii="Arial" w:cs="Arial" w:eastAsia="Arial" w:hAnsi="Arial"/>
          <w:sz w:val="17"/>
          <w:szCs w:val="17"/>
          <w:color w:val="auto"/>
        </w:rPr>
        <w:t>—iStar Financial Inc., or the "Company," is a fully-integrated finance and investment company focused on the commercial real estate industry.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provides custom-tailored investment capital to high-end private and corporate owners of real estate and invests directly across a range of real estate sectors. The Company, which is taxed as a real estate investment trust, or "REIT," has invested more than $35 billion over the past two decades. The Company's primary business segments are real estate finance, net lease, operating properties and land.</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Organization</w:t>
      </w:r>
      <w:r>
        <w:rPr>
          <w:rFonts w:ascii="Arial" w:cs="Arial" w:eastAsia="Arial" w:hAnsi="Arial"/>
          <w:sz w:val="16"/>
          <w:szCs w:val="16"/>
          <w:color w:val="auto"/>
        </w:rPr>
        <w:t>—The Company began its business in 1993 through the management of private investment funds and became publicly traded in 1998.</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Since that time, the Company has grown through the origination of new lending and leasing transactions, as well as through corporate acquisitions.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 and Principles of Consolidation</w:t>
      </w:r>
    </w:p>
    <w:p>
      <w:pPr>
        <w:spacing w:after="0" w:line="144"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accompanying audited Consolidated Financial Statements have been prepared in conformity with generally accepted</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principles in the United States of America ("GAAP") for complete financial statements. The preparation of financial statements in conformity with GAAP requires management to make estimates and assumptions that affect the reported amounts of assets, liabilities, disclosure of contingent assets and liabilities at the dates of the financial statements and the reported amounts of revenues and expenses during the reporting periods. Actual results could differ from those estimates.</w:t>
      </w:r>
    </w:p>
    <w:p>
      <w:pPr>
        <w:spacing w:after="0" w:line="107"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Certain prior year amounts have been reclassified in the Consolidated Financial Statements and the related notes to conform to the current period presentation.</w:t>
      </w:r>
    </w:p>
    <w:p>
      <w:pPr>
        <w:spacing w:after="0" w:line="166"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Consolidated Financial Statements include the financial statements of the Company, its wholly owned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partnerships and variable interest entities ("VIEs") for which the Company is the primary beneficiary. All significant intercompany balances and transactions have been eliminated in consolidation. The Company's involvement with VIEs affects its financial performance and cash flows primarily through amounts recorded in "operating lease income," "interest income," "earnings from equity method investments," "real estate expense" and "interest expense" in the Company's Consolidated Statements of Operations. The Company has not provided financial support to these VIEs that it was not previously contractually required to provide.</w:t>
      </w:r>
    </w:p>
    <w:p>
      <w:pPr>
        <w:spacing w:after="0" w:line="192"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b w:val="1"/>
          <w:bCs w:val="1"/>
          <w:i w:val="1"/>
          <w:iCs w:val="1"/>
          <w:color w:val="auto"/>
        </w:rPr>
        <w:t>Consolidated VIEs</w:t>
      </w:r>
      <w:r>
        <w:rPr>
          <w:rFonts w:ascii="Arial" w:cs="Arial" w:eastAsia="Arial" w:hAnsi="Arial"/>
          <w:sz w:val="16"/>
          <w:szCs w:val="16"/>
          <w:color w:val="auto"/>
        </w:rPr>
        <w:t>—As of December 31, 2013, the Company consolidated five VIEs for which the Company is considered the primary beneficiary.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2013, the total assets of these consolidated VIEs were $216.1 million and total liabilities were $33.9 million. The classifications of these assets are primarily within "real estate, net," "loans receivable and other lending investments, net" and "other investments" on the Company's Consolidated Balance Sheets. The classifications of liabilities are primarily within "debt obligations, net," and "accounts payable, accrued expenses and other liabilities" on the Company's Consolidated Balance Sheets. The liabilities of these VIEs are non-recourse to the Company and can only be satisfied from each VIE's respective assets. The Company's total unfunded commitments related to consolidated VIEs was $38.8 million as of December 31, 2013.</w:t>
      </w:r>
    </w:p>
    <w:p>
      <w:pPr>
        <w:spacing w:after="0" w:line="16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b w:val="1"/>
          <w:bCs w:val="1"/>
          <w:i w:val="1"/>
          <w:iCs w:val="1"/>
          <w:color w:val="auto"/>
        </w:rPr>
        <w:t>Unconsolidated VIEs</w:t>
      </w:r>
      <w:r>
        <w:rPr>
          <w:rFonts w:ascii="Arial" w:cs="Arial" w:eastAsia="Arial" w:hAnsi="Arial"/>
          <w:sz w:val="17"/>
          <w:szCs w:val="17"/>
          <w:color w:val="auto"/>
        </w:rPr>
        <w:t>—As of December 31, 2013, 28 of the Company's other investments were in VIEs where it is not the primary beneficiary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accordingly the VIEs have not been consolidated in the Company's Consolidated Financial Statements. As of December 31, 2013, the Company's maximum exposure to loss from these investments does not exceed the sum of the $179.2 million carrying value of the investments, which are classified in "other investments" on the Company's Consolidated Balance Sheets, and $29.6 million of related unfunded commitments.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Real estate—</w:t>
      </w:r>
      <w:r>
        <w:rPr>
          <w:rFonts w:ascii="Arial" w:cs="Arial" w:eastAsia="Arial" w:hAnsi="Arial"/>
          <w:sz w:val="18"/>
          <w:szCs w:val="18"/>
          <w:color w:val="auto"/>
        </w:rPr>
        <w:t>Real estate assets are recorded at cost less accumulated depreciation and amortization, as follows:</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Capitalization and depreciation— </w:t>
      </w:r>
      <w:r>
        <w:rPr>
          <w:rFonts w:ascii="Arial" w:cs="Arial" w:eastAsia="Arial" w:hAnsi="Arial"/>
          <w:sz w:val="18"/>
          <w:szCs w:val="18"/>
          <w:color w:val="auto"/>
        </w:rPr>
        <w:t>Certain improvements and replacements are capitalized when they extend the useful life of the asset. 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and construction costs, including interest and certain other carrying costs incurred during the construction and/or renovation periods are also capitalized and charged to operations through depreciation over the asset's estimated useful life. The Company ceases capitalization on the portions substantially completed and capitalizes only those costs associated with the portions under development. Repairs and maintenance items are expensed as incurred. Depreciation is computed using the straight-line method of cost recovery over the estimated useful life, which is generally 40 years for facilities, five years for furniture and equipment, the shorter of the remaining lease term or expected life for tenant improvements and the remaining useful life of the facility for facility improvements.</w:t>
      </w:r>
    </w:p>
    <w:p>
      <w:pPr>
        <w:spacing w:after="0" w:line="1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Purchase price allocation—</w:t>
      </w:r>
      <w:r>
        <w:rPr>
          <w:rFonts w:ascii="Arial" w:cs="Arial" w:eastAsia="Arial" w:hAnsi="Arial"/>
          <w:sz w:val="18"/>
          <w:szCs w:val="18"/>
          <w:color w:val="auto"/>
        </w:rPr>
        <w:t>Upon acquisition of real estate, the Company determines whether the transaction is a business combination,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under the acquisition method, or an acquisition of assets. For both types of transactions, the Company recognizes and measures identifiable assets acquired, liabilities assumed and any noncontrolling interest in the acquiree based on their relative fair values. For business combinations, the Company recognizes and measures goodwill or gain from a bargain purchase, if applicable, and expenses acquisition-related costs in the periods in which the costs are incurred and the services are received. For acquisitions of assets, acquisition-related costs are capitalized and recorded in "Real estate, net" on the Company's Consolidated Balance Sheets.</w:t>
      </w:r>
    </w:p>
    <w:p>
      <w:pPr>
        <w:spacing w:after="0" w:line="15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accounts for its acquisition of properties by recording the purchase price of tangible and intangible assets and liabilities acquired based on their estimated fair values. The value of the tangible assets, consisting of land, buildings, building improvements and tenant improvements is determined as if these assets are vacant. Intangible assets may include the value of above-market leases, in-place leases and the value of customer relationships, which are each recorded at their estimated fair values and included in “Deferred expenses and other assets, net” on the Company's Consolidated Balance Sheets. Intangible liabilities may include the value of below-market leases, which are recorded at their estimated fair values and included in “Accounts payable, accrued expenses and other liabilities” on the Company's Consolidated Balance Sheets. In-place leases and customer relationships are amortized over the remaining non-cancelable term and the amortization expense is included in "Depreciation and amortization" on the Company's Consolidated Statements of Operations. The capitalized above-market (or below-market) lease value is amortized as a reduction of (or, increase to) operating lease income over the remaining non-cancelable term of each lease plus any renewal periods with fixed rental terms that are considered to be below-market. The Company also engages in sale/leaseback transactions and typically executes leases with the occupant simultaneously with the purchase of the net lease asset.</w:t>
      </w:r>
    </w:p>
    <w:p>
      <w:pPr>
        <w:spacing w:after="0" w:line="14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Impairments—</w:t>
      </w:r>
      <w:r>
        <w:rPr>
          <w:rFonts w:ascii="Arial" w:cs="Arial" w:eastAsia="Arial" w:hAnsi="Arial"/>
          <w:sz w:val="16"/>
          <w:szCs w:val="16"/>
          <w:color w:val="auto"/>
        </w:rPr>
        <w:t>The Company periodically reviews long-lived assets to be held and used for impairment in value whenever events or changes in</w:t>
      </w:r>
      <w:r>
        <w:rPr>
          <w:rFonts w:ascii="Arial" w:cs="Arial" w:eastAsia="Arial" w:hAnsi="Arial"/>
          <w:sz w:val="16"/>
          <w:szCs w:val="16"/>
          <w:i w:val="1"/>
          <w:iCs w:val="1"/>
          <w:color w:val="auto"/>
        </w:rPr>
        <w:t xml:space="preserve"> </w:t>
      </w:r>
      <w:r>
        <w:rPr>
          <w:rFonts w:ascii="Arial" w:cs="Arial" w:eastAsia="Arial" w:hAnsi="Arial"/>
          <w:sz w:val="16"/>
          <w:szCs w:val="16"/>
          <w:color w:val="auto"/>
        </w:rPr>
        <w:t>circumstances indicate that the carrying amount of such assets may not be recoverable. The value of a long-lived asset held for use is impaired only if management's estimate of the aggregate future cash flows (undiscounted and without interest charges) to be generated by the asset (taking into account the anticipated holding period of the asset) is less than the carrying value. Such estimate of cash flows considers factors such as expected future operating income trends, as well as the effects of demand, competition and other economic factors. To the extent impairment has occurred, the loss will be measured as the excess of the carrying amount of the property over the estimated fair value of the asset and reflected as an adjustment to the basis of the asset. Impairments of real estate assets that are not held for sale are recorded in "Impairment of assets" on the Company's Consolidated Statements of Operations.</w:t>
      </w:r>
    </w:p>
    <w:p>
      <w:pPr>
        <w:spacing w:after="0" w:line="1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Real estate available and held for sale—</w:t>
      </w:r>
      <w:r>
        <w:rPr>
          <w:rFonts w:ascii="Arial" w:cs="Arial" w:eastAsia="Arial" w:hAnsi="Arial"/>
          <w:sz w:val="18"/>
          <w:szCs w:val="18"/>
          <w:color w:val="auto"/>
        </w:rPr>
        <w:t>The Company reports real estate assets to be disposed of at the lower of their carrying amount or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less costs to sell and classifies them as “Real estate available and held for sale” on the Company's Consolidated Balance Sheets. If the estimated fair value less costs to sell is less than the carrying value, the difference will be recorded as an impairment charge and included in "Income (loss) from discontinued operations" on the Company's Consolidated Statements of Operations. Once a real estate asset is classified as held for sale, depreciation expense is no longer recorded and historical operating results, including impairments, are reclassified to "Income (loss) from discontinued operations" on the Company's Consolidated Statements of Operations.</w:t>
      </w:r>
    </w:p>
    <w:p>
      <w:pPr>
        <w:spacing w:after="0" w:line="1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circumstances arise that were previously considered unlikely and, as a result the Company decides not to sell a property previously classified as held for sale, the property is reclassified as held and used and included in "Real estate, net" on the Company's Consolidated Balance Sheets. The Company measures and records a property that is reclassified as held and used at the lower of (i) its carrying amount before the property was classified as held for sale, adjusted for any depreciation expense that would have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been recognized had the property been continuously classified as held and used, or (ii) the estimated fair value at the date of the subsequent decision not to sell.</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reports residential property units to be disposed of at the lower of their carrying amount or estimated fair value less costs to sell and classifies them as “Real estate available and held for sale” on the Company's Consolidated Balance Sheets. If the estimated fair value less costs to sell is less than the carrying value, the difference will be recorded as an impairment charge and included in “Impairment of assets” on the Company's Consolidated Statements of Operations. The net carrying costs for residential property units are recorded in “Real estate expense” on the Company's Consolidated Statements of Operations.</w:t>
      </w:r>
    </w:p>
    <w:p>
      <w:pPr>
        <w:spacing w:after="0" w:line="14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i w:val="1"/>
          <w:iCs w:val="1"/>
          <w:color w:val="auto"/>
        </w:rPr>
        <w:t>Dispositions—</w:t>
      </w:r>
      <w:r>
        <w:rPr>
          <w:rFonts w:ascii="Arial" w:cs="Arial" w:eastAsia="Arial" w:hAnsi="Arial"/>
          <w:sz w:val="17"/>
          <w:szCs w:val="17"/>
          <w:color w:val="auto"/>
        </w:rPr>
        <w:t>Sales and the associated gains or losses on real estate assets, including residential property, are recognized in accordance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Standards Codification ("ASC") 360-20</w:t>
      </w:r>
      <w:r>
        <w:rPr>
          <w:rFonts w:ascii="Arial" w:cs="Arial" w:eastAsia="Arial" w:hAnsi="Arial"/>
          <w:sz w:val="17"/>
          <w:szCs w:val="17"/>
          <w:i w:val="1"/>
          <w:iCs w:val="1"/>
          <w:color w:val="auto"/>
        </w:rPr>
        <w:t>, Real Estate Sales</w:t>
      </w:r>
      <w:r>
        <w:rPr>
          <w:rFonts w:ascii="Arial" w:cs="Arial" w:eastAsia="Arial" w:hAnsi="Arial"/>
          <w:sz w:val="17"/>
          <w:szCs w:val="17"/>
          <w:color w:val="auto"/>
        </w:rPr>
        <w:t>. Sales and the associated gains for residential property are recognized for full profit recognition upon closing of the sale transactions, when the profit is determinable, the earnings process is virtually complete, the parties are bound by the terms of the contract, all consideration has been exchanged, any permanent financing for which the seller is responsible has been arranged and all conditions for closing have been performed. The Company uses the relative sales value method to allocate costs. Profits on sales of residential property are included in "Income from sales of residential property" and gains on sales of net lease assets or commercial operating properties are recorded in “Gains from discontinued operations” on the Company's Consolidated Statements of Operations.</w:t>
      </w:r>
    </w:p>
    <w:p>
      <w:pPr>
        <w:spacing w:after="0" w:line="133" w:lineRule="exact"/>
        <w:rPr>
          <w:sz w:val="20"/>
          <w:szCs w:val="20"/>
          <w:color w:val="auto"/>
        </w:rPr>
      </w:pPr>
    </w:p>
    <w:p>
      <w:pPr>
        <w:jc w:val="both"/>
        <w:ind w:right="20" w:firstLine="432"/>
        <w:spacing w:after="0" w:line="266" w:lineRule="auto"/>
        <w:rPr>
          <w:sz w:val="20"/>
          <w:szCs w:val="20"/>
          <w:color w:val="auto"/>
        </w:rPr>
      </w:pPr>
      <w:r>
        <w:rPr>
          <w:rFonts w:ascii="Arial" w:cs="Arial" w:eastAsia="Arial" w:hAnsi="Arial"/>
          <w:sz w:val="18"/>
          <w:szCs w:val="18"/>
          <w:b w:val="1"/>
          <w:bCs w:val="1"/>
          <w:color w:val="auto"/>
        </w:rPr>
        <w:t>Loans receivable and other lending investments, net</w:t>
      </w:r>
      <w:r>
        <w:rPr>
          <w:rFonts w:ascii="Arial" w:cs="Arial" w:eastAsia="Arial" w:hAnsi="Arial"/>
          <w:sz w:val="18"/>
          <w:szCs w:val="18"/>
          <w:i w:val="1"/>
          <w:iCs w:val="1"/>
          <w:color w:val="auto"/>
        </w:rPr>
        <w:t>—</w:t>
      </w:r>
      <w:r>
        <w:rPr>
          <w:rFonts w:ascii="Arial" w:cs="Arial" w:eastAsia="Arial" w:hAnsi="Arial"/>
          <w:sz w:val="18"/>
          <w:szCs w:val="18"/>
          <w:color w:val="auto"/>
        </w:rPr>
        <w:t>Loans receivable and other lending investments, net includes the following investments:</w:t>
      </w:r>
      <w:r>
        <w:rPr>
          <w:rFonts w:ascii="Arial" w:cs="Arial" w:eastAsia="Arial" w:hAnsi="Arial"/>
          <w:sz w:val="18"/>
          <w:szCs w:val="18"/>
          <w:b w:val="1"/>
          <w:bCs w:val="1"/>
          <w:color w:val="auto"/>
        </w:rPr>
        <w:t xml:space="preserve"> </w:t>
      </w:r>
      <w:r>
        <w:rPr>
          <w:rFonts w:ascii="Arial" w:cs="Arial" w:eastAsia="Arial" w:hAnsi="Arial"/>
          <w:sz w:val="18"/>
          <w:szCs w:val="18"/>
          <w:color w:val="auto"/>
        </w:rPr>
        <w:t>senior mortgages, subordinate mortgages, corporate/partnership loans and preferred equity investments. Management considers nearly all of its loans to be held-for-investment, although certain investments may be classified as held-for-sale or available-for-sale.</w:t>
      </w:r>
    </w:p>
    <w:p>
      <w:pPr>
        <w:spacing w:after="0" w:line="27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Loans receivable classified as held-for-investment and debt securities classified as held-to-maturity are reported at their outstanding unpaid principal balance, and include unamortized acquisition premiums or discounts and unamortized deferred loan costs or fees. These loans and debt securities also include accrued and paid-in-kind interest and accrued exit fees that the Company determines are probable of being collected. Debt securities classified as available-for-sale are reported at fair value with unrealized gains and losses included in "Accumulated other comprehensive income (loss)" on the Company's Consolidated Balance Sheets.</w:t>
      </w:r>
    </w:p>
    <w:p>
      <w:pPr>
        <w:spacing w:after="0" w:line="24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Loans receivable and other lending investments designated for sale are classified as held-for-sale and are carried at lower of amortized historical cost or estimated fair value. The amount by which carrying value exceeds fair value is recorded as a valuation allowance. Subsequent changes in the valuation allowance are included in the determination of net income (loss) in the period in which the change occurs.</w:t>
      </w:r>
    </w:p>
    <w:p>
      <w:pPr>
        <w:spacing w:after="0" w:line="23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For held-to-maturity and available-for-sale debt securities held in "Loans receivable and other lending investments, net," management evaluates whether the asset is other-than-temporarily impaired when the fair market value is below carrying value. The Company considers debt securities other-than-temporarily impaired if (1) the Company has the intent to sell the security, (2) it is more likely than not that it will be required to sell the security before recovery, or (3) it does not expect to recover the entire amortized cost basis of the security. If it is determined that an other-than-temporary impairment exists, the portion related to credit losses, where the Company does not expect to recover its entire amortized cost basis, will be recognized as an "Impairment of assets" on the Company's Consolidated Statements of Operations. If the Company does not intend to sell the security and it is more likely than not that the entity will not be required to sell the security, but the security has suffered a credit loss, the impairment charge will be separated. The credit loss component of the impairment will be recorded as an "Impairment of assets" on the Company's Consolidated Statements of Operations, and the remainder will be recorded in "Accumulated other comprehensive income (loss)" on the Company's Consolidated Balance Sheets.</w:t>
      </w:r>
    </w:p>
    <w:p>
      <w:pPr>
        <w:spacing w:after="0" w:line="236"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 acquires properties through foreclosure or by deed-in-lieu of foreclosure in full or partial satisfaction of non-performing loans. Based on the Company's strategic plan to realize the maximum value from the collateral received, property is classified as "Real estate, net" or "Real estate available and held for sale" at its estimated fair value when title to the property is obtained. Any excess of the carrying value of the loan over the estimated fair value of the property (less costs to sell for assets held for sale) is charged-off against the reserve for loan losses as of the date of foreclosure.</w:t>
      </w:r>
    </w:p>
    <w:p>
      <w:pPr>
        <w:spacing w:after="0" w:line="204"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Equity and cost method investments</w:t>
      </w:r>
      <w:r>
        <w:rPr>
          <w:rFonts w:ascii="Arial" w:cs="Arial" w:eastAsia="Arial" w:hAnsi="Arial"/>
          <w:sz w:val="18"/>
          <w:szCs w:val="18"/>
          <w:i w:val="1"/>
          <w:iCs w:val="1"/>
          <w:color w:val="auto"/>
        </w:rPr>
        <w:t>—</w:t>
      </w:r>
      <w:r>
        <w:rPr>
          <w:rFonts w:ascii="Arial" w:cs="Arial" w:eastAsia="Arial" w:hAnsi="Arial"/>
          <w:sz w:val="18"/>
          <w:szCs w:val="18"/>
          <w:color w:val="auto"/>
        </w:rPr>
        <w:t>Equity interests are accounted for pursuant to the equity method of accounting if the Company can</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significantly influence the operating and financial policies of an investee. This is generally presumed to exist when ownership interest is between 20% and 50% of a corporation, or greater than 5% of a limited partnership or certain limited liability companies. The Company's periodic share of earnings and losses in equity method investees is included in "Earnings from equity method investments" on the Consolidated Statements of Operations. When the Company's ownership position is too small</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provide such influence, the cost method is used to account for the equity interest. Equity and cost method investments are included in "Other investments" on the Company's Consolidated Balance Sheets.</w:t>
      </w:r>
    </w:p>
    <w:p>
      <w:pPr>
        <w:spacing w:after="0" w:line="22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To the extent that the Company contributes assets to an unconsolidated subsidiary, the Company’s investment in the subsidiary is recorded at the Company’s cost basis in the assets that were contributed to the unconsolidated subsidiary. To the extent that the Company’s cost basis is different from the basis reflected at the subsidiary level, the basis difference is amortized over the life of the related assets and included in the Company’s share of equity in net (loss) income of the unconsolidated subsidiary. The Company recognizes gains on the contribution of real estate to unconsolidated subsidiaries, relating solely to the outside partner’s interest, to the extent the economic substance of the transaction is a sale. The Company recognizes a loss when it contributes property to an unconsolidated subsidiary and receives a disproportionately small interest in the subsidiary based on a comparison of the carrying amount of the property with the cash and other consideration contributed by the other investors.</w:t>
      </w:r>
    </w:p>
    <w:p>
      <w:pPr>
        <w:spacing w:after="0" w:line="23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periodically reviews equity method investments for impairment in value whenever events or changes in circumstances indicate that the carrying amount of such investments may not be recoverable. The Company will record an impairment charge to the extent that the estimated fair value of an investment is less than its carrying value and the Company determines the impairment is other-than-temporary. Impairment charges are recorded in "Earnings from equity method investments" on the Company's Consolidated Statements of Operations.</w:t>
      </w:r>
    </w:p>
    <w:p>
      <w:pPr>
        <w:spacing w:after="0" w:line="221"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i w:val="1"/>
          <w:iCs w:val="1"/>
          <w:color w:val="auto"/>
        </w:rPr>
        <w:t>—</w:t>
      </w:r>
      <w:r>
        <w:rPr>
          <w:rFonts w:ascii="Arial" w:cs="Arial" w:eastAsia="Arial" w:hAnsi="Arial"/>
          <w:sz w:val="18"/>
          <w:szCs w:val="18"/>
          <w:color w:val="auto"/>
        </w:rPr>
        <w:t>Cash and cash equivalents include cash held in banks or invested in money market funds with original maturity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less than 90 days.</w:t>
      </w:r>
    </w:p>
    <w:p>
      <w:pPr>
        <w:spacing w:after="0" w:line="216"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Restricted cash</w:t>
      </w:r>
      <w:r>
        <w:rPr>
          <w:rFonts w:ascii="Arial" w:cs="Arial" w:eastAsia="Arial" w:hAnsi="Arial"/>
          <w:sz w:val="18"/>
          <w:szCs w:val="18"/>
          <w:i w:val="1"/>
          <w:iCs w:val="1"/>
          <w:color w:val="auto"/>
        </w:rPr>
        <w:t>—</w:t>
      </w:r>
      <w:r>
        <w:rPr>
          <w:rFonts w:ascii="Arial" w:cs="Arial" w:eastAsia="Arial" w:hAnsi="Arial"/>
          <w:sz w:val="18"/>
          <w:szCs w:val="18"/>
          <w:color w:val="auto"/>
        </w:rPr>
        <w:t>Restricted cash represents amounts required to be maintained under certain of the Company's debt obligations, loans, leasing, land</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sale and derivative transactions.</w:t>
      </w:r>
    </w:p>
    <w:p>
      <w:pPr>
        <w:spacing w:after="0" w:line="21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b w:val="1"/>
          <w:bCs w:val="1"/>
          <w:color w:val="auto"/>
        </w:rPr>
        <w:t>Variable interest entities</w:t>
      </w:r>
      <w:r>
        <w:rPr>
          <w:rFonts w:ascii="Arial" w:cs="Arial" w:eastAsia="Arial" w:hAnsi="Arial"/>
          <w:sz w:val="18"/>
          <w:szCs w:val="18"/>
          <w:i w:val="1"/>
          <w:iCs w:val="1"/>
          <w:color w:val="auto"/>
        </w:rPr>
        <w:t>—</w:t>
      </w:r>
      <w:r>
        <w:rPr>
          <w:rFonts w:ascii="Arial" w:cs="Arial" w:eastAsia="Arial" w:hAnsi="Arial"/>
          <w:sz w:val="18"/>
          <w:szCs w:val="18"/>
          <w:color w:val="auto"/>
        </w:rPr>
        <w:t>The Company evaluated its investments and other contractual arrangements to determine if they constitute variable interests</w:t>
      </w:r>
      <w:r>
        <w:rPr>
          <w:rFonts w:ascii="Arial" w:cs="Arial" w:eastAsia="Arial" w:hAnsi="Arial"/>
          <w:sz w:val="18"/>
          <w:szCs w:val="18"/>
          <w:b w:val="1"/>
          <w:bCs w:val="1"/>
          <w:color w:val="auto"/>
        </w:rPr>
        <w:t xml:space="preserve"> </w:t>
      </w:r>
      <w:r>
        <w:rPr>
          <w:rFonts w:ascii="Arial" w:cs="Arial" w:eastAsia="Arial" w:hAnsi="Arial"/>
          <w:sz w:val="18"/>
          <w:szCs w:val="18"/>
          <w:color w:val="auto"/>
        </w:rPr>
        <w:t>in a VIE. A VIE is an entity where a controlling financial interest is achieved through means other than voting rights. A VIE is consolidated by the primary beneficiary, which is the party that has the power to direct matters that most significantly impact the activities of the VIE and has the obligation to absorb losses or the right to receive benefits of the VIE that could potentially be significant to the VIE. This overall consolidation assessment includes a review of, among other factors, which interests create or absorb variability, contractual terms, the key decision making powers, their impact on the VIE's economic performance, and related party relationships. Where qualitative assessment is not conclusive, the Company performs a quantitative analysis. The Company reassesses its evaluation of the primary beneficiary of a VIE on an ongoing basis and assesses its evaluation of an entity as a VIE upon certain reconsideration events.</w:t>
      </w:r>
    </w:p>
    <w:p>
      <w:pPr>
        <w:spacing w:after="0" w:line="24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has investments in certain funds that meet the deferral criteria in Accounting Standards Update ("ASU") 2010-10 and will continue to assess consolidation of these entities under the overall guidance on the consolidation of VIEs in ASC 810-10. The consolidation evaluation is similar to the process noted above, except that the primary beneficiary is the party that will receive a majority of the VIE's anticipated losses, a majority of the VIE's expected residual returns, or both. In addition, for entities that meet the deferral criteria, the Company reassesses its initial evaluation of the primary beneficiary and whether an entity is a VIE upon the occurrence of certain reconsideration events.</w:t>
      </w:r>
    </w:p>
    <w:p>
      <w:pPr>
        <w:spacing w:after="0" w:line="238"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Deferred expenses</w:t>
      </w:r>
      <w:r>
        <w:rPr>
          <w:rFonts w:ascii="Arial" w:cs="Arial" w:eastAsia="Arial" w:hAnsi="Arial"/>
          <w:sz w:val="18"/>
          <w:szCs w:val="18"/>
          <w:i w:val="1"/>
          <w:iCs w:val="1"/>
          <w:color w:val="auto"/>
        </w:rPr>
        <w:t>—</w:t>
      </w:r>
      <w:r>
        <w:rPr>
          <w:rFonts w:ascii="Arial" w:cs="Arial" w:eastAsia="Arial" w:hAnsi="Arial"/>
          <w:sz w:val="18"/>
          <w:szCs w:val="18"/>
          <w:color w:val="auto"/>
        </w:rPr>
        <w:t>Deferred expenses include leasing costs and financing fees. Leasing costs include brokerage, legal and other costs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amortized over the life of the respective leases. External fees and costs incurred to obtain long-term financing have been deferred and are amortized over the term of the respective borrowing using the effective interest method or the straight line method, as appropriate. Amortization of leasing costs is included in "Depreciation and amortization" and amortization of deferred financing fees is included in "Interest expense" on the Company's Consolidated Statements of Operations.</w:t>
      </w:r>
    </w:p>
    <w:p>
      <w:pPr>
        <w:spacing w:after="0" w:line="23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b w:val="1"/>
          <w:bCs w:val="1"/>
          <w:color w:val="auto"/>
        </w:rPr>
        <w:t>Identified intangible assets and liabilities</w:t>
      </w:r>
      <w:r>
        <w:rPr>
          <w:rFonts w:ascii="Arial" w:cs="Arial" w:eastAsia="Arial" w:hAnsi="Arial"/>
          <w:sz w:val="16"/>
          <w:szCs w:val="16"/>
          <w:i w:val="1"/>
          <w:iCs w:val="1"/>
          <w:color w:val="auto"/>
        </w:rPr>
        <w:t>—</w:t>
      </w:r>
      <w:r>
        <w:rPr>
          <w:rFonts w:ascii="Arial" w:cs="Arial" w:eastAsia="Arial" w:hAnsi="Arial"/>
          <w:sz w:val="16"/>
          <w:szCs w:val="16"/>
          <w:color w:val="auto"/>
        </w:rPr>
        <w:t>Upon the acquisition of a business, the Company records intangible assets or liabilities acquired at their</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estimated fair values separate and apart from goodwill. The Company determines whether such intangible assets or liabilities have finite or indefinite lives. As of December 31, 2013, all such intangible assets and liabilities acquired by the Company have finite lives. Intangible assets are included in "Deferred expenses and other assets, net" and intangible liabilities are included in "Accounts payable, accrued expenses and other liabilities" on the Company's Consolidated Balance Sheets. The Company amortizes finite lived intangible assets and liabilities based on the period over which the assets are expected to contribute directly or indirectly to the future cash flows of the business acquired. The Company reviews finite lived intangible assets for impairment whenever events or changes in circumstances indicate that their carrying amount may not be recoverable. If the Company determines the carrying value of an intangible asset is not recoverable it will record an impairment charge to the extent its carrying value exceeds its estimated fair value. Impairments of intangible assets are recorded in "Impairment of assets" on the Company's Consolidated Statements of Operations.</w:t>
      </w:r>
    </w:p>
    <w:p>
      <w:pPr>
        <w:sectPr>
          <w:pgSz w:w="11900" w:h="16838" w:orient="portrait"/>
          <w:cols w:equalWidth="0" w:num="1">
            <w:col w:w="11420"/>
          </w:cols>
          <w:pgMar w:left="240" w:top="122"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2" w:right="239" w:bottom="1440" w:gutter="0" w:footer="0" w:header="0"/>
          <w:type w:val="continuous"/>
        </w:sectPr>
      </w:pPr>
    </w:p>
    <w:bookmarkStart w:id="59" w:name="page60"/>
    <w:bookmarkEnd w:id="59"/>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i w:val="1"/>
          <w:iCs w:val="1"/>
          <w:color w:val="auto"/>
        </w:rPr>
        <w:t>—</w:t>
      </w:r>
      <w:r>
        <w:rPr>
          <w:rFonts w:ascii="Arial" w:cs="Arial" w:eastAsia="Arial" w:hAnsi="Arial"/>
          <w:sz w:val="18"/>
          <w:szCs w:val="18"/>
          <w:color w:val="auto"/>
        </w:rPr>
        <w:t>The Company's revenue recognition policies are as follows:</w:t>
      </w:r>
    </w:p>
    <w:p>
      <w:pPr>
        <w:spacing w:after="0" w:line="28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i w:val="1"/>
          <w:iCs w:val="1"/>
          <w:color w:val="auto"/>
        </w:rPr>
        <w:t xml:space="preserve">Operating lease income: </w:t>
      </w:r>
      <w:r>
        <w:rPr>
          <w:rFonts w:ascii="Arial" w:cs="Arial" w:eastAsia="Arial" w:hAnsi="Arial"/>
          <w:sz w:val="16"/>
          <w:szCs w:val="16"/>
          <w:color w:val="auto"/>
        </w:rPr>
        <w:t>The Company's leases have all been determined to be operating leases based on an analysis performed in accordance with</w:t>
      </w:r>
      <w:r>
        <w:rPr>
          <w:rFonts w:ascii="Arial" w:cs="Arial" w:eastAsia="Arial" w:hAnsi="Arial"/>
          <w:sz w:val="16"/>
          <w:szCs w:val="16"/>
          <w:i w:val="1"/>
          <w:iCs w:val="1"/>
          <w:color w:val="auto"/>
        </w:rPr>
        <w:t xml:space="preserve"> </w:t>
      </w:r>
      <w:r>
        <w:rPr>
          <w:rFonts w:ascii="Arial" w:cs="Arial" w:eastAsia="Arial" w:hAnsi="Arial"/>
          <w:sz w:val="16"/>
          <w:szCs w:val="16"/>
          <w:color w:val="auto"/>
        </w:rPr>
        <w:t>ASC 840. Operating lease income is recognized on the straight-line method of accounting, generally from the later of the date the lessee takes possession of the space and it is ready for its intended use or the date of acquisition of the facility subject to existing leases. Accordingly, contractual lease payment increases are recognized evenly over the term of the lease. The periodic difference between lease revenue recognized under this method and contractual lease payment terms is recorded as "Deferred operating lease income receivable," on the Company's Consolidated Balance Sheets.</w:t>
      </w:r>
    </w:p>
    <w:p>
      <w:pPr>
        <w:spacing w:after="0" w:line="212"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 also recognizes revenue from certain tenant leases for reimbursements of all or a portion of operating expenses, including common area costs, insurance, utilities and real estate taxes of the respective property. This revenue is accrued in the same periods as the expense is incurred and is recorded as “Operating lease income” on the Company's Consolidated Statements of Operations. Revenue is also recorded from certain tenant leases that is contingent upon tenant sales exceeding defined thresholds. These rents are recognized only after the defined threshold has been met for the period.</w:t>
      </w:r>
    </w:p>
    <w:p>
      <w:pPr>
        <w:spacing w:after="0" w:line="2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Management estimates losses within its operating lease income receivable and deferred operating lease income receivable balances as of the balance sheet date and incorporates an asset-specific component, as well as a general, formula-based reserve based on management's evaluation of the credit risks associated with these receivables. At December 31, 2013 and 2012, the total allowance for doubtful accounts related to tenant receivables, including deferred operating lease income receivable, was $5.9 million and $5.6 million, respectively.</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on loans receivable is recognized on an accrual basis using the interest method.</w:t>
      </w:r>
    </w:p>
    <w:p>
      <w:pPr>
        <w:spacing w:after="0" w:line="27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occasion, the Company may acquire loans at premiums or discounts. These discounts and premiums in addition to any deferred costs or fees, are typically amortized over the contractual term of the loan using the interest method. Exit fees are also recognized over the lives of the related loans as a yield adjustment, if management believes it is probable that such amounts will be received. If loans with premiums, discounts, loan origination or exit fees are prepaid, the Company immediately recognizes the unamortized portion, which is included in "Other income" on the Company's Consolidated Statements of Operations.</w:t>
      </w:r>
    </w:p>
    <w:p>
      <w:pPr>
        <w:spacing w:after="0" w:line="24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considers a loan to be non-performing and places loans on non-accrual status at such time as: (1) the loan becomes 90 days delinquent;</w:t>
      </w:r>
    </w:p>
    <w:p>
      <w:pPr>
        <w:spacing w:after="0" w:line="46" w:lineRule="exact"/>
        <w:rPr>
          <w:sz w:val="20"/>
          <w:szCs w:val="20"/>
          <w:color w:val="auto"/>
        </w:rPr>
      </w:pPr>
    </w:p>
    <w:p>
      <w:pPr>
        <w:jc w:val="both"/>
        <w:ind w:firstLine="8"/>
        <w:spacing w:after="0" w:line="253" w:lineRule="auto"/>
        <w:tabs>
          <w:tab w:leader="none" w:pos="26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loan has a maturity default; or (3) management determines it is probable that it will be unable to collect all amounts due according to the contractual terms of the loan. While on non-accrual status, based on the Company's judgment as to collectability of principal, loans are either accounted for on a cash basis, where interest income is recognized only upon actual receipt of cash, or on a cost-recovery basis, where all cash receipts reduce a loan's carrying value. Non-accrual loans are returned to accrual status when a loan has become contractually current and management believes all amounts contractually owed will be received.</w:t>
      </w:r>
    </w:p>
    <w:p>
      <w:pPr>
        <w:spacing w:after="0" w:line="24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Certain of the Company's loans contractually provide for accrual of interest at specified rates that differ from current payment terms. Interest is recognized on such loans at the accrual rate subject to management's determination that accrued interest and outstanding principal are ultimately collectible, based on the underlying collateral and operations of the borrower.</w:t>
      </w:r>
    </w:p>
    <w:p>
      <w:pPr>
        <w:spacing w:after="0" w:line="23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Prepayment penalties or yield maintenance payments from borrowers are recognized as additional income when received. Certain of the Company's loan investments provide for additional interest based on the borrower's operating cash flow or appreciation of the underlying collateral. Such amounts are considered contingent interest and are reflected as interest income only upon receipt of cash.</w:t>
      </w:r>
    </w:p>
    <w:p>
      <w:pPr>
        <w:spacing w:after="0" w:line="23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holds certain loans initially acquired at a discount, for which it was probable, at acquisition, that all contractually required payments would not be received. The Company does not have a reasonable expectation about the timing and amount of cash flows expected to be collected on these loans and recognizes income when cash is received.</w:t>
      </w:r>
    </w:p>
    <w:p>
      <w:pPr>
        <w:spacing w:after="0" w:line="2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Other income includes revenues from hotel operations, which are recognized when rooms are occupied and the related services are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Revenues include room sales, food and beverage sales, parking, telephone, spa services and gift shop sales.</w:t>
      </w:r>
    </w:p>
    <w:p>
      <w:pPr>
        <w:spacing w:after="0" w:line="220"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Reserve for loan losses</w:t>
      </w:r>
      <w:r>
        <w:rPr>
          <w:rFonts w:ascii="Arial" w:cs="Arial" w:eastAsia="Arial" w:hAnsi="Arial"/>
          <w:sz w:val="18"/>
          <w:szCs w:val="18"/>
          <w:i w:val="1"/>
          <w:iCs w:val="1"/>
          <w:color w:val="auto"/>
        </w:rPr>
        <w:t>—</w:t>
      </w:r>
      <w:r>
        <w:rPr>
          <w:rFonts w:ascii="Arial" w:cs="Arial" w:eastAsia="Arial" w:hAnsi="Arial"/>
          <w:sz w:val="18"/>
          <w:szCs w:val="18"/>
          <w:color w:val="auto"/>
        </w:rPr>
        <w:t>The reserve for loan losses reflects management's estimate of loan losses inherent in the loan portfolio as of the balance sheet</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reserve is increased through "Provision for loan losses" on the Company's Consolidated Statements of Operations and is decreased by charge-offs when losses are confirmed through the receipt of assets such as cash in a pre-foreclosure sale or via ownership control of the underlying collateral in full satisfaction of the loan upon foreclosure or when significant collection efforts have ceased. The Company has one portfolio segment, represented by commercial real estate lending,</w:t>
      </w:r>
    </w:p>
    <w:p>
      <w:pPr>
        <w:sectPr>
          <w:pgSz w:w="11900" w:h="16838" w:orient="portrait"/>
          <w:cols w:equalWidth="0" w:num="1">
            <w:col w:w="11420"/>
          </w:cols>
          <w:pgMar w:left="240" w:top="122"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2" w:right="239" w:bottom="1440" w:gutter="0" w:footer="0" w:header="0"/>
          <w:type w:val="continuous"/>
        </w:sectPr>
      </w:pPr>
    </w:p>
    <w:bookmarkStart w:id="60" w:name="page61"/>
    <w:bookmarkEnd w:id="60"/>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whereby it utilizes a uniform process for determining its reserve for loan losses. The reserve for loan losses includes a general, formula-based component and an asset-specific component.</w:t>
      </w:r>
    </w:p>
    <w:p>
      <w:pPr>
        <w:spacing w:after="0" w:line="224"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The general reserve component covers performing loans and reserves for loan losses are recorded when (i) available information as of each balance sheet date indicates that it is probable a loss has occurred in the portfolio and (ii) the amount of the loss can be reasonably estimated. The formula-based general reserve is derived from estimated principal default probabilities and loss severities applied to groups of loans based upon risk ratings assigned to loans with similar risk characteristics during the Company's quarterly loan portfolio assessment. During this assessment, the Company performs a comprehensive analysis of its loan portfolio and assigns risk ratings to loans that incorporate management's current judgments about their credit quality based on all known and relevant internal and external factors that may affect collectability. The Company considers, among other things, payment status, lien position, borrower financial resources and investment in collateral, collateral type, project economics and geographical location as well as national and regional economic factors. This methodology results in loans being segmented by risk classification into risk rating categories that are associated with estimated probabilities of default and principal loss. Ratings range from "1" to "5" with "1" representing the lowest risk of loss and "5" representing the highest risk of loss. The Company estimates loss rates based on historical realized losses experienced within its portfolio and takes into account current economic conditions affecting the commercial real estate market when establishing appropriate time frames to evaluate loss experience.</w:t>
      </w:r>
    </w:p>
    <w:p>
      <w:pPr>
        <w:spacing w:after="0" w:line="227"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asset-specific reserve component relates to reserves for losses on impaired loans. The Company considers a loan to be impaired when, based upon current information and events, it believes that it is probable that the Company will be unable to collect all amounts due under the contractual terms of the loan agreement. This assessment is made on a loan-by-loan basis each quarter based on such factors as payment status, lien position, borrower financial resources and investment in collateral, collateral type, project economics and geographical location as well as national and regional economic factors. A reserve is established for an impaired loan when the present value of payments expected to be received, observable market prices, or the estimated fair value of the collateral (for loans that are dependent on the collateral for repayment) is lower than the carrying value of that loan.</w:t>
      </w:r>
    </w:p>
    <w:p>
      <w:pPr>
        <w:spacing w:after="0" w:line="21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Substantially all of the Company's impaired loans are collateral dependent and impairment is measured using the estimated fair value of collateral, less costs to sell. The Company generally uses the income approach through internally developed valuation models to estimate the fair value of the collateral for such loans. In more limited cases, the Company obtains external "as is" appraisals for loan collateral, generally when third party participations exist. Valuations are performed or obtained at the time a loan is determined to be impaired and designated non-performing, and they are updated if circumstances indicate that a significant change in value has occurred. In limited cases, appraised values may be discounted when real estate markets rapidly deteriorate.</w:t>
      </w:r>
    </w:p>
    <w:p>
      <w:pPr>
        <w:spacing w:after="0" w:line="21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 loan is also considered impaired if its terms are modified in a troubled debt restructuring ("TDR"). A TDR occurs when the Company has granted a concession and the debtor is experiencing financial difficulties. Impairments on TDR loans are generally measured based on the present value of expected future cash flows discounted at the effective interest rate of the original loan.</w:t>
      </w:r>
    </w:p>
    <w:p>
      <w:pPr>
        <w:spacing w:after="0" w:line="96"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7"/>
          <w:szCs w:val="17"/>
          <w:b w:val="1"/>
          <w:bCs w:val="1"/>
          <w:color w:val="auto"/>
        </w:rPr>
        <w:t>Gain or loss on debt extinguishments</w:t>
      </w:r>
      <w:r>
        <w:rPr>
          <w:rFonts w:ascii="Arial" w:cs="Arial" w:eastAsia="Arial" w:hAnsi="Arial"/>
          <w:sz w:val="17"/>
          <w:szCs w:val="17"/>
          <w:i w:val="1"/>
          <w:iCs w:val="1"/>
          <w:color w:val="auto"/>
        </w:rPr>
        <w:t>—</w:t>
      </w:r>
      <w:r>
        <w:rPr>
          <w:rFonts w:ascii="Arial" w:cs="Arial" w:eastAsia="Arial" w:hAnsi="Arial"/>
          <w:sz w:val="17"/>
          <w:szCs w:val="17"/>
          <w:color w:val="auto"/>
        </w:rPr>
        <w:t>The Company recognizes the difference between the reacquisition price of debt and the net carrying amount of</w:t>
      </w:r>
      <w:r>
        <w:rPr>
          <w:rFonts w:ascii="Arial" w:cs="Arial" w:eastAsia="Arial" w:hAnsi="Arial"/>
          <w:sz w:val="17"/>
          <w:szCs w:val="17"/>
          <w:b w:val="1"/>
          <w:bCs w:val="1"/>
          <w:color w:val="auto"/>
        </w:rPr>
        <w:t xml:space="preserve"> </w:t>
      </w:r>
      <w:r>
        <w:rPr>
          <w:rFonts w:ascii="Arial" w:cs="Arial" w:eastAsia="Arial" w:hAnsi="Arial"/>
          <w:sz w:val="17"/>
          <w:szCs w:val="17"/>
          <w:color w:val="auto"/>
        </w:rPr>
        <w:t>extinguished debt currently in earnings. Such amounts may include prepayment penalties or the write-off of unamortized debt issuance costs, and are recorded in “Gain (loss) on early extinguishment of debt, net” on the Company's Consolidated Statements of Operations.</w:t>
      </w:r>
    </w:p>
    <w:p>
      <w:pPr>
        <w:spacing w:after="0" w:line="253"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Derivative instruments and hedging activity</w:t>
      </w:r>
      <w:r>
        <w:rPr>
          <w:rFonts w:ascii="Arial" w:cs="Arial" w:eastAsia="Arial" w:hAnsi="Arial"/>
          <w:sz w:val="18"/>
          <w:szCs w:val="18"/>
          <w:i w:val="1"/>
          <w:iCs w:val="1"/>
          <w:color w:val="auto"/>
        </w:rPr>
        <w:t>—</w:t>
      </w:r>
      <w:r>
        <w:rPr>
          <w:rFonts w:ascii="Arial" w:cs="Arial" w:eastAsia="Arial" w:hAnsi="Arial"/>
          <w:sz w:val="18"/>
          <w:szCs w:val="18"/>
          <w:color w:val="auto"/>
        </w:rPr>
        <w:t>The Company's use of derivative financial instruments is primarily limited to the utilization of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rate swaps, interest rate caps or other instruments to manage interest rate risk exposure and foreign exchange contracts to manage our risk to changes in foreign currencies.</w:t>
      </w:r>
    </w:p>
    <w:p>
      <w:pPr>
        <w:spacing w:after="0" w:line="2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recognizes derivatives as either assets or liabilities on the Company's Consolidated Balance Sheets at fair value. If certain conditions are met, a derivative may be specifically designated as a hedge of the exposure to changes in the fair value of a recognized asset or liability, a hedge of a forecasted transaction or the variability of cash flows to be received or paid related to a recognized asset or liability.</w:t>
      </w:r>
    </w:p>
    <w:p>
      <w:pPr>
        <w:spacing w:after="0" w:line="2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 derivatives designated as net investment hedges, the effective portion of changes in the fair value of the derivatives are reported in Accumulated Other Comprehensive Income as part of the cumulative translation adjustment. The ineffective portion of the change in fair value of the derivatives is recognized directly in earnings. Amounts are reclassified out of Accumulated Other Comprehensive Income into earnings when the hedged net investment is either sold or substantially liquidated.</w:t>
      </w:r>
    </w:p>
    <w:p>
      <w:pPr>
        <w:spacing w:after="0" w:line="24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Derivatives that are not designated hedges are considered economic hedges, with changes in fair value reported in current earnings in "Other expense" on the Company's Consolidated Statements of Operations. The Company does not enter into derivatives for trading purposes.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6"/>
          <w:szCs w:val="16"/>
          <w:b w:val="1"/>
          <w:bCs w:val="1"/>
          <w:color w:val="auto"/>
        </w:rPr>
        <w:t>Stock-based compensation</w:t>
      </w:r>
      <w:r>
        <w:rPr>
          <w:rFonts w:ascii="Arial" w:cs="Arial" w:eastAsia="Arial" w:hAnsi="Arial"/>
          <w:sz w:val="16"/>
          <w:szCs w:val="16"/>
          <w:i w:val="1"/>
          <w:iCs w:val="1"/>
          <w:color w:val="auto"/>
        </w:rPr>
        <w:t>—</w:t>
      </w:r>
      <w:r>
        <w:rPr>
          <w:rFonts w:ascii="Arial" w:cs="Arial" w:eastAsia="Arial" w:hAnsi="Arial"/>
          <w:sz w:val="16"/>
          <w:szCs w:val="16"/>
          <w:color w:val="auto"/>
        </w:rPr>
        <w:t>Compensation cost for stock-based awards is measured on the grant date and adjusted over the period of the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to reflect (i) actual forfeitures and (ii) the outcome of awards with performance or service conditions through the requisite service period. The Company recognizes compensation cost for performance-based awards if and when the Company concludes that it is probable that the performance condition will be achieved. Compensation cost for market condition-based awards is determined using a Monte Carlo model to simulate a range of possible future stock prices for the Company's Common Stock, which is reflected in the grant date fair value. All compensation cost for market-condition based awards in which the service conditions are met is recognized regardless of whether the market condition is satisfied. Compensation costs are recognized ratably over the applicable vesting/service period and recorded in "General and administrative" on the Company's Consolidated Statements of Operations.</w:t>
      </w:r>
    </w:p>
    <w:p>
      <w:pPr>
        <w:spacing w:after="0" w:line="216"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b w:val="1"/>
          <w:bCs w:val="1"/>
          <w:color w:val="auto"/>
        </w:rPr>
        <w:t>Income taxes</w:t>
      </w:r>
      <w:r>
        <w:rPr>
          <w:rFonts w:ascii="Arial" w:cs="Arial" w:eastAsia="Arial" w:hAnsi="Arial"/>
          <w:sz w:val="17"/>
          <w:szCs w:val="17"/>
          <w:i w:val="1"/>
          <w:iCs w:val="1"/>
          <w:color w:val="auto"/>
        </w:rPr>
        <w:t>—</w:t>
      </w:r>
      <w:r>
        <w:rPr>
          <w:rFonts w:ascii="Arial" w:cs="Arial" w:eastAsia="Arial" w:hAnsi="Arial"/>
          <w:sz w:val="17"/>
          <w:szCs w:val="17"/>
          <w:color w:val="auto"/>
        </w:rPr>
        <w:t>The Company has elected to be qualified and taxed as a REIT under section 856 through 860 of the Internal Revenue Code of 1986, as</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(the "Code"). The Company is subject to federal income taxation at corporate rates on its REIT taxable income, however, the Company is allowed a deduction for the amount of dividends paid to its shareholders, thereby subjecting the distributed net income of the Company to taxation at the shareholder level only. While it must distribute at least 90% of its taxable income in order to maintain its REIT status, the Company typically distributes all of its taxable income, if any, in order to minimize any tax on undistributed taxable income. In addition, the Company is allowed several other deductions in computing its REIT taxable income, including non-cash items such as depreciation expense and certain specific reserve amounts that the Company deems to be uncollectable. These deductions allow the Company to reduce its dividend payout requirement under federal tax laws. In addition, the Company has made foreclosure elections for certain properties acquired through foreclosure which allows the Company to operate these properties within the REIT but subjects them to certain tax obligations. The carrying value of assets with foreclosure elections as of December 31, 2013 is $1.12 billion. The Company intends to operate in a manner consistent with and its election to be treated as a REIT for tax purposes. As of December 31, 2012, the Company had $634.2 million of net operating loss carryforwards at the corporate REIT level, which can generally be used to offset both ordinary and capital taxable income in future years and will expire through 2032 if unused. The amount of net operating loss carryforwards as of December 31, 2013 will be subject to finalization of the Company's 2013 tax return. The Company recognizes interest expense and penalties related to uncertain tax positions, if any, as "Income tax (expense) benefit" on the Company's Consolidated Statements of Operations.</w:t>
      </w:r>
    </w:p>
    <w:p>
      <w:pPr>
        <w:spacing w:after="0" w:line="24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can participate in certain activities from which it would be otherwise precluded in order to maintain its qualification as a REIT, as long as these activities are conducted in entities which elect to be treated as taxable subsidiaries under the Code, subject to certain limitations. As such, the Company, through its taxable REIT subsidiaries ("TRSs"), is engaged in various real estate related opportunities, primarily related to managing activities related to certain foreclosed assets, as well as managing various investments in equity affiliates. As of December 31, 2013, $633.9 million of the Company's assets were owned by TRS entities. The Company's TRS entities are not consolidated for federal income tax purposes and are taxed as corporations. For financial reporting purposes, current and deferred taxes are provided for on the portion of earnings recognized by the Company with respect to its interest in TRS entities.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represents the Company's TRS income tax expense ($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2"/>
              </w:rPr>
              <w:t>For the Years Ended December 31,</w:t>
            </w:r>
          </w:p>
        </w:tc>
        <w:tc>
          <w:tcPr>
            <w:tcW w:w="760" w:type="dxa"/>
            <w:vAlign w:val="bottom"/>
            <w:tcBorders>
              <w:bottom w:val="single" w:sz="8" w:color="auto"/>
            </w:tcBorders>
          </w:tcPr>
          <w:p>
            <w:pPr>
              <w:spacing w:after="0"/>
              <w:rPr>
                <w:sz w:val="16"/>
                <w:szCs w:val="16"/>
                <w:color w:val="auto"/>
              </w:rPr>
            </w:pPr>
          </w:p>
        </w:tc>
      </w:tr>
      <w:tr>
        <w:trPr>
          <w:trHeight w:val="264"/>
        </w:trPr>
        <w:tc>
          <w:tcPr>
            <w:tcW w:w="63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2011</w:t>
            </w: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(expense) benefit</w:t>
            </w: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(9,010)</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Deferred tax (expense) benefit</w:t>
            </w:r>
          </w:p>
        </w:tc>
        <w:tc>
          <w:tcPr>
            <w:tcW w:w="82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13,729</w:t>
            </w:r>
          </w:p>
        </w:tc>
      </w:tr>
      <w:tr>
        <w:trPr>
          <w:trHeight w:val="27"/>
        </w:trPr>
        <w:tc>
          <w:tcPr>
            <w:tcW w:w="63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 benefit</w:t>
            </w: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4,719</w:t>
            </w:r>
          </w:p>
        </w:tc>
      </w:tr>
      <w:tr>
        <w:trPr>
          <w:trHeight w:val="20"/>
        </w:trPr>
        <w:tc>
          <w:tcPr>
            <w:tcW w:w="6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During the year ended December 31, 2013, the Company's TRS entities generated a taxable loss of $1.8 million, resulting in current tax benefit of $0.7 million. During the year ended December 31, 2012, the Company's TRS entities generated taxable income of $42.2 million which was partially offset by the utilization of net operating loss carryforwards, resulting in current tax expense of $8.4 million. During the year ended December 31, 2011, the Company's TRS entities generated taxable income of $75.8 million, which was partially offset by the utilization of net operating loss carryforwards, resulting in tax expense of $9.0 million. In addition, during the year ended December 31, 2011, the Company sold its investment in Oak Hill Advisors L.P. (see Note 6) and recognized a deferred tax benefit resulting from the reversal of a deferred tax liability associated with the investment.</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Total cash paid for taxes for the years ended December 31, 2013, 2012 and 2011, was $9.2 million, $5.5 million and $8.5 million, respectively.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 of assets and liabilities for financial reporting purposes and the amounts used for income tax purposes, as well as operating loss and tax credit carryforwards. The Company evaluates the realizability of its deferred tax assets and recognizes a valuation allowance if, based on the available evidence, both positive and negative, it is more likely than not that some portion or all of its deferred tax assets will not be realized. When evaluating the realizability of its deferred tax assets, the Company considers, among other matters, estimates of expected future taxable income, nature of current and cumulative losses, existing and projected book/tax differences, tax planning strategies available, and the general and industry specific economic outlook. This realizability analysis is inherently subjective, as it requires the Company to forecast its business and general economic environment in future periods. Based on an assessment of all factors, including historical losses and continued volatility of the activities within the TRS entities, it was determined that full valuation allowances were required on the net deferred tax assets as of December 31, 2013 and 2012, respectively. Changes in estimate of deferred tax asset realizability, if any are included in "Income tax (expense) benefit" on the Consolidated Statements of Operations.</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tax assets and liabilities of the Company's TRS entities were as follows ($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As of December 31,</w:t>
            </w:r>
          </w:p>
        </w:tc>
      </w:tr>
      <w:tr>
        <w:trPr>
          <w:trHeight w:val="250"/>
        </w:trPr>
        <w:tc>
          <w:tcPr>
            <w:tcW w:w="81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2012</w:t>
            </w: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55,962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40,800</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(55,962)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(40,800)</w:t>
            </w:r>
          </w:p>
        </w:tc>
      </w:tr>
      <w:tr>
        <w:trPr>
          <w:trHeight w:val="27"/>
        </w:trPr>
        <w:tc>
          <w:tcPr>
            <w:tcW w:w="8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8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deferred tax assets (liabilities)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660" w:hanging="652"/>
        <w:spacing w:after="0" w:line="257"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Deferred tax assets as of December 31, 2013, include real estate basis differences of $33.0 million, net operating loss carryforwards of $14.9 million and investment basis differences of $8.1 million. Deferred tax assets as of December 31, 2012, include real estate basis differences of $31.2 million, net operating loss carryforwards of $10.8 million and investment basis differences of $(1.2) million.</w:t>
      </w:r>
    </w:p>
    <w:p>
      <w:pPr>
        <w:spacing w:after="0" w:line="10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b w:val="1"/>
          <w:bCs w:val="1"/>
          <w:color w:val="auto"/>
        </w:rPr>
        <w:t>Earnings per share</w:t>
      </w:r>
      <w:r>
        <w:rPr>
          <w:rFonts w:ascii="Arial" w:cs="Arial" w:eastAsia="Arial" w:hAnsi="Arial"/>
          <w:sz w:val="17"/>
          <w:szCs w:val="17"/>
          <w:i w:val="1"/>
          <w:iCs w:val="1"/>
          <w:color w:val="auto"/>
        </w:rPr>
        <w:t>—</w:t>
      </w:r>
      <w:r>
        <w:rPr>
          <w:rFonts w:ascii="Arial" w:cs="Arial" w:eastAsia="Arial" w:hAnsi="Arial"/>
          <w:sz w:val="17"/>
          <w:szCs w:val="17"/>
          <w:color w:val="auto"/>
        </w:rPr>
        <w:t>The Company uses the two-class method in calculating EPS when it issues securities other than common stock that contractually</w:t>
      </w:r>
      <w:r>
        <w:rPr>
          <w:rFonts w:ascii="Arial" w:cs="Arial" w:eastAsia="Arial" w:hAnsi="Arial"/>
          <w:sz w:val="17"/>
          <w:szCs w:val="17"/>
          <w:b w:val="1"/>
          <w:bCs w:val="1"/>
          <w:color w:val="auto"/>
        </w:rPr>
        <w:t xml:space="preserve"> </w:t>
      </w:r>
      <w:r>
        <w:rPr>
          <w:rFonts w:ascii="Arial" w:cs="Arial" w:eastAsia="Arial" w:hAnsi="Arial"/>
          <w:sz w:val="17"/>
          <w:szCs w:val="17"/>
          <w:color w:val="auto"/>
        </w:rPr>
        <w:t>entitle the holder to participate in dividends and earnings of the Company when, and if, the Company declares dividends on its common stock. Vested HPU shares are entitled to dividends of the Company when dividends are declared. Basic earnings per share ("Basic EPS") for the Company's Common Stock and HPU shares are computed by dividing net income allocable to common shareholders and HPU holders by the weighted average number of shares of Common Stock and HPU shares outstanding for the period, respectively. Diluted earnings per share ("Diluted EPS") is calculated similarly, however, it reflects the potential dilution that could occur if securities or other contracts to issue common stock were exercised or converted into common stock, where such exercise or conversion would result in a lower earnings per share amount.</w:t>
      </w:r>
    </w:p>
    <w:p>
      <w:pPr>
        <w:spacing w:after="0" w:line="23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Unvested share-based payment awards that contain non-forfeitable rights to dividends or dividend equivalents (whether paid or unpaid) are deemed a "Participating Security" and are included in the computation of earnings per share pursuant to the two-class method. The Company's unvested restricted stock units and restricted stock awards with rights to dividends and common stock equivalents issued under its Long-Term Incentive Plans are considered Participating Securities and have been included in the two-class method when calculating EPS.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4—Real Estate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real estate assets were comprised of the following ($ in thousands):</w:t>
      </w:r>
    </w:p>
    <w:p>
      <w:pPr>
        <w:spacing w:after="0" w:line="338"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Operating</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Net Lease</w:t>
            </w:r>
          </w:p>
        </w:tc>
        <w:tc>
          <w:tcPr>
            <w:tcW w:w="26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Properties</w:t>
            </w:r>
          </w:p>
        </w:tc>
        <w:tc>
          <w:tcPr>
            <w:tcW w:w="320" w:type="dxa"/>
            <w:vAlign w:val="bottom"/>
          </w:tcPr>
          <w:p>
            <w:pPr>
              <w:spacing w:after="0"/>
              <w:rPr>
                <w:sz w:val="17"/>
                <w:szCs w:val="17"/>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Land</w:t>
            </w:r>
          </w:p>
        </w:tc>
        <w:tc>
          <w:tcPr>
            <w:tcW w:w="36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2013</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Land and land improvements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350,817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132,934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803,238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1,286,989</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1,346,071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587,574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1,933,645</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(338,640)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(82,420)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(424,453)</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1,358,248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638,088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799,845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2,796,181</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Real estate available and held for sale</w:t>
            </w:r>
          </w:p>
        </w:tc>
        <w:tc>
          <w:tcPr>
            <w:tcW w:w="2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228,328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132,189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360,517</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real estate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1,358,248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866,416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932,034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3,156,698</w:t>
            </w:r>
          </w:p>
        </w:tc>
        <w:tc>
          <w:tcPr>
            <w:tcW w:w="0" w:type="dxa"/>
            <w:vAlign w:val="bottom"/>
          </w:tcPr>
          <w:p>
            <w:pPr>
              <w:spacing w:after="0"/>
              <w:rPr>
                <w:sz w:val="1"/>
                <w:szCs w:val="1"/>
                <w:color w:val="auto"/>
              </w:rPr>
            </w:pPr>
          </w:p>
        </w:tc>
      </w:tr>
      <w:tr>
        <w:trPr>
          <w:trHeight w:val="20"/>
        </w:trPr>
        <w:tc>
          <w:tcPr>
            <w:tcW w:w="4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 December 31, 2012</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344,239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132,028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786,114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1,262,381</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1,282,571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572,453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1,855,024</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(310,605)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(65,409)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(378,306)</w:t>
            </w:r>
          </w:p>
        </w:tc>
        <w:tc>
          <w:tcPr>
            <w:tcW w:w="0" w:type="dxa"/>
            <w:vAlign w:val="bottom"/>
          </w:tcPr>
          <w:p>
            <w:pPr>
              <w:spacing w:after="0"/>
              <w:rPr>
                <w:sz w:val="1"/>
                <w:szCs w:val="1"/>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color w:val="auto"/>
              </w:rPr>
              <w:t>Real estate, net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1,316,205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639,072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783,822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2,739,099</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available and held for sale</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454,587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181,278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635,865</w:t>
            </w:r>
          </w:p>
        </w:tc>
        <w:tc>
          <w:tcPr>
            <w:tcW w:w="0" w:type="dxa"/>
            <w:vAlign w:val="bottom"/>
          </w:tcPr>
          <w:p>
            <w:pPr>
              <w:spacing w:after="0"/>
              <w:rPr>
                <w:sz w:val="1"/>
                <w:szCs w:val="1"/>
                <w:color w:val="auto"/>
              </w:rPr>
            </w:pPr>
          </w:p>
        </w:tc>
      </w:tr>
      <w:tr>
        <w:trPr>
          <w:trHeight w:val="257"/>
        </w:trPr>
        <w:tc>
          <w:tcPr>
            <w:tcW w:w="4540" w:type="dxa"/>
            <w:vAlign w:val="bottom"/>
          </w:tcPr>
          <w:p>
            <w:pPr>
              <w:ind w:left="20"/>
              <w:spacing w:after="0"/>
              <w:rPr>
                <w:sz w:val="20"/>
                <w:szCs w:val="20"/>
                <w:color w:val="auto"/>
              </w:rPr>
            </w:pPr>
            <w:r>
              <w:rPr>
                <w:rFonts w:ascii="Arial" w:cs="Arial" w:eastAsia="Arial" w:hAnsi="Arial"/>
                <w:sz w:val="18"/>
                <w:szCs w:val="18"/>
                <w:color w:val="auto"/>
              </w:rPr>
              <w:t>Total real estate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1,316,205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1,093,659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965,100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3,374,964</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Real estate available and held for sale—</w:t>
      </w:r>
      <w:r>
        <w:rPr>
          <w:rFonts w:ascii="Arial" w:cs="Arial" w:eastAsia="Arial" w:hAnsi="Arial"/>
          <w:sz w:val="18"/>
          <w:szCs w:val="18"/>
          <w:color w:val="auto"/>
        </w:rPr>
        <w:t>As of December 31, 2013 and 2012, the Company had $221.0 million and $374.1 million, respectively, of</w:t>
      </w:r>
      <w:r>
        <w:rPr>
          <w:rFonts w:ascii="Arial" w:cs="Arial" w:eastAsia="Arial" w:hAnsi="Arial"/>
          <w:sz w:val="18"/>
          <w:szCs w:val="18"/>
          <w:b w:val="1"/>
          <w:bCs w:val="1"/>
          <w:color w:val="auto"/>
        </w:rPr>
        <w:t xml:space="preserve"> </w:t>
      </w:r>
      <w:r>
        <w:rPr>
          <w:rFonts w:ascii="Arial" w:cs="Arial" w:eastAsia="Arial" w:hAnsi="Arial"/>
          <w:sz w:val="18"/>
          <w:szCs w:val="18"/>
          <w:color w:val="auto"/>
        </w:rPr>
        <w:t>residential properties available for sale in its operating properties portfolio.</w:t>
      </w:r>
    </w:p>
    <w:p>
      <w:pPr>
        <w:spacing w:after="0" w:line="166"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During the year ended December 31, 2013, the Company reclassified two land properties with a carrying value of $49.7 million from held for sale to held for investment due to changes in the Company's business plan for the properties. These assets are included in "Real estate, net" on the Company's Consolidated Balance Sheets. There were no operations to reclassify on the Company's Consolidated Statement of Operations as a result of this change. During the same period, the Company reclassified three land assets with a carrying value of $31.8 million and a net lease asset with a carrying value of $9.8 million to held for sale due to executed contracts with third parties. The net lease asset was disposed of for a gain of $3.6 million during the year ended December 31, 2013. The gain was recorded in "Gain from discontinued operations" on the Company's Consolidated Statements of Operations. The results of operations for the net lease assets that were reclassified are included in "Income (loss) from discontinued operations" on the Company's Consolidated Statements of Operations for all periods presented (see table below). The three land properties were sold during the year ended December 31, 2013 for a gain of $0.6 million. These gains were recorded in "Income from residential property" on the Company's Consolidated Statements of Operations.</w:t>
      </w:r>
    </w:p>
    <w:p>
      <w:pPr>
        <w:spacing w:after="0" w:line="12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During the year ended December 31, 2012, the Company had a change in its business plans to sell two commercial operating properties previously considered held for sale. As of December 31, 2012, the carrying amount of these assets was $49.8 million and was recorded in Real Estate, net. The assets were reclassified back to real estate held and used at their carrying value prior to classification as held for sale and adjusted for depreciation expense of $3.3 million during the held for sale period, which was lower than the assets' fair value at the time of the change in plans to sell. In connection with the reclassification of these assets to held and used, the Company reclassified their results of operations for each of the periods presented, as follows:</w:t>
      </w:r>
    </w:p>
    <w:p>
      <w:pPr>
        <w:spacing w:after="0" w:line="163" w:lineRule="exact"/>
        <w:rPr>
          <w:sz w:val="20"/>
          <w:szCs w:val="20"/>
          <w:color w:val="auto"/>
        </w:rPr>
      </w:pPr>
    </w:p>
    <w:tbl>
      <w:tblPr>
        <w:tblLayout w:type="fixed"/>
        <w:tblInd w:w="240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4"/>
                <w:szCs w:val="14"/>
                <w:b w:val="1"/>
                <w:bCs w:val="1"/>
                <w:color w:val="auto"/>
                <w:w w:val="98"/>
              </w:rPr>
              <w:t>For the Years Ended December 31,</w:t>
            </w:r>
          </w:p>
        </w:tc>
      </w:tr>
      <w:tr>
        <w:trPr>
          <w:trHeight w:val="264"/>
        </w:trPr>
        <w:tc>
          <w:tcPr>
            <w:tcW w:w="36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2011</w:t>
            </w: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21,148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21,663</w:t>
            </w: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Real estate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(22,603)</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(24,297)</w:t>
            </w:r>
          </w:p>
        </w:tc>
      </w:tr>
    </w:tbl>
    <w:p>
      <w:pPr>
        <w:spacing w:after="0" w:line="225"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During the year ended December 31, 2013, the Company acquired a net lease asset, which was leased back to the seller, for a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price of $93.6 million, including intangible assets of $36.1 million, intangible liabilities of $11.9 million and acquisition-related costs of $0.2 million. The Company concluded that the transaction was a real estate asset acquisition and capitalized the acquisition-related costs. The intangible assets are included in "Deferred expenses and other assets, net" and the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intangible liabilities are included in "Accounts payable, accrued expenses and other liabilities" on the Company's Consolidated Balance Sheets. The lease is classified as an operating lease.</w:t>
      </w:r>
    </w:p>
    <w:p>
      <w:pPr>
        <w:spacing w:after="0" w:line="13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During the year ended December 31, 2013, the Company acquired, via foreclosure, title to a residential operating property and two land properties, each of which previously served as collateral on loans receivable held by the Company. The total fair value of the land properties was $15.6 million. The Company contributed the residential operating property, which had a fair value of $25.5 million, to an entity, of which it owns 63%. Based on the control provisions in the partnership agreement, the Company consolidates the entity and reflects its partner's 37% share of equity in "Noncontrolling interests" on the Company's Consolidated Balance Sheets. The acquisition was accounted for at fair value. No gain or loss was recorded in conjunction with these transactions.</w:t>
      </w:r>
    </w:p>
    <w:p>
      <w:pPr>
        <w:spacing w:after="0" w:line="11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year ended December 31, 2012, the Company acquired, via foreclosure, title to properties, which previously served as collateral on loan receivables held by the Company with a total fair value of $269.1 million at the time of foreclosure. These properties included $172.4 million of residential operating properties, $63.4 million of commercial operating properties and $33.3 million of land assets.</w:t>
      </w:r>
    </w:p>
    <w:p>
      <w:pPr>
        <w:spacing w:after="0" w:line="14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During the year ended December 31, 2012, the Company also acquired land and other assets with a fair value of $27.3 million from a third party to form a new venture related to one of the Company's commercial operating properties. The third party contributed land into the venture in a non-cash exchange for a non-controlling interest and the Company continues to consolidate the subsidiary. In conjunction with the formation of this new venture, the venture contributed land with a recorded value of $11.6 million in a non-cash exchange for a 40% noncontrolling equity interest in a separate new venture. The Company did not recognize any gains or losses associated with these transactions.</w:t>
      </w:r>
    </w:p>
    <w:p>
      <w:pPr>
        <w:spacing w:after="0" w:line="13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In addition, during 2012, the Company acquired land and other assets with a fair value of $11.5 million from a third party to form a new strategic venture related to one of the Company's active land development projects. The third party contributed land into the venture in a non-cash exchange for a non-controlling interest and the Company continues to consolidate the subsidiary. The Company did not recognize any gains or losses associated with the transaction. Based upon certain rights held by the minority partner in this land venture that provide it with an option to redeem its interest at fair value after seven years, the Company has reflected the partner's non-controlling interest in this venture as a redeemable non-controlling interest within its Consolidated Balance Sheets. As it is probable that the interest will become redeemable, subsequent changes in fair value are being accreted over the seven year period from the date of issuance to the earliest redemption date using the interest method. As of December 31, 2013 and 2012, the estimated redemption value of the redeemable non-controlling interest was $17.4 million and $17.9 million, respectively.</w:t>
      </w:r>
    </w:p>
    <w:p>
      <w:pPr>
        <w:spacing w:after="0" w:line="134"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Dispositions—</w:t>
      </w:r>
      <w:r>
        <w:rPr>
          <w:rFonts w:ascii="Arial" w:cs="Arial" w:eastAsia="Arial" w:hAnsi="Arial"/>
          <w:sz w:val="18"/>
          <w:szCs w:val="18"/>
          <w:color w:val="auto"/>
        </w:rPr>
        <w:t>During the years ended December 31, 2013, 2012, and 2011, the Company sold residential condominiums for total net proceeds of</w:t>
      </w:r>
      <w:r>
        <w:rPr>
          <w:rFonts w:ascii="Arial" w:cs="Arial" w:eastAsia="Arial" w:hAnsi="Arial"/>
          <w:sz w:val="18"/>
          <w:szCs w:val="18"/>
          <w:b w:val="1"/>
          <w:bCs w:val="1"/>
          <w:color w:val="auto"/>
        </w:rPr>
        <w:t xml:space="preserve"> </w:t>
      </w:r>
      <w:r>
        <w:rPr>
          <w:rFonts w:ascii="Arial" w:cs="Arial" w:eastAsia="Arial" w:hAnsi="Arial"/>
          <w:sz w:val="18"/>
          <w:szCs w:val="18"/>
          <w:color w:val="auto"/>
        </w:rPr>
        <w:t>$269.7 million, $319.3 million and $154.0 million, respectively, and recorded income from sales of residential properties totaling $82.6 million, $63.5 million and $5.7 million, respectively.</w:t>
      </w:r>
    </w:p>
    <w:p>
      <w:pPr>
        <w:spacing w:after="0" w:line="14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During the year ended December 31, 2013, the Company sold land for net proceeds of $21.4 million to a newly formed unconsolidated entity in which the Company also received a preferred partnership interest and a 47.5% equity interest. The Company recognized a gain of $3.4 million, reflecting the proportionate share of our sold interest, which was recorded as "Income from sales of residential property" on the Company's Consolidated Statements of Operations. The Company also sold land with a carrying value of $18.9 million for proceeds that approximated carrying value.</w:t>
      </w:r>
    </w:p>
    <w:p>
      <w:pPr>
        <w:spacing w:after="0" w:line="11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During the year ended December 31, 2013, the Company contributed land with carrying value of $24.1 million to a newly formed unconsolidated entity in which the Company received an equity interest of 75.6%. As a result of the transfer, the Company recognized a $7.4 million loss, which was recorded as "Loss on transfer of interest to unconsolidated subsidiary" on the Company's Consolidated Statements of Operations. In addition, during the year ended December 31, 2013, the Company contributed land with a carrying value of $2.8 million to a newly formed unconsolidated entity in which the Company also received a 50.0% equity interest. No gain or loss was recorded in conjunction with the transaction.</w:t>
      </w:r>
    </w:p>
    <w:p>
      <w:pPr>
        <w:spacing w:after="0" w:line="13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Additionally, during the year ended December 31, 2013, the Company sold five net lease assets with a carrying value of $18.7 million resulting in a net gain of $2.2 million. During the same period the Company sold six commercial operating properties with a carrying value of $72.6 million resulting in a net gain of $18.6 million. These gains were recorded as "Gain from discontinued operations" on the Company's Consolidated Statements of Operations. The Company also sold a land asset with a carrying value of $14.8 million resulting in a gain of $0.6 million, which was included in "Income from sales of residential property" on the Company's Consolidated Statements of Operations.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Also, during the year ended December 31, 2013, the Company transferred title of net lease assets with a carrying value of $8.7 million to its tenant for consideration that approximated our carrying value.</w:t>
      </w:r>
    </w:p>
    <w:p>
      <w:pPr>
        <w:spacing w:after="0" w:line="13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During the year ended December 31, 2012, the Company sold a portfolio of 12 net lease assets with an aggregate carrying value of $105.7 million and recorded a gain of $24.9 million resulting from the transaction. Certain of the properties were subject to secured term loans with a remaining principal balance of $50.8 million that were repaid in full at closing (see Note 8). In addition to this portfolio sale, during 2012, the Company sold net lease assets with a carrying value of $9.8 million, resulting in a net gain of $2.4 million. These gains were recorded as "Gain from discontinued operations" on the Company's Consolidated Statements of Operations. During the year ended December 31, 2012, the Company sold commercial operating properties with an aggregate carrying value of $29.3 million and land assets with a carrying value of $72.1 million for proceeds that approximated carrying value.</w:t>
      </w:r>
    </w:p>
    <w:p>
      <w:pPr>
        <w:spacing w:after="0" w:line="12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the year ended December 31, 2011, the Company sold net lease assets with carrying values of $34.1 million, resulting in a net gain of $3.2 million, which was recorded in "Gain from discontinued operations" on the Company's Consolidated Statements of Operations. During 2011, the Company also sold commercial operating properties with an aggregate carrying value of $17.9 million and land assets with a carrying value of $9.5 million for proceeds that approximated carrying value. In addition, during 2011, the Company realized $22.2 million of a gain previously deferred resulting from the sale of a portfolio of 32 net lease assets in 2010. The gain was recorded in "Gain from discontinued operations" on the Company's Consolidated Statements of Operations during the year ended December 31, 2011.</w:t>
      </w:r>
    </w:p>
    <w:p>
      <w:pPr>
        <w:spacing w:after="0" w:line="149"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b w:val="1"/>
          <w:bCs w:val="1"/>
          <w:color w:val="auto"/>
        </w:rPr>
        <w:t>Discontinued Operations—</w:t>
      </w:r>
      <w:r>
        <w:rPr>
          <w:rFonts w:ascii="Arial" w:cs="Arial" w:eastAsia="Arial" w:hAnsi="Arial"/>
          <w:sz w:val="18"/>
          <w:szCs w:val="18"/>
          <w:color w:val="auto"/>
        </w:rPr>
        <w:t>The following table summarizes income (loss) from discontinued operations for the years ended December 31, 2013, 2012</w:t>
      </w:r>
      <w:r>
        <w:rPr>
          <w:rFonts w:ascii="Arial" w:cs="Arial" w:eastAsia="Arial" w:hAnsi="Arial"/>
          <w:sz w:val="18"/>
          <w:szCs w:val="18"/>
          <w:b w:val="1"/>
          <w:bCs w:val="1"/>
          <w:color w:val="auto"/>
        </w:rPr>
        <w:t xml:space="preserve"> </w:t>
      </w:r>
      <w:r>
        <w:rPr>
          <w:rFonts w:ascii="Arial" w:cs="Arial" w:eastAsia="Arial" w:hAnsi="Arial"/>
          <w:sz w:val="18"/>
          <w:szCs w:val="18"/>
          <w:color w:val="auto"/>
        </w:rPr>
        <w:t>and 2011, respectively ($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For the Years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23,090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(3,138)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(19,457)</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assets</w:t>
            </w: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(1,763)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(22,576)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(9,147)</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92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(17,481)</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(5,514)</w:t>
            </w: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b w:val="1"/>
          <w:bCs w:val="1"/>
          <w:color w:val="auto"/>
        </w:rPr>
        <w:t>Impairments—</w:t>
      </w:r>
      <w:r>
        <w:rPr>
          <w:rFonts w:ascii="Arial" w:cs="Arial" w:eastAsia="Arial" w:hAnsi="Arial"/>
          <w:sz w:val="18"/>
          <w:szCs w:val="18"/>
          <w:color w:val="auto"/>
        </w:rPr>
        <w:t>During the years ended December 31, 2013, 2012 and 2011 the Company recorded impairments on real estate assets totaling $14.4</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$35.4 million and $22.4 million, respectively, resulting from changes in local market conditions and business strategy for certain assets. Of these amounts, $1.8 million, $22.6 million and $9.1 million for the years ended December 31, 2013, 2012 and 2011, respectively, have been recorded in "Income (loss) from discontinued operations" on the Company's Consolidated Statements of Operations due to the assets being sold or classified as held for sale as of December 31, 2013 (see above).</w:t>
      </w:r>
    </w:p>
    <w:p>
      <w:pPr>
        <w:spacing w:after="0" w:line="143" w:lineRule="exact"/>
        <w:rPr>
          <w:sz w:val="20"/>
          <w:szCs w:val="20"/>
          <w:color w:val="auto"/>
        </w:rPr>
      </w:pPr>
    </w:p>
    <w:p>
      <w:pPr>
        <w:jc w:val="both"/>
        <w:ind w:firstLine="405"/>
        <w:spacing w:after="0" w:line="314" w:lineRule="auto"/>
        <w:rPr>
          <w:sz w:val="20"/>
          <w:szCs w:val="20"/>
          <w:color w:val="auto"/>
        </w:rPr>
      </w:pPr>
      <w:r>
        <w:rPr>
          <w:rFonts w:ascii="Arial" w:cs="Arial" w:eastAsia="Arial" w:hAnsi="Arial"/>
          <w:sz w:val="16"/>
          <w:szCs w:val="16"/>
          <w:b w:val="1"/>
          <w:bCs w:val="1"/>
          <w:color w:val="auto"/>
        </w:rPr>
        <w:t>Tenant Reimbursements—</w:t>
      </w:r>
      <w:r>
        <w:rPr>
          <w:rFonts w:ascii="Arial" w:cs="Arial" w:eastAsia="Arial" w:hAnsi="Arial"/>
          <w:sz w:val="16"/>
          <w:szCs w:val="16"/>
          <w:color w:val="auto"/>
        </w:rPr>
        <w:t>The Company receives reimbursements from tenants for certain facility operating expenses including common area costs,</w:t>
      </w:r>
      <w:r>
        <w:rPr>
          <w:rFonts w:ascii="Arial" w:cs="Arial" w:eastAsia="Arial" w:hAnsi="Arial"/>
          <w:sz w:val="16"/>
          <w:szCs w:val="16"/>
          <w:b w:val="1"/>
          <w:bCs w:val="1"/>
          <w:color w:val="auto"/>
        </w:rPr>
        <w:t xml:space="preserve"> </w:t>
      </w:r>
      <w:r>
        <w:rPr>
          <w:rFonts w:ascii="Arial" w:cs="Arial" w:eastAsia="Arial" w:hAnsi="Arial"/>
          <w:sz w:val="16"/>
          <w:szCs w:val="16"/>
          <w:color w:val="auto"/>
        </w:rPr>
        <w:t>insurance, utilities and real estate taxes. Tenant expense reimbursements for the years ended December 31, 2013, 2012 and 2011 were $31.8 million, $30.9 million and $29.4 million, respectively, and are included in “Operating lease income” on the Company's Consolidated Statements of Operations.</w:t>
      </w:r>
    </w:p>
    <w:p>
      <w:pPr>
        <w:spacing w:after="0" w:line="102"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b w:val="1"/>
          <w:bCs w:val="1"/>
          <w:color w:val="auto"/>
        </w:rPr>
        <w:t>Future Minimum Operating Lease Payments—</w:t>
      </w:r>
      <w:r>
        <w:rPr>
          <w:rFonts w:ascii="Arial" w:cs="Arial" w:eastAsia="Arial" w:hAnsi="Arial"/>
          <w:sz w:val="18"/>
          <w:szCs w:val="18"/>
          <w:color w:val="auto"/>
        </w:rPr>
        <w:t>Future minimum operating lease payments under non-cancelable leases, excluding customer</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reimbursements of expenses, in effect at December 31, 2013, are as follows ($ in thousands):</w:t>
      </w:r>
    </w:p>
    <w:p>
      <w:pPr>
        <w:spacing w:after="0" w:line="171" w:lineRule="exact"/>
        <w:rPr>
          <w:sz w:val="20"/>
          <w:szCs w:val="20"/>
          <w:color w:val="auto"/>
        </w:rPr>
      </w:pPr>
    </w:p>
    <w:tbl>
      <w:tblPr>
        <w:tblLayout w:type="fixed"/>
        <w:tblInd w:w="2720" w:type="dxa"/>
        <w:tblCellMar>
          <w:top w:w="0" w:type="dxa"/>
          <w:left w:w="0" w:type="dxa"/>
          <w:bottom w:w="0" w:type="dxa"/>
          <w:right w:w="0" w:type="dxa"/>
        </w:tblCellMar>
      </w:tblPr>
      <w:tr>
        <w:trPr>
          <w:trHeight w:val="192"/>
        </w:trPr>
        <w:tc>
          <w:tcPr>
            <w:tcW w:w="1820" w:type="dxa"/>
            <w:vAlign w:val="bottom"/>
          </w:tcPr>
          <w:p>
            <w:pPr>
              <w:jc w:val="center"/>
              <w:ind w:left="393"/>
              <w:spacing w:after="0"/>
              <w:rPr>
                <w:sz w:val="20"/>
                <w:szCs w:val="20"/>
                <w:color w:val="auto"/>
              </w:rPr>
            </w:pPr>
            <w:r>
              <w:rPr>
                <w:rFonts w:ascii="Arial" w:cs="Arial" w:eastAsia="Arial" w:hAnsi="Arial"/>
                <w:sz w:val="14"/>
                <w:szCs w:val="14"/>
                <w:b w:val="1"/>
                <w:bCs w:val="1"/>
                <w:color w:val="auto"/>
                <w:w w:val="98"/>
              </w:rPr>
              <w:t>Year</w:t>
            </w:r>
          </w:p>
        </w:tc>
        <w:tc>
          <w:tcPr>
            <w:tcW w:w="720" w:type="dxa"/>
            <w:vAlign w:val="bottom"/>
          </w:tcPr>
          <w:p>
            <w:pPr>
              <w:spacing w:after="0"/>
              <w:rPr>
                <w:sz w:val="16"/>
                <w:szCs w:val="16"/>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Net Lease Assets</w:t>
            </w:r>
          </w:p>
        </w:tc>
        <w:tc>
          <w:tcPr>
            <w:tcW w:w="200" w:type="dxa"/>
            <w:vAlign w:val="bottom"/>
          </w:tcPr>
          <w:p>
            <w:pPr>
              <w:spacing w:after="0"/>
              <w:rPr>
                <w:sz w:val="16"/>
                <w:szCs w:val="16"/>
                <w:color w:val="auto"/>
              </w:rPr>
            </w:pPr>
          </w:p>
        </w:tc>
        <w:tc>
          <w:tcPr>
            <w:tcW w:w="1620" w:type="dxa"/>
            <w:vAlign w:val="bottom"/>
          </w:tcPr>
          <w:p>
            <w:pPr>
              <w:jc w:val="right"/>
              <w:ind w:right="173"/>
              <w:spacing w:after="0"/>
              <w:rPr>
                <w:sz w:val="20"/>
                <w:szCs w:val="20"/>
                <w:color w:val="auto"/>
              </w:rPr>
            </w:pPr>
            <w:r>
              <w:rPr>
                <w:rFonts w:ascii="Arial" w:cs="Arial" w:eastAsia="Arial" w:hAnsi="Arial"/>
                <w:sz w:val="14"/>
                <w:szCs w:val="14"/>
                <w:b w:val="1"/>
                <w:bCs w:val="1"/>
                <w:color w:val="auto"/>
                <w:w w:val="96"/>
              </w:rPr>
              <w:t>Operating Properties</w:t>
            </w:r>
          </w:p>
        </w:tc>
      </w:tr>
      <w:tr>
        <w:trPr>
          <w:trHeight w:val="250"/>
        </w:trPr>
        <w:tc>
          <w:tcPr>
            <w:tcW w:w="1820" w:type="dxa"/>
            <w:vAlign w:val="bottom"/>
            <w:tcBorders>
              <w:top w:val="single" w:sz="8" w:color="auto"/>
              <w:bottom w:val="single" w:sz="8" w:color="CCEEFF"/>
            </w:tcBorders>
            <w:shd w:val="clear" w:color="auto" w:fill="CCEEFF"/>
          </w:tcPr>
          <w:p>
            <w:pPr>
              <w:jc w:val="center"/>
              <w:ind w:left="413"/>
              <w:spacing w:after="0"/>
              <w:rPr>
                <w:sz w:val="20"/>
                <w:szCs w:val="20"/>
                <w:color w:val="auto"/>
              </w:rPr>
            </w:pPr>
            <w:r>
              <w:rPr>
                <w:rFonts w:ascii="Arial" w:cs="Arial" w:eastAsia="Arial" w:hAnsi="Arial"/>
                <w:sz w:val="18"/>
                <w:szCs w:val="18"/>
                <w:color w:val="auto"/>
                <w:w w:val="89"/>
              </w:rPr>
              <w:t>2014</w:t>
            </w:r>
          </w:p>
        </w:tc>
        <w:tc>
          <w:tcPr>
            <w:tcW w:w="7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53,283</w:t>
            </w:r>
          </w:p>
        </w:tc>
      </w:tr>
      <w:tr>
        <w:trPr>
          <w:trHeight w:val="243"/>
        </w:trPr>
        <w:tc>
          <w:tcPr>
            <w:tcW w:w="1820" w:type="dxa"/>
            <w:vAlign w:val="bottom"/>
          </w:tcPr>
          <w:p>
            <w:pPr>
              <w:jc w:val="center"/>
              <w:ind w:left="413"/>
              <w:spacing w:after="0"/>
              <w:rPr>
                <w:sz w:val="20"/>
                <w:szCs w:val="20"/>
                <w:color w:val="auto"/>
              </w:rPr>
            </w:pPr>
            <w:r>
              <w:rPr>
                <w:rFonts w:ascii="Arial" w:cs="Arial" w:eastAsia="Arial" w:hAnsi="Arial"/>
                <w:sz w:val="18"/>
                <w:szCs w:val="18"/>
                <w:color w:val="auto"/>
                <w:w w:val="89"/>
              </w:rPr>
              <w:t>2015</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133,272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48,851</w:t>
            </w:r>
          </w:p>
        </w:tc>
      </w:tr>
      <w:tr>
        <w:trPr>
          <w:trHeight w:val="27"/>
        </w:trPr>
        <w:tc>
          <w:tcPr>
            <w:tcW w:w="1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820" w:type="dxa"/>
            <w:vAlign w:val="bottom"/>
            <w:tcBorders>
              <w:bottom w:val="single" w:sz="8" w:color="CCEEFF"/>
            </w:tcBorders>
            <w:shd w:val="clear" w:color="auto" w:fill="CCEEFF"/>
          </w:tcPr>
          <w:p>
            <w:pPr>
              <w:jc w:val="center"/>
              <w:ind w:left="413"/>
              <w:spacing w:after="0"/>
              <w:rPr>
                <w:sz w:val="20"/>
                <w:szCs w:val="20"/>
                <w:color w:val="auto"/>
              </w:rPr>
            </w:pPr>
            <w:r>
              <w:rPr>
                <w:rFonts w:ascii="Arial" w:cs="Arial" w:eastAsia="Arial" w:hAnsi="Arial"/>
                <w:sz w:val="18"/>
                <w:szCs w:val="18"/>
                <w:color w:val="auto"/>
                <w:w w:val="89"/>
              </w:rPr>
              <w:t>2016</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131,738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46,476</w:t>
            </w:r>
          </w:p>
        </w:tc>
      </w:tr>
      <w:tr>
        <w:trPr>
          <w:trHeight w:val="243"/>
        </w:trPr>
        <w:tc>
          <w:tcPr>
            <w:tcW w:w="1820" w:type="dxa"/>
            <w:vAlign w:val="bottom"/>
          </w:tcPr>
          <w:p>
            <w:pPr>
              <w:jc w:val="center"/>
              <w:ind w:left="413"/>
              <w:spacing w:after="0"/>
              <w:rPr>
                <w:sz w:val="20"/>
                <w:szCs w:val="20"/>
                <w:color w:val="auto"/>
              </w:rPr>
            </w:pPr>
            <w:r>
              <w:rPr>
                <w:rFonts w:ascii="Arial" w:cs="Arial" w:eastAsia="Arial" w:hAnsi="Arial"/>
                <w:sz w:val="18"/>
                <w:szCs w:val="18"/>
                <w:color w:val="auto"/>
                <w:w w:val="89"/>
              </w:rPr>
              <w:t>2017</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125,142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44,516</w:t>
            </w:r>
          </w:p>
        </w:tc>
      </w:tr>
      <w:tr>
        <w:trPr>
          <w:trHeight w:val="27"/>
        </w:trPr>
        <w:tc>
          <w:tcPr>
            <w:tcW w:w="1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820" w:type="dxa"/>
            <w:vAlign w:val="bottom"/>
            <w:tcBorders>
              <w:bottom w:val="single" w:sz="8" w:color="CCEEFF"/>
            </w:tcBorders>
            <w:shd w:val="clear" w:color="auto" w:fill="CCEEFF"/>
          </w:tcPr>
          <w:p>
            <w:pPr>
              <w:jc w:val="center"/>
              <w:ind w:left="413"/>
              <w:spacing w:after="0"/>
              <w:rPr>
                <w:sz w:val="20"/>
                <w:szCs w:val="20"/>
                <w:color w:val="auto"/>
              </w:rPr>
            </w:pPr>
            <w:r>
              <w:rPr>
                <w:rFonts w:ascii="Arial" w:cs="Arial" w:eastAsia="Arial" w:hAnsi="Arial"/>
                <w:sz w:val="18"/>
                <w:szCs w:val="18"/>
                <w:color w:val="auto"/>
                <w:w w:val="89"/>
              </w:rPr>
              <w:t>2018</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123,464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37,979</w:t>
            </w:r>
          </w:p>
        </w:tc>
      </w:tr>
      <w:tr>
        <w:trPr>
          <w:trHeight w:val="891"/>
        </w:trPr>
        <w:tc>
          <w:tcPr>
            <w:tcW w:w="1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20" w:type="dxa"/>
            <w:vAlign w:val="bottom"/>
          </w:tcPr>
          <w:p>
            <w:pPr>
              <w:jc w:val="right"/>
              <w:ind w:right="893"/>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5—Loans Receivable and Other Lending Investments,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Company's loans receivable and other lending investments by class ($ in thousands):</w:t>
      </w:r>
    </w:p>
    <w:p>
      <w:pPr>
        <w:spacing w:after="0" w:line="230"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80" w:type="dxa"/>
            <w:vAlign w:val="bottom"/>
            <w:tcBorders>
              <w:bottom w:val="single" w:sz="8" w:color="auto"/>
            </w:tcBorders>
          </w:tcPr>
          <w:p>
            <w:pPr>
              <w:spacing w:after="0"/>
              <w:rPr>
                <w:sz w:val="16"/>
                <w:szCs w:val="16"/>
                <w:color w:val="auto"/>
              </w:rPr>
            </w:pPr>
          </w:p>
        </w:tc>
      </w:tr>
      <w:tr>
        <w:trPr>
          <w:trHeight w:val="264"/>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Type of Investment</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9"/>
              </w:rPr>
              <w:t>2012</w:t>
            </w: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mortgages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1,071,662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2"/>
              </w:rPr>
              <w:t>1,751,256</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Subordinate mortgages</w:t>
            </w:r>
          </w:p>
        </w:tc>
        <w:tc>
          <w:tcPr>
            <w:tcW w:w="3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60,679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152,737</w:t>
            </w:r>
          </w:p>
        </w:tc>
      </w:tr>
      <w:tr>
        <w:trPr>
          <w:trHeight w:val="27"/>
        </w:trPr>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Corporate/Partnership loans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473,045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450,491</w:t>
            </w:r>
          </w:p>
        </w:tc>
      </w:tr>
      <w:tr>
        <w:trPr>
          <w:trHeight w:val="237"/>
        </w:trPr>
        <w:tc>
          <w:tcPr>
            <w:tcW w:w="8040" w:type="dxa"/>
            <w:vAlign w:val="bottom"/>
          </w:tcPr>
          <w:p>
            <w:pPr>
              <w:ind w:left="140"/>
              <w:spacing w:after="0"/>
              <w:rPr>
                <w:sz w:val="20"/>
                <w:szCs w:val="20"/>
                <w:color w:val="auto"/>
              </w:rPr>
            </w:pPr>
            <w:r>
              <w:rPr>
                <w:rFonts w:ascii="Arial" w:cs="Arial" w:eastAsia="Arial" w:hAnsi="Arial"/>
                <w:sz w:val="18"/>
                <w:szCs w:val="18"/>
                <w:color w:val="auto"/>
              </w:rPr>
              <w:t>Total gross carrying value of loans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1,605,386</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2"/>
              </w:rPr>
              <w:t>2,354,484</w:t>
            </w:r>
          </w:p>
        </w:tc>
      </w:tr>
      <w:tr>
        <w:trPr>
          <w:trHeight w:val="27"/>
        </w:trPr>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Reserves for loan losses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(377,204)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(524,499)</w:t>
            </w:r>
          </w:p>
        </w:tc>
      </w:tr>
      <w:tr>
        <w:trPr>
          <w:trHeight w:val="237"/>
        </w:trPr>
        <w:tc>
          <w:tcPr>
            <w:tcW w:w="8040" w:type="dxa"/>
            <w:vAlign w:val="bottom"/>
          </w:tcPr>
          <w:p>
            <w:pPr>
              <w:ind w:left="140"/>
              <w:spacing w:after="0"/>
              <w:rPr>
                <w:sz w:val="20"/>
                <w:szCs w:val="20"/>
                <w:color w:val="auto"/>
              </w:rPr>
            </w:pPr>
            <w:r>
              <w:rPr>
                <w:rFonts w:ascii="Arial" w:cs="Arial" w:eastAsia="Arial" w:hAnsi="Arial"/>
                <w:sz w:val="18"/>
                <w:szCs w:val="18"/>
                <w:color w:val="auto"/>
              </w:rPr>
              <w:t>Total loans receivable, net</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1,228,182</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2"/>
              </w:rPr>
              <w:t>1,829,985</w:t>
            </w:r>
          </w:p>
        </w:tc>
      </w:tr>
      <w:tr>
        <w:trPr>
          <w:trHeight w:val="27"/>
        </w:trPr>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lending investments—securities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141,927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57"/>
        </w:trPr>
        <w:tc>
          <w:tcPr>
            <w:tcW w:w="8040" w:type="dxa"/>
            <w:vAlign w:val="bottom"/>
          </w:tcPr>
          <w:p>
            <w:pPr>
              <w:ind w:left="140"/>
              <w:spacing w:after="0"/>
              <w:rPr>
                <w:sz w:val="20"/>
                <w:szCs w:val="20"/>
                <w:color w:val="auto"/>
              </w:rPr>
            </w:pPr>
            <w:r>
              <w:rPr>
                <w:rFonts w:ascii="Arial" w:cs="Arial" w:eastAsia="Arial" w:hAnsi="Arial"/>
                <w:sz w:val="18"/>
                <w:szCs w:val="18"/>
                <w:color w:val="auto"/>
              </w:rPr>
              <w:t>Total loans receivable and other lending investments, net(1)</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1,370,109</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2"/>
              </w:rPr>
              <w:t>1,829,985</w:t>
            </w:r>
          </w:p>
        </w:tc>
      </w:tr>
      <w:tr>
        <w:trPr>
          <w:trHeight w:val="20"/>
        </w:trPr>
        <w:tc>
          <w:tcPr>
            <w:tcW w:w="8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right="20" w:hanging="652"/>
        <w:spacing w:after="0" w:line="273"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Company's recorded investment in loans as of December 31, 2013 and 2012 also includes accrued interest of $6.5 million and $9.8 million, respectively, which are included in "Accrued interest and operating lease income receivable, net" on the Company's Consolidated Balance Sheets.</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years ended December 31, 2013, 2012 and 2011, the Company sold loans with total carrying values of $95.1 million, $53.9 million and $144.9 million, respectively, which resulted in a net realized loss of $0.6 million, a net gain of $6.4 million and no gain or loss, respectively. Gains and losses on sales of loans are included in "Other income" on the Company's Consolidated Statements of Operations.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Reserve for loan losses</w:t>
      </w:r>
      <w:r>
        <w:rPr>
          <w:rFonts w:ascii="Arial" w:cs="Arial" w:eastAsia="Arial" w:hAnsi="Arial"/>
          <w:sz w:val="18"/>
          <w:szCs w:val="18"/>
          <w:color w:val="auto"/>
        </w:rPr>
        <w:t>—Changes in the Company's reserve for loan losses were as follows ($ in thousands):</w:t>
      </w:r>
    </w:p>
    <w:p>
      <w:pPr>
        <w:spacing w:after="0" w:line="234" w:lineRule="exact"/>
        <w:rPr>
          <w:sz w:val="20"/>
          <w:szCs w:val="20"/>
          <w:color w:val="auto"/>
        </w:rPr>
      </w:pPr>
    </w:p>
    <w:tbl>
      <w:tblPr>
        <w:tblLayout w:type="fixed"/>
        <w:tblInd w:w="92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For the 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52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Reserve for loan losses at beginning of period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524,499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646,624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814,625</w:t>
            </w:r>
          </w:p>
        </w:tc>
      </w:tr>
      <w:tr>
        <w:trPr>
          <w:trHeight w:val="243"/>
        </w:trPr>
        <w:tc>
          <w:tcPr>
            <w:tcW w:w="5280" w:type="dxa"/>
            <w:vAlign w:val="bottom"/>
          </w:tcPr>
          <w:p>
            <w:pPr>
              <w:ind w:left="160"/>
              <w:spacing w:after="0"/>
              <w:rPr>
                <w:sz w:val="20"/>
                <w:szCs w:val="20"/>
                <w:color w:val="auto"/>
              </w:rPr>
            </w:pPr>
            <w:r>
              <w:rPr>
                <w:rFonts w:ascii="Arial" w:cs="Arial" w:eastAsia="Arial" w:hAnsi="Arial"/>
                <w:sz w:val="18"/>
                <w:szCs w:val="18"/>
                <w:color w:val="auto"/>
              </w:rPr>
              <w:t>Provision for loan losses(1)</w:t>
            </w: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5,489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81,740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46,412</w:t>
            </w:r>
          </w:p>
        </w:tc>
      </w:tr>
      <w:tr>
        <w:trPr>
          <w:trHeight w:val="27"/>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Charge-offs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(152,784)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(203,865)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(214,413)</w:t>
            </w:r>
          </w:p>
        </w:tc>
      </w:tr>
      <w:tr>
        <w:trPr>
          <w:trHeight w:val="257"/>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Reserve for loan losses at end of period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377,204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524,499</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646,624</w:t>
            </w:r>
          </w:p>
        </w:tc>
      </w:tr>
      <w:tr>
        <w:trPr>
          <w:trHeight w:val="20"/>
        </w:trPr>
        <w:tc>
          <w:tcPr>
            <w:tcW w:w="5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8" w:lineRule="exact"/>
        <w:rPr>
          <w:sz w:val="20"/>
          <w:szCs w:val="20"/>
          <w:color w:val="auto"/>
        </w:rPr>
      </w:pPr>
    </w:p>
    <w:p>
      <w:pPr>
        <w:ind w:left="660" w:right="20" w:hanging="652"/>
        <w:spacing w:after="0" w:line="273"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For the years ended December 31, 2013, 2012 and 2011, the provision for loan losses includes recoveries of previously recorded loan loss reserves of $63.1 million, $4.6 million and $23.6 million, respectively.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Company's recorded investment in loans (comprised of a loan's carrying value plus accrued interest) and the associated reserve for loan losses were as follows ($ in thousands):</w:t>
      </w:r>
    </w:p>
    <w:p>
      <w:pPr>
        <w:spacing w:after="0" w:line="9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Individually</w:t>
            </w:r>
          </w:p>
        </w:tc>
        <w:tc>
          <w:tcPr>
            <w:tcW w:w="20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Collectively</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Loans Acquired</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20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16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with Deteriorated</w:t>
            </w:r>
          </w:p>
        </w:tc>
        <w:tc>
          <w:tcPr>
            <w:tcW w:w="340" w:type="dxa"/>
            <w:vAlign w:val="bottom"/>
          </w:tcPr>
          <w:p>
            <w:pPr>
              <w:spacing w:after="0"/>
              <w:rPr>
                <w:sz w:val="12"/>
                <w:szCs w:val="12"/>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Impairment(1)</w:t>
            </w:r>
          </w:p>
        </w:tc>
        <w:tc>
          <w:tcPr>
            <w:tcW w:w="20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Impairment(2)</w:t>
            </w:r>
          </w:p>
        </w:tc>
        <w:tc>
          <w:tcPr>
            <w:tcW w:w="16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Credit Quality(3)</w:t>
            </w:r>
          </w:p>
        </w:tc>
        <w:tc>
          <w:tcPr>
            <w:tcW w:w="3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2013</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Loans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752,425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849,613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9,889</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1,611,927</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Reserve for loan losses</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(348,004)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(377,204)</w:t>
            </w:r>
          </w:p>
        </w:tc>
        <w:tc>
          <w:tcPr>
            <w:tcW w:w="0" w:type="dxa"/>
            <w:vAlign w:val="bottom"/>
          </w:tcPr>
          <w:p>
            <w:pPr>
              <w:spacing w:after="0"/>
              <w:rPr>
                <w:sz w:val="1"/>
                <w:szCs w:val="1"/>
                <w:color w:val="auto"/>
              </w:rPr>
            </w:pPr>
          </w:p>
        </w:tc>
      </w:tr>
      <w:tr>
        <w:trPr>
          <w:trHeight w:val="297"/>
        </w:trPr>
        <w:tc>
          <w:tcPr>
            <w:tcW w:w="4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404,421</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820,413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9,889</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1,234,723</w:t>
            </w:r>
          </w:p>
        </w:tc>
        <w:tc>
          <w:tcPr>
            <w:tcW w:w="0" w:type="dxa"/>
            <w:vAlign w:val="bottom"/>
          </w:tcPr>
          <w:p>
            <w:pPr>
              <w:spacing w:after="0"/>
              <w:rPr>
                <w:sz w:val="1"/>
                <w:szCs w:val="1"/>
                <w:color w:val="auto"/>
              </w:rPr>
            </w:pPr>
          </w:p>
        </w:tc>
      </w:tr>
      <w:tr>
        <w:trPr>
          <w:trHeight w:val="237"/>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2012</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Loans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1,095,957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1,210,077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58,281</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2,364,315</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Reserve for loan losses</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(472,058)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(524,499)</w:t>
            </w:r>
          </w:p>
        </w:tc>
        <w:tc>
          <w:tcPr>
            <w:tcW w:w="0" w:type="dxa"/>
            <w:vAlign w:val="bottom"/>
          </w:tcPr>
          <w:p>
            <w:pPr>
              <w:spacing w:after="0"/>
              <w:rPr>
                <w:sz w:val="1"/>
                <w:szCs w:val="1"/>
                <w:color w:val="auto"/>
              </w:rPr>
            </w:pPr>
          </w:p>
        </w:tc>
      </w:tr>
      <w:tr>
        <w:trPr>
          <w:trHeight w:val="257"/>
        </w:trPr>
        <w:tc>
          <w:tcPr>
            <w:tcW w:w="4520" w:type="dxa"/>
            <w:vAlign w:val="bottom"/>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623,899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1,176,977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38,940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1,839,816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660" w:hanging="652"/>
        <w:spacing w:after="0" w:line="247" w:lineRule="auto"/>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carrying value of these loans include unamortized discounts, premiums, deferred fees and costs aggregating to a net premium of $0.5 million and a net discount of $4.0 million as of December 31, 2013 and 2012, respectively. The Company's loans individually evaluated for impairment primarily represent loans on non-accrual status and therefore, the unamortized amounts associated with these loans are not currently being amortized into income.</w:t>
      </w:r>
    </w:p>
    <w:p>
      <w:pPr>
        <w:spacing w:after="0" w:line="1" w:lineRule="exact"/>
        <w:rPr>
          <w:rFonts w:ascii="Arial" w:cs="Arial" w:eastAsia="Arial" w:hAnsi="Arial"/>
          <w:sz w:val="14"/>
          <w:szCs w:val="14"/>
          <w:color w:val="auto"/>
        </w:rPr>
      </w:pPr>
    </w:p>
    <w:p>
      <w:pPr>
        <w:ind w:left="660" w:hanging="652"/>
        <w:spacing w:after="0" w:line="241" w:lineRule="auto"/>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carrying value of these loans include unamortized discounts, premiums, deferred fees and costs aggregating to a net discount of $4.6 million and $3.8 million as of December 31, 2013 and 2012, respectively.</w:t>
      </w:r>
    </w:p>
    <w:p>
      <w:pPr>
        <w:ind w:left="660" w:hanging="652"/>
        <w:spacing w:after="0" w:line="293" w:lineRule="auto"/>
        <w:tabs>
          <w:tab w:leader="none" w:pos="6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carrying value of these loans include unamortized discounts, premiums, deferred fees and costs aggregating to a net premium of $0.4 million and $0.1 million as of December 31, 2013 and 2012, respectively. These loans had cumulative principal balances of $10.2 million and $58.8 million, as of December 31, 2013 and 2012, respectively.</w:t>
      </w:r>
    </w:p>
    <w:p>
      <w:pPr>
        <w:spacing w:after="0" w:line="164"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Credit Characteristics</w:t>
      </w:r>
      <w:r>
        <w:rPr>
          <w:rFonts w:ascii="Arial" w:cs="Arial" w:eastAsia="Arial" w:hAnsi="Arial"/>
          <w:sz w:val="18"/>
          <w:szCs w:val="18"/>
          <w:color w:val="auto"/>
        </w:rPr>
        <w:t>—As part of the Company's process for monitoring the credit quality of its loans, it performs a quarterly loan portfolio</w:t>
      </w:r>
      <w:r>
        <w:rPr>
          <w:rFonts w:ascii="Arial" w:cs="Arial" w:eastAsia="Arial" w:hAnsi="Arial"/>
          <w:sz w:val="18"/>
          <w:szCs w:val="18"/>
          <w:b w:val="1"/>
          <w:bCs w:val="1"/>
          <w:color w:val="auto"/>
        </w:rPr>
        <w:t xml:space="preserve"> </w:t>
      </w:r>
      <w:r>
        <w:rPr>
          <w:rFonts w:ascii="Arial" w:cs="Arial" w:eastAsia="Arial" w:hAnsi="Arial"/>
          <w:sz w:val="18"/>
          <w:szCs w:val="18"/>
          <w:color w:val="auto"/>
        </w:rPr>
        <w:t>assessment and assigns risk ratings to each of its performing loans. Risk ratings are based on judgments which are inherently uncertain and there can be no assurance that actual performance will not be different than current expectation.</w:t>
      </w:r>
    </w:p>
    <w:p>
      <w:pPr>
        <w:spacing w:after="0" w:line="18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recorded investment in performing loans, presented by class and by credit quality, as indicated by risk rating, was as follows ($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3"/>
          </w:tcPr>
          <w:p>
            <w:pPr>
              <w:jc w:val="right"/>
              <w:ind w:right="768"/>
              <w:spacing w:after="0"/>
              <w:rPr>
                <w:sz w:val="20"/>
                <w:szCs w:val="20"/>
                <w:color w:val="auto"/>
              </w:rPr>
            </w:pPr>
            <w:r>
              <w:rPr>
                <w:rFonts w:ascii="Arial" w:cs="Arial" w:eastAsia="Arial" w:hAnsi="Arial"/>
                <w:sz w:val="14"/>
                <w:szCs w:val="14"/>
                <w:b w:val="1"/>
                <w:bCs w:val="1"/>
                <w:color w:val="auto"/>
              </w:rPr>
              <w:t>December 31, 2013</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gridSpan w:val="3"/>
          </w:tcPr>
          <w:p>
            <w:pPr>
              <w:jc w:val="right"/>
              <w:ind w:right="748"/>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vMerge w:val="restart"/>
          </w:tcPr>
          <w:p>
            <w:pPr>
              <w:jc w:val="right"/>
              <w:ind w:right="258"/>
              <w:spacing w:after="0"/>
              <w:rPr>
                <w:sz w:val="20"/>
                <w:szCs w:val="20"/>
                <w:color w:val="auto"/>
              </w:rPr>
            </w:pPr>
            <w:r>
              <w:rPr>
                <w:rFonts w:ascii="Arial" w:cs="Arial" w:eastAsia="Arial" w:hAnsi="Arial"/>
                <w:sz w:val="14"/>
                <w:szCs w:val="14"/>
                <w:b w:val="1"/>
                <w:bCs w:val="1"/>
                <w:color w:val="auto"/>
              </w:rPr>
              <w:t>Performing</w:t>
            </w:r>
          </w:p>
        </w:tc>
        <w:tc>
          <w:tcPr>
            <w:tcW w:w="120" w:type="dxa"/>
            <w:vAlign w:val="bottom"/>
          </w:tcPr>
          <w:p>
            <w:pPr>
              <w:spacing w:after="0"/>
              <w:rPr>
                <w:sz w:val="13"/>
                <w:szCs w:val="13"/>
                <w:color w:val="auto"/>
              </w:rPr>
            </w:pPr>
          </w:p>
        </w:tc>
        <w:tc>
          <w:tcPr>
            <w:tcW w:w="14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3"/>
                <w:szCs w:val="13"/>
                <w:color w:val="auto"/>
              </w:rPr>
            </w:pPr>
          </w:p>
        </w:tc>
        <w:tc>
          <w:tcPr>
            <w:tcW w:w="114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Performing</w:t>
            </w:r>
          </w:p>
        </w:tc>
        <w:tc>
          <w:tcPr>
            <w:tcW w:w="10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Loans</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Risk Ratings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Loans</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Risk Ratings</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591,145</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840,593</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Subordinate mortgages</w:t>
            </w:r>
          </w:p>
        </w:tc>
        <w:tc>
          <w:tcPr>
            <w:tcW w:w="220" w:type="dxa"/>
            <w:vAlign w:val="bottom"/>
          </w:tcPr>
          <w:p>
            <w:pPr>
              <w:spacing w:after="0"/>
              <w:rPr>
                <w:sz w:val="21"/>
                <w:szCs w:val="21"/>
                <w:color w:val="auto"/>
              </w:rPr>
            </w:pP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61,364</w:t>
            </w:r>
          </w:p>
        </w:tc>
        <w:tc>
          <w:tcPr>
            <w:tcW w:w="1460" w:type="dxa"/>
            <w:vAlign w:val="bottom"/>
            <w:gridSpan w:val="2"/>
          </w:tcPr>
          <w:p>
            <w:pPr>
              <w:jc w:val="right"/>
              <w:ind w:right="28"/>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99,698</w:t>
            </w:r>
          </w:p>
        </w:tc>
        <w:tc>
          <w:tcPr>
            <w:tcW w:w="1460" w:type="dxa"/>
            <w:vAlign w:val="bottom"/>
            <w:gridSpan w:val="2"/>
          </w:tcPr>
          <w:p>
            <w:pPr>
              <w:jc w:val="right"/>
              <w:ind w:right="28"/>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Corporate/Partnership loans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438,831</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444,772</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57"/>
        </w:trPr>
        <w:tc>
          <w:tcPr>
            <w:tcW w:w="5620" w:type="dxa"/>
            <w:vAlign w:val="bottom"/>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1,091,340</w:t>
            </w:r>
          </w:p>
        </w:tc>
        <w:tc>
          <w:tcPr>
            <w:tcW w:w="1460" w:type="dxa"/>
            <w:vAlign w:val="bottom"/>
            <w:gridSpan w:val="2"/>
          </w:tcPr>
          <w:p>
            <w:pPr>
              <w:jc w:val="right"/>
              <w:ind w:right="28"/>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1,385,063</w:t>
            </w:r>
          </w:p>
        </w:tc>
        <w:tc>
          <w:tcPr>
            <w:tcW w:w="1460" w:type="dxa"/>
            <w:vAlign w:val="bottom"/>
            <w:gridSpan w:val="2"/>
          </w:tcPr>
          <w:p>
            <w:pPr>
              <w:jc w:val="right"/>
              <w:ind w:right="28"/>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December 31, 2013, the Company's recorded investment in loans, aged by payment status and presented by class, were as follows ($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ind w:left="360"/>
              <w:spacing w:after="0"/>
              <w:rPr>
                <w:sz w:val="20"/>
                <w:szCs w:val="20"/>
                <w:color w:val="auto"/>
              </w:rPr>
            </w:pPr>
            <w:r>
              <w:rPr>
                <w:rFonts w:ascii="Arial" w:cs="Arial" w:eastAsia="Arial" w:hAnsi="Arial"/>
                <w:sz w:val="14"/>
                <w:szCs w:val="14"/>
                <w:b w:val="1"/>
                <w:bCs w:val="1"/>
                <w:color w:val="auto"/>
                <w:w w:val="95"/>
              </w:rPr>
              <w:t>Less Than</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Greater</w:t>
            </w:r>
          </w:p>
        </w:tc>
        <w:tc>
          <w:tcPr>
            <w:tcW w:w="260" w:type="dxa"/>
            <w:vAlign w:val="bottom"/>
          </w:tcPr>
          <w:p>
            <w:pPr>
              <w:spacing w:after="0"/>
              <w:rPr>
                <w:sz w:val="14"/>
                <w:szCs w:val="14"/>
                <w:color w:val="auto"/>
              </w:rPr>
            </w:pPr>
          </w:p>
        </w:tc>
        <w:tc>
          <w:tcPr>
            <w:tcW w:w="12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Current</w:t>
            </w:r>
          </w:p>
        </w:tc>
        <w:tc>
          <w:tcPr>
            <w:tcW w:w="100" w:type="dxa"/>
            <w:vAlign w:val="bottom"/>
          </w:tcPr>
          <w:p>
            <w:pPr>
              <w:spacing w:after="0"/>
              <w:rPr>
                <w:sz w:val="12"/>
                <w:szCs w:val="12"/>
                <w:color w:val="auto"/>
              </w:rPr>
            </w:pPr>
          </w:p>
        </w:tc>
        <w:tc>
          <w:tcPr>
            <w:tcW w:w="1040" w:type="dxa"/>
            <w:vAlign w:val="bottom"/>
          </w:tcPr>
          <w:p>
            <w:pPr>
              <w:ind w:left="360"/>
              <w:spacing w:after="0" w:line="149" w:lineRule="exact"/>
              <w:rPr>
                <w:sz w:val="20"/>
                <w:szCs w:val="20"/>
                <w:color w:val="auto"/>
              </w:rPr>
            </w:pPr>
            <w:r>
              <w:rPr>
                <w:rFonts w:ascii="Arial" w:cs="Arial" w:eastAsia="Arial" w:hAnsi="Arial"/>
                <w:sz w:val="14"/>
                <w:szCs w:val="14"/>
                <w:b w:val="1"/>
                <w:bCs w:val="1"/>
                <w:color w:val="auto"/>
                <w:w w:val="98"/>
              </w:rPr>
              <w:t>and Equal</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Than</w:t>
            </w: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w w:val="94"/>
              </w:rPr>
              <w:t>to 90 Days</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0"/>
              </w:rPr>
              <w:t>90 Days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Past Due</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625,267</w:t>
            </w:r>
          </w:p>
        </w:tc>
        <w:tc>
          <w:tcPr>
            <w:tcW w:w="1140" w:type="dxa"/>
            <w:vAlign w:val="bottom"/>
            <w:tcBorders>
              <w:bottom w:val="single" w:sz="8" w:color="CCEEFF"/>
            </w:tcBorders>
            <w:gridSpan w:val="2"/>
            <w:shd w:val="clear" w:color="auto" w:fill="CCEEFF"/>
          </w:tcPr>
          <w:p>
            <w:pPr>
              <w:jc w:val="center"/>
              <w:ind w:right="72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449,085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449,085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1,074,352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Subordinate mortgages</w:t>
            </w:r>
          </w:p>
        </w:tc>
        <w:tc>
          <w:tcPr>
            <w:tcW w:w="3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61,364</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61,364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Corporate/Partnership loans</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476,211</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476,211</w:t>
            </w:r>
          </w:p>
        </w:tc>
        <w:tc>
          <w:tcPr>
            <w:tcW w:w="0" w:type="dxa"/>
            <w:vAlign w:val="bottom"/>
          </w:tcPr>
          <w:p>
            <w:pPr>
              <w:spacing w:after="0"/>
              <w:rPr>
                <w:sz w:val="1"/>
                <w:szCs w:val="1"/>
                <w:color w:val="auto"/>
              </w:rPr>
            </w:pPr>
          </w:p>
        </w:tc>
      </w:tr>
      <w:tr>
        <w:trPr>
          <w:trHeight w:val="257"/>
        </w:trPr>
        <w:tc>
          <w:tcPr>
            <w:tcW w:w="4120" w:type="dxa"/>
            <w:vAlign w:val="bottom"/>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1,162,842</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center"/>
              <w:ind w:right="824"/>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449,085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449,085</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1,611,927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gridSpan w:val="2"/>
          </w:tcPr>
          <w:p>
            <w:pPr>
              <w:jc w:val="center"/>
              <w:ind w:right="724"/>
              <w:spacing w:after="0"/>
              <w:rPr>
                <w:sz w:val="20"/>
                <w:szCs w:val="20"/>
                <w:color w:val="auto"/>
              </w:rPr>
            </w:pPr>
            <w:r>
              <w:rPr>
                <w:rFonts w:ascii="Arial" w:cs="Arial" w:eastAsia="Arial" w:hAnsi="Arial"/>
                <w:sz w:val="18"/>
                <w:szCs w:val="18"/>
                <w:color w:val="auto"/>
                <w:w w:val="89"/>
              </w:rPr>
              <w:t>63</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0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Impaired Loans</w:t>
      </w:r>
      <w:r>
        <w:rPr>
          <w:rFonts w:ascii="Arial" w:cs="Arial" w:eastAsia="Arial" w:hAnsi="Arial"/>
          <w:sz w:val="18"/>
          <w:szCs w:val="18"/>
          <w:color w:val="auto"/>
        </w:rPr>
        <w:t>—The Company's recorded investment in impaired loans, presented by class, were as follows ($ in thousands)(1):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As of December 31, 2013</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4"/>
                <w:szCs w:val="14"/>
                <w:b w:val="1"/>
                <w:bCs w:val="1"/>
                <w:color w:val="auto"/>
                <w:w w:val="92"/>
              </w:rPr>
              <w:t>As of December 31, 2012</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Recorded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6"/>
              </w:rPr>
              <w:t>Unpaid</w:t>
            </w:r>
          </w:p>
        </w:tc>
        <w:tc>
          <w:tcPr>
            <w:tcW w:w="180" w:type="dxa"/>
            <w:vAlign w:val="bottom"/>
          </w:tcPr>
          <w:p>
            <w:pPr>
              <w:spacing w:after="0"/>
              <w:rPr>
                <w:sz w:val="13"/>
                <w:szCs w:val="13"/>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Related</w:t>
            </w:r>
          </w:p>
        </w:tc>
        <w:tc>
          <w:tcPr>
            <w:tcW w:w="200" w:type="dxa"/>
            <w:vAlign w:val="bottom"/>
          </w:tcPr>
          <w:p>
            <w:pPr>
              <w:spacing w:after="0"/>
              <w:rPr>
                <w:sz w:val="13"/>
                <w:szCs w:val="13"/>
                <w:color w:val="auto"/>
              </w:rPr>
            </w:pPr>
          </w:p>
        </w:tc>
        <w:tc>
          <w:tcPr>
            <w:tcW w:w="10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Recorded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Unpaid</w:t>
            </w:r>
          </w:p>
        </w:tc>
        <w:tc>
          <w:tcPr>
            <w:tcW w:w="220" w:type="dxa"/>
            <w:vAlign w:val="bottom"/>
          </w:tcPr>
          <w:p>
            <w:pPr>
              <w:spacing w:after="0"/>
              <w:rPr>
                <w:sz w:val="13"/>
                <w:szCs w:val="13"/>
                <w:color w:val="auto"/>
              </w:rPr>
            </w:pPr>
          </w:p>
        </w:tc>
        <w:tc>
          <w:tcPr>
            <w:tcW w:w="10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Related</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Principal</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Principal</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53"/>
              <w:spacing w:after="0"/>
              <w:rPr>
                <w:sz w:val="20"/>
                <w:szCs w:val="20"/>
                <w:color w:val="auto"/>
              </w:rPr>
            </w:pPr>
            <w:r>
              <w:rPr>
                <w:rFonts w:ascii="Arial" w:cs="Arial" w:eastAsia="Arial" w:hAnsi="Arial"/>
                <w:sz w:val="14"/>
                <w:szCs w:val="14"/>
                <w:b w:val="1"/>
                <w:bCs w:val="1"/>
                <w:color w:val="auto"/>
              </w:rPr>
              <w:t>Investment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Allowance</w:t>
            </w:r>
          </w:p>
        </w:tc>
        <w:tc>
          <w:tcPr>
            <w:tcW w:w="200" w:type="dxa"/>
            <w:vAlign w:val="bottom"/>
          </w:tcPr>
          <w:p>
            <w:pPr>
              <w:spacing w:after="0"/>
              <w:rPr>
                <w:sz w:val="16"/>
                <w:szCs w:val="16"/>
                <w:color w:val="auto"/>
              </w:rPr>
            </w:pPr>
          </w:p>
        </w:tc>
        <w:tc>
          <w:tcPr>
            <w:tcW w:w="1000" w:type="dxa"/>
            <w:vAlign w:val="bottom"/>
          </w:tcPr>
          <w:p>
            <w:pPr>
              <w:jc w:val="right"/>
              <w:ind w:right="153"/>
              <w:spacing w:after="0"/>
              <w:rPr>
                <w:sz w:val="20"/>
                <w:szCs w:val="20"/>
                <w:color w:val="auto"/>
              </w:rPr>
            </w:pPr>
            <w:r>
              <w:rPr>
                <w:rFonts w:ascii="Arial" w:cs="Arial" w:eastAsia="Arial" w:hAnsi="Arial"/>
                <w:sz w:val="14"/>
                <w:szCs w:val="14"/>
                <w:b w:val="1"/>
                <w:bCs w:val="1"/>
                <w:color w:val="auto"/>
              </w:rPr>
              <w:t>Investment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Balance</w:t>
            </w:r>
          </w:p>
        </w:tc>
        <w:tc>
          <w:tcPr>
            <w:tcW w:w="220" w:type="dxa"/>
            <w:vAlign w:val="bottom"/>
          </w:tcPr>
          <w:p>
            <w:pPr>
              <w:spacing w:after="0"/>
              <w:rPr>
                <w:sz w:val="16"/>
                <w:szCs w:val="16"/>
                <w:color w:val="auto"/>
              </w:rPr>
            </w:pPr>
          </w:p>
        </w:tc>
        <w:tc>
          <w:tcPr>
            <w:tcW w:w="1040" w:type="dxa"/>
            <w:vAlign w:val="bottom"/>
          </w:tcPr>
          <w:p>
            <w:pPr>
              <w:jc w:val="right"/>
              <w:ind w:right="213"/>
              <w:spacing w:after="0"/>
              <w:rPr>
                <w:sz w:val="20"/>
                <w:szCs w:val="20"/>
                <w:color w:val="auto"/>
              </w:rPr>
            </w:pPr>
            <w:r>
              <w:rPr>
                <w:rFonts w:ascii="Arial" w:cs="Arial" w:eastAsia="Arial" w:hAnsi="Arial"/>
                <w:sz w:val="14"/>
                <w:szCs w:val="14"/>
                <w:b w:val="1"/>
                <w:bCs w:val="1"/>
                <w:color w:val="auto"/>
              </w:rPr>
              <w:t>Allowance</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With no related allowance recorded:</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3,012</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2,992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108,077</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107,850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Corporate/Partnership loans</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340" w:type="dxa"/>
            <w:vAlign w:val="bottom"/>
          </w:tcPr>
          <w:p>
            <w:pPr>
              <w:ind w:left="38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3,012</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2,992</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118,187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118,010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With an allowance recorded:</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650,337</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645,463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(304,544)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918,975</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918,496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(442,760)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Subordinate mortgages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53,979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53,679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(39,579)</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Corporate/Partnership loans</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99,076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99,067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(43,460)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63,096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63,246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(9,060)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Subtotal</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749,413</w:t>
            </w:r>
          </w:p>
        </w:tc>
        <w:tc>
          <w:tcPr>
            <w:tcW w:w="4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744,530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(348,004)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1,036,050</w:t>
            </w:r>
          </w:p>
        </w:tc>
        <w:tc>
          <w:tcPr>
            <w:tcW w:w="4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1,035,421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(491,399)</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Senior mortgages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653,349</w:t>
            </w:r>
          </w:p>
        </w:tc>
        <w:tc>
          <w:tcPr>
            <w:tcW w:w="4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648,455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(304,544)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1,027,052</w:t>
            </w:r>
          </w:p>
        </w:tc>
        <w:tc>
          <w:tcPr>
            <w:tcW w:w="4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1,026,346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(442,760)</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Subordinate mortgages</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53,979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53,679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(39,579)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Corporate/Partnership loans</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99,076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99,067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(43,460)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73,206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73,406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(9,060)</w:t>
            </w:r>
          </w:p>
        </w:tc>
        <w:tc>
          <w:tcPr>
            <w:tcW w:w="0" w:type="dxa"/>
            <w:vAlign w:val="bottom"/>
          </w:tcPr>
          <w:p>
            <w:pPr>
              <w:spacing w:after="0"/>
              <w:rPr>
                <w:sz w:val="1"/>
                <w:szCs w:val="1"/>
                <w:color w:val="auto"/>
              </w:rPr>
            </w:pPr>
          </w:p>
        </w:tc>
      </w:tr>
      <w:tr>
        <w:trPr>
          <w:trHeight w:val="257"/>
        </w:trPr>
        <w:tc>
          <w:tcPr>
            <w:tcW w:w="3340" w:type="dxa"/>
            <w:vAlign w:val="bottom"/>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752,425</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747,522</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(348,004)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1,154,237</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1,153,431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(491,399)</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660" w:hanging="652"/>
        <w:spacing w:after="0" w:line="257" w:lineRule="auto"/>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All of the Company's non-accrual loans are considered impaired and included in the table above. In addition, as of December 31, 2013 and 2012, certain loans modified through troubled debt restructurings with a recorded investment of $231.8 million and $175.0 million, respectively, are also included as impaired loans in accordance with GAAP although they are performing and on accrual status.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average recorded investment in impaired loans and interest income recognized, presented by class, were as follows ($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For the Years Ended December 31,</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37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89"/>
              </w:rPr>
              <w:t>2013</w:t>
            </w: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2012</w:t>
            </w: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2011</w:t>
            </w:r>
          </w:p>
        </w:tc>
        <w:tc>
          <w:tcPr>
            <w:tcW w:w="1040" w:type="dxa"/>
            <w:vAlign w:val="bottom"/>
            <w:tcBorders>
              <w:bottom w:val="single" w:sz="8" w:color="auto"/>
            </w:tcBorders>
          </w:tcPr>
          <w:p>
            <w:pPr>
              <w:spacing w:after="0"/>
              <w:rPr>
                <w:sz w:val="22"/>
                <w:szCs w:val="22"/>
                <w:color w:val="auto"/>
              </w:rPr>
            </w:pPr>
          </w:p>
        </w:tc>
      </w:tr>
      <w:tr>
        <w:trPr>
          <w:trHeight w:val="152"/>
        </w:trPr>
        <w:tc>
          <w:tcPr>
            <w:tcW w:w="3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3"/>
                <w:szCs w:val="13"/>
                <w:color w:val="auto"/>
              </w:rPr>
            </w:pPr>
          </w:p>
        </w:tc>
        <w:tc>
          <w:tcPr>
            <w:tcW w:w="900" w:type="dxa"/>
            <w:vAlign w:val="bottom"/>
          </w:tcPr>
          <w:p>
            <w:pPr>
              <w:jc w:val="center"/>
              <w:ind w:right="34"/>
              <w:spacing w:after="0" w:line="153"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center"/>
              <w:ind w:right="114"/>
              <w:spacing w:after="0" w:line="153" w:lineRule="exact"/>
              <w:rPr>
                <w:sz w:val="20"/>
                <w:szCs w:val="20"/>
                <w:color w:val="auto"/>
              </w:rPr>
            </w:pPr>
            <w:r>
              <w:rPr>
                <w:rFonts w:ascii="Arial" w:cs="Arial" w:eastAsia="Arial" w:hAnsi="Arial"/>
                <w:sz w:val="14"/>
                <w:szCs w:val="14"/>
                <w:b w:val="1"/>
                <w:bCs w:val="1"/>
                <w:color w:val="auto"/>
                <w:w w:val="94"/>
              </w:rPr>
              <w:t>Interest</w:t>
            </w:r>
          </w:p>
        </w:tc>
      </w:tr>
      <w:tr>
        <w:trPr>
          <w:trHeight w:val="149"/>
        </w:trPr>
        <w:tc>
          <w:tcPr>
            <w:tcW w:w="3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Recorded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Recorded</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2"/>
                <w:szCs w:val="12"/>
                <w:color w:val="auto"/>
              </w:rPr>
            </w:pPr>
          </w:p>
        </w:tc>
        <w:tc>
          <w:tcPr>
            <w:tcW w:w="90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89"/>
              </w:rPr>
              <w:t>Recorded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3"/>
              </w:rPr>
              <w:t>Income</w:t>
            </w:r>
          </w:p>
        </w:tc>
      </w:tr>
      <w:tr>
        <w:trPr>
          <w:trHeight w:val="192"/>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Recognized</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Recognized</w:t>
            </w:r>
          </w:p>
        </w:tc>
        <w:tc>
          <w:tcPr>
            <w:tcW w:w="180" w:type="dxa"/>
            <w:vAlign w:val="bottom"/>
          </w:tcPr>
          <w:p>
            <w:pPr>
              <w:spacing w:after="0"/>
              <w:rPr>
                <w:sz w:val="16"/>
                <w:szCs w:val="16"/>
                <w:color w:val="auto"/>
              </w:rPr>
            </w:pPr>
          </w:p>
        </w:tc>
        <w:tc>
          <w:tcPr>
            <w:tcW w:w="900" w:type="dxa"/>
            <w:vAlign w:val="bottom"/>
          </w:tcPr>
          <w:p>
            <w:pPr>
              <w:jc w:val="center"/>
              <w:ind w:right="34"/>
              <w:spacing w:after="0"/>
              <w:rPr>
                <w:sz w:val="20"/>
                <w:szCs w:val="20"/>
                <w:color w:val="auto"/>
              </w:rPr>
            </w:pPr>
            <w:r>
              <w:rPr>
                <w:rFonts w:ascii="Arial" w:cs="Arial" w:eastAsia="Arial" w:hAnsi="Arial"/>
                <w:sz w:val="14"/>
                <w:szCs w:val="14"/>
                <w:b w:val="1"/>
                <w:bCs w:val="1"/>
                <w:color w:val="auto"/>
                <w:w w:val="94"/>
              </w:rPr>
              <w:t>Investment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Recognized</w:t>
            </w:r>
          </w:p>
        </w:tc>
      </w:tr>
      <w:tr>
        <w:trPr>
          <w:trHeight w:val="250"/>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With no related allowance recorded:</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31,409</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9,269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162,093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2,765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309,079</w:t>
            </w: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31,799</w:t>
            </w: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Corporate/Partnership loans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10,110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680</w:t>
            </w:r>
          </w:p>
        </w:tc>
      </w:tr>
      <w:tr>
        <w:trPr>
          <w:trHeight w:val="237"/>
        </w:trPr>
        <w:tc>
          <w:tcPr>
            <w:tcW w:w="3780" w:type="dxa"/>
            <w:vAlign w:val="bottom"/>
          </w:tcPr>
          <w:p>
            <w:pPr>
              <w:ind w:left="380"/>
              <w:spacing w:after="0"/>
              <w:rPr>
                <w:sz w:val="20"/>
                <w:szCs w:val="20"/>
                <w:color w:val="auto"/>
              </w:rPr>
            </w:pPr>
            <w:r>
              <w:rPr>
                <w:rFonts w:ascii="Arial" w:cs="Arial" w:eastAsia="Arial" w:hAnsi="Arial"/>
                <w:sz w:val="18"/>
                <w:szCs w:val="18"/>
                <w:color w:val="auto"/>
              </w:rPr>
              <w:t>Subtotal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39,471</w:t>
            </w: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15,319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172,203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2,925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319,189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32,479</w:t>
            </w: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With an allowance recorded:</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794,247</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1,976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1,064,045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3,865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1,608,486</w:t>
            </w: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7,187</w:t>
            </w: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Subordinate mortgages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52,208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19,477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Corporate/Partnership loans</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77,661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62,248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66,087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332</w:t>
            </w:r>
          </w:p>
        </w:tc>
      </w:tr>
      <w:tr>
        <w:trPr>
          <w:trHeight w:val="27"/>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904,290</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1,178,501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1,694,050</w:t>
            </w: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7,519</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Senior mortgages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825,656</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1,226,138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1,917,565</w:t>
            </w: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38,986</w:t>
            </w: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Subordinate mortgages</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52,208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19,477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Corporate/Partnership loans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85,723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6,373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72,358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76,197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1,012</w:t>
            </w:r>
          </w:p>
        </w:tc>
      </w:tr>
      <w:tr>
        <w:trPr>
          <w:trHeight w:val="257"/>
        </w:trPr>
        <w:tc>
          <w:tcPr>
            <w:tcW w:w="3780" w:type="dxa"/>
            <w:vAlign w:val="bottom"/>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943,761</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17,618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1,350,704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7,102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2,013,239</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39,998</w:t>
            </w:r>
          </w:p>
        </w:tc>
      </w:tr>
      <w:tr>
        <w:trPr>
          <w:trHeight w:val="20"/>
        </w:trPr>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46"/>
        </w:trPr>
        <w:tc>
          <w:tcPr>
            <w:tcW w:w="3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314"/>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years ended December 31, 2013, 2012 and 2011, the Company recorded interest income of $13.3 million, $0.0 million and $26.3 million, respectively, related to the resolution of certain non-performing loans. Interest income was not previously recorded while the loans were on non-accrual status.</w:t>
      </w:r>
    </w:p>
    <w:p>
      <w:pPr>
        <w:spacing w:after="0" w:line="177" w:lineRule="exact"/>
        <w:rPr>
          <w:sz w:val="20"/>
          <w:szCs w:val="20"/>
          <w:color w:val="auto"/>
        </w:rPr>
      </w:pPr>
    </w:p>
    <w:p>
      <w:pPr>
        <w:jc w:val="both"/>
        <w:ind w:firstLine="432"/>
        <w:spacing w:after="0" w:line="313" w:lineRule="auto"/>
        <w:rPr>
          <w:sz w:val="20"/>
          <w:szCs w:val="20"/>
          <w:color w:val="auto"/>
        </w:rPr>
      </w:pPr>
      <w:r>
        <w:rPr>
          <w:rFonts w:ascii="Arial" w:cs="Arial" w:eastAsia="Arial" w:hAnsi="Arial"/>
          <w:sz w:val="17"/>
          <w:szCs w:val="17"/>
          <w:b w:val="1"/>
          <w:bCs w:val="1"/>
          <w:color w:val="auto"/>
        </w:rPr>
        <w:t>Troubled Debt Restructurings</w:t>
      </w:r>
      <w:r>
        <w:rPr>
          <w:rFonts w:ascii="Arial" w:cs="Arial" w:eastAsia="Arial" w:hAnsi="Arial"/>
          <w:sz w:val="17"/>
          <w:szCs w:val="17"/>
          <w:color w:val="auto"/>
        </w:rPr>
        <w:t>—During the years ended December 31, 2013 and 2012, the Company modified loans that were determined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troubled debt restructurings. The recorded investment in these loans was impacted by the modifications as follows, presented by class ($ in thousands):</w:t>
      </w:r>
    </w:p>
    <w:p>
      <w:pPr>
        <w:spacing w:after="0" w:line="148" w:lineRule="exact"/>
        <w:rPr>
          <w:sz w:val="20"/>
          <w:szCs w:val="20"/>
          <w:color w:val="auto"/>
        </w:rPr>
      </w:pPr>
    </w:p>
    <w:tbl>
      <w:tblPr>
        <w:tblLayout w:type="fixed"/>
        <w:tblInd w:w="1660" w:type="dxa"/>
        <w:tblCellMar>
          <w:top w:w="0" w:type="dxa"/>
          <w:left w:w="0" w:type="dxa"/>
          <w:bottom w:w="0" w:type="dxa"/>
          <w:right w:w="0" w:type="dxa"/>
        </w:tblCellMar>
      </w:tblPr>
      <w:tr>
        <w:trPr>
          <w:trHeight w:val="192"/>
        </w:trPr>
        <w:tc>
          <w:tcPr>
            <w:tcW w:w="14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For the Years Ended December 31,</w:t>
            </w: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42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Pre-Modification</w:t>
            </w:r>
          </w:p>
        </w:tc>
        <w:tc>
          <w:tcPr>
            <w:tcW w:w="12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Post-</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Pre-Modification</w:t>
            </w:r>
          </w:p>
        </w:tc>
        <w:tc>
          <w:tcPr>
            <w:tcW w:w="140" w:type="dxa"/>
            <w:vAlign w:val="bottom"/>
          </w:tcPr>
          <w:p>
            <w:pPr>
              <w:spacing w:after="0"/>
              <w:rPr>
                <w:sz w:val="13"/>
                <w:szCs w:val="13"/>
                <w:color w:val="auto"/>
              </w:rPr>
            </w:pPr>
          </w:p>
        </w:tc>
        <w:tc>
          <w:tcPr>
            <w:tcW w:w="1000" w:type="dxa"/>
            <w:vAlign w:val="bottom"/>
          </w:tcPr>
          <w:p>
            <w:pPr>
              <w:jc w:val="center"/>
              <w:ind w:right="85"/>
              <w:spacing w:after="0" w:line="153" w:lineRule="exact"/>
              <w:rPr>
                <w:sz w:val="20"/>
                <w:szCs w:val="20"/>
                <w:color w:val="auto"/>
              </w:rPr>
            </w:pPr>
            <w:r>
              <w:rPr>
                <w:rFonts w:ascii="Arial" w:cs="Arial" w:eastAsia="Arial" w:hAnsi="Arial"/>
                <w:sz w:val="14"/>
                <w:szCs w:val="14"/>
                <w:b w:val="1"/>
                <w:bCs w:val="1"/>
                <w:color w:val="auto"/>
                <w:w w:val="91"/>
              </w:rPr>
              <w:t>Post-</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Modification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6"/>
              </w:rPr>
              <w:t>Modification</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40" w:type="dxa"/>
            <w:vAlign w:val="bottom"/>
          </w:tcPr>
          <w:p>
            <w:pPr>
              <w:spacing w:after="0"/>
              <w:rPr>
                <w:sz w:val="12"/>
                <w:szCs w:val="12"/>
                <w:color w:val="auto"/>
              </w:rPr>
            </w:pPr>
          </w:p>
        </w:tc>
        <w:tc>
          <w:tcPr>
            <w:tcW w:w="100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Recorded</w:t>
            </w: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Recorded</w:t>
            </w: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Recorded</w:t>
            </w:r>
          </w:p>
        </w:tc>
        <w:tc>
          <w:tcPr>
            <w:tcW w:w="140" w:type="dxa"/>
            <w:vAlign w:val="bottom"/>
          </w:tcPr>
          <w:p>
            <w:pPr>
              <w:spacing w:after="0"/>
              <w:rPr>
                <w:sz w:val="12"/>
                <w:szCs w:val="12"/>
                <w:color w:val="auto"/>
              </w:rPr>
            </w:pPr>
          </w:p>
        </w:tc>
        <w:tc>
          <w:tcPr>
            <w:tcW w:w="100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92"/>
        </w:trPr>
        <w:tc>
          <w:tcPr>
            <w:tcW w:w="14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of Loans</w:t>
            </w:r>
          </w:p>
        </w:tc>
        <w:tc>
          <w:tcPr>
            <w:tcW w:w="14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Investment</w:t>
            </w: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of Loans</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Investment</w:t>
            </w:r>
          </w:p>
        </w:tc>
        <w:tc>
          <w:tcPr>
            <w:tcW w:w="140" w:type="dxa"/>
            <w:vAlign w:val="bottom"/>
          </w:tcPr>
          <w:p>
            <w:pPr>
              <w:spacing w:after="0"/>
              <w:rPr>
                <w:sz w:val="16"/>
                <w:szCs w:val="16"/>
                <w:color w:val="auto"/>
              </w:rPr>
            </w:pPr>
          </w:p>
        </w:tc>
        <w:tc>
          <w:tcPr>
            <w:tcW w:w="1000" w:type="dxa"/>
            <w:vAlign w:val="bottom"/>
          </w:tcPr>
          <w:p>
            <w:pPr>
              <w:jc w:val="center"/>
              <w:ind w:right="85"/>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263"/>
        </w:trPr>
        <w:tc>
          <w:tcPr>
            <w:tcW w:w="1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Senior mortgages</w:t>
            </w:r>
          </w:p>
        </w:tc>
        <w:tc>
          <w:tcPr>
            <w:tcW w:w="8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179,030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8"/>
                <w:szCs w:val="18"/>
                <w:color w:val="auto"/>
              </w:rPr>
              <w:t>154,278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319,667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8"/>
                <w:szCs w:val="18"/>
                <w:color w:val="auto"/>
              </w:rPr>
              <w:t>272,753</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Troubled debt restructurings that occurred during the year ended December 31, 2013 included the modification of two performing loans with a combined recorded investment of $4.6 million. The modified terms of these loans granted maturity extensions of one year. In each case, the Company believes the borrowers can perform under the modified terms of the loans and continues to classify these loans as performing.</w:t>
      </w:r>
    </w:p>
    <w:p>
      <w:pPr>
        <w:spacing w:after="0" w:line="14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Non-performing loans with a combined investment of $174.5 million were also modified during the year ended December 31, 2013. Included in this balance were two loans with a combined recorded investment of $98.3 million in which the Company received $15.4 million of paydowns and accepted discounted payoff options on these loans, with final payments expected to be made in January 2014 and July 2014 and the loans were reclassified from non-performing to performing status as the Company believes the borrowers can perform under the modified terms of the agreements. The remaining loans were granted payoff option extensions ranging from one year to three years. These loans continued to be classified as non-performing subsequent to modification.</w:t>
      </w:r>
    </w:p>
    <w:p>
      <w:pPr>
        <w:spacing w:after="0" w:line="11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Troubled debt restructurings that occurred during the year ended December 31, 2012 included the modifications of performing loans with a combined recorded investment of $64.1 million. The modified terms of these loans granted maturity extensions ranging from one year to three years and included conditional extension options in certain cases dependent on borrower-specific performance hurdles. In each case, the Company believes the borrowers can perform under the modified terms of the loans and continues to classify these loans as performing.</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Non-performing loans with a combined recorded investment of $255.6 million were also modified during the year ended December 31, 2012 and continued to be classified as non-performing subsequent to modification. Included in this balance was a loan with a recorded investment of $181.5 million prior to modification, for which the Company agreed to reduce the outstanding principal balance and recorded charge-offs totaling $45.5 million, and also reduce the loan's interest rate. The remaining non-performing loans were granted maturity extensions ranging from one month to seven months and the interest rate was reduced on one loan.</w:t>
      </w:r>
    </w:p>
    <w:p>
      <w:pPr>
        <w:spacing w:after="0" w:line="18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Generally when granting concessions, the Company will seek to protect its position by requiring incremental pay downs, additional collateral or guarantees and in some cases lookback features or equity kickers to offset concessions granted should conditions impacting the loan improve. The Company's determination of credit losses is impacted by troubled debt restructurings whereby loans that have gone through troubled debt restructurings are considered impaired, assessed for specific reserves, and are not included in the Company's assessment of general loan loss reserves. Loans previously restructured under troubled debt restructurings that subsequently default are reassessed to incorporate the Company's current assumptions on expected cash flows and additional provision expense is recorded to the extent necessary. As of December 31, 2013, the Company had $13.3 million of unfunded commitments associated with modified loans considered troubled debt restructurings.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Troubled debt restructurings that subsequently defaulted during the period were as follows ($ in thousands):</w:t>
      </w:r>
    </w:p>
    <w:p>
      <w:pPr>
        <w:spacing w:after="0" w:line="163" w:lineRule="exact"/>
        <w:rPr>
          <w:sz w:val="20"/>
          <w:szCs w:val="20"/>
          <w:color w:val="auto"/>
        </w:rPr>
      </w:pPr>
    </w:p>
    <w:p>
      <w:pPr>
        <w:ind w:left="548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23495</wp:posOffset>
            </wp:positionV>
            <wp:extent cx="3129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103" w:lineRule="exact"/>
        <w:rPr>
          <w:sz w:val="20"/>
          <w:szCs w:val="20"/>
          <w:color w:val="auto"/>
        </w:rPr>
      </w:pPr>
    </w:p>
    <w:tbl>
      <w:tblPr>
        <w:tblLayout w:type="fixed"/>
        <w:tblInd w:w="2420" w:type="dxa"/>
        <w:tblCellMar>
          <w:top w:w="0" w:type="dxa"/>
          <w:left w:w="0" w:type="dxa"/>
          <w:bottom w:w="0" w:type="dxa"/>
          <w:right w:w="0" w:type="dxa"/>
        </w:tblCellMar>
      </w:tblPr>
      <w:tr>
        <w:trPr>
          <w:trHeight w:val="192"/>
        </w:trPr>
        <w:tc>
          <w:tcPr>
            <w:tcW w:w="16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2013</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2012</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660" w:type="dxa"/>
            <w:vAlign w:val="bottom"/>
          </w:tcPr>
          <w:p>
            <w:pPr>
              <w:spacing w:after="0"/>
              <w:rPr>
                <w:sz w:val="13"/>
                <w:szCs w:val="13"/>
                <w:color w:val="auto"/>
              </w:rPr>
            </w:pPr>
          </w:p>
        </w:tc>
        <w:tc>
          <w:tcPr>
            <w:tcW w:w="8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Outstanding</w:t>
            </w:r>
          </w:p>
        </w:tc>
        <w:tc>
          <w:tcPr>
            <w:tcW w:w="10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center"/>
              <w:ind w:right="164"/>
              <w:spacing w:after="0" w:line="153" w:lineRule="exact"/>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Recorded</w:t>
            </w: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w w:val="89"/>
              </w:rPr>
              <w:t>Recorded</w:t>
            </w:r>
          </w:p>
        </w:tc>
        <w:tc>
          <w:tcPr>
            <w:tcW w:w="0" w:type="dxa"/>
            <w:vAlign w:val="bottom"/>
          </w:tcPr>
          <w:p>
            <w:pPr>
              <w:spacing w:after="0"/>
              <w:rPr>
                <w:sz w:val="1"/>
                <w:szCs w:val="1"/>
                <w:color w:val="auto"/>
              </w:rPr>
            </w:pPr>
          </w:p>
        </w:tc>
      </w:tr>
      <w:tr>
        <w:trPr>
          <w:trHeight w:val="192"/>
        </w:trPr>
        <w:tc>
          <w:tcPr>
            <w:tcW w:w="16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w w:val="95"/>
              </w:rPr>
              <w:t>of Loans</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1"/>
              </w:rPr>
              <w:t>Investment</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of Loans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4"/>
              </w:rPr>
              <w:t>Investment</w:t>
            </w:r>
          </w:p>
        </w:tc>
        <w:tc>
          <w:tcPr>
            <w:tcW w:w="0" w:type="dxa"/>
            <w:vAlign w:val="bottom"/>
          </w:tcPr>
          <w:p>
            <w:pPr>
              <w:spacing w:after="0"/>
              <w:rPr>
                <w:sz w:val="1"/>
                <w:szCs w:val="1"/>
                <w:color w:val="auto"/>
              </w:rPr>
            </w:pPr>
          </w:p>
        </w:tc>
      </w:tr>
      <w:tr>
        <w:trPr>
          <w:trHeight w:val="263"/>
        </w:trPr>
        <w:tc>
          <w:tcPr>
            <w:tcW w:w="2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26,693</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18,511</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Securities</w:t>
      </w:r>
      <w:r>
        <w:rPr>
          <w:rFonts w:ascii="Arial" w:cs="Arial" w:eastAsia="Arial" w:hAnsi="Arial"/>
          <w:sz w:val="18"/>
          <w:szCs w:val="18"/>
          <w:color w:val="auto"/>
        </w:rPr>
        <w:t>—As of December 31, 2013, Other lending investments—securities includes the following ($ in thousands):</w:t>
      </w:r>
    </w:p>
    <w:p>
      <w:pPr>
        <w:spacing w:after="0" w:line="330"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Face Value</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Amortized Cost</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Net Unrealized</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Estimated Fair</w:t>
            </w: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Net Carrying Value</w:t>
            </w: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Basis</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Gain (Loss)</w:t>
            </w:r>
          </w:p>
        </w:tc>
        <w:tc>
          <w:tcPr>
            <w:tcW w:w="14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Available-for-Sale Securities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14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1,055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Held-to-Maturity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139,842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140,890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140,890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140,890</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140,897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141,945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141,927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141,927</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During the year ended December 31, 2013, the Company originated a mandatorily redeemable preferred equity investment, which has an initial term of three years with two 12-month extensions. At December 31, 2013, the Company's investment was $140.9 million and the unfunded commitment was $6.2 million. The investment is classified as a held-to-maturity debt security as the Company has the ability and intent to hold the investment until maturity.</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2013, the contractual maturities of the Company's securities were as follows ($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150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4"/>
                <w:szCs w:val="14"/>
                <w:b w:val="1"/>
                <w:bCs w:val="1"/>
                <w:color w:val="auto"/>
              </w:rPr>
              <w:t>Held-to-Maturity Securities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Available-for-Sale Securities</w:t>
            </w:r>
          </w:p>
        </w:tc>
      </w:tr>
      <w:tr>
        <w:trPr>
          <w:trHeight w:val="152"/>
        </w:trPr>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Amortized Cost</w:t>
            </w:r>
          </w:p>
        </w:tc>
        <w:tc>
          <w:tcPr>
            <w:tcW w:w="140" w:type="dxa"/>
            <w:vAlign w:val="bottom"/>
          </w:tcPr>
          <w:p>
            <w:pPr>
              <w:spacing w:after="0"/>
              <w:rPr>
                <w:sz w:val="13"/>
                <w:szCs w:val="13"/>
                <w:color w:val="auto"/>
              </w:rPr>
            </w:pPr>
          </w:p>
        </w:tc>
        <w:tc>
          <w:tcPr>
            <w:tcW w:w="12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Estimated Fair</w:t>
            </w:r>
          </w:p>
        </w:tc>
        <w:tc>
          <w:tcPr>
            <w:tcW w:w="120" w:type="dxa"/>
            <w:vAlign w:val="bottom"/>
          </w:tcPr>
          <w:p>
            <w:pPr>
              <w:spacing w:after="0"/>
              <w:rPr>
                <w:sz w:val="13"/>
                <w:szCs w:val="13"/>
                <w:color w:val="auto"/>
              </w:rPr>
            </w:pPr>
          </w:p>
        </w:tc>
        <w:tc>
          <w:tcPr>
            <w:tcW w:w="12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3"/>
                <w:szCs w:val="13"/>
                <w:color w:val="auto"/>
              </w:rPr>
            </w:pPr>
          </w:p>
        </w:tc>
        <w:tc>
          <w:tcPr>
            <w:tcW w:w="114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w w:val="97"/>
              </w:rPr>
              <w:t>Estimated Fair</w:t>
            </w:r>
          </w:p>
        </w:tc>
      </w:tr>
      <w:tr>
        <w:trPr>
          <w:trHeight w:val="192"/>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Basis</w:t>
            </w:r>
          </w:p>
        </w:tc>
        <w:tc>
          <w:tcPr>
            <w:tcW w:w="140" w:type="dxa"/>
            <w:vAlign w:val="bottom"/>
          </w:tcPr>
          <w:p>
            <w:pPr>
              <w:spacing w:after="0"/>
              <w:rPr>
                <w:sz w:val="16"/>
                <w:szCs w:val="16"/>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260" w:type="dxa"/>
            <w:vAlign w:val="bottom"/>
            <w:gridSpan w:val="2"/>
          </w:tcPr>
          <w:p>
            <w:pPr>
              <w:ind w:left="340"/>
              <w:spacing w:after="0"/>
              <w:rPr>
                <w:sz w:val="20"/>
                <w:szCs w:val="20"/>
                <w:color w:val="auto"/>
              </w:rPr>
            </w:pPr>
            <w:r>
              <w:rPr>
                <w:rFonts w:ascii="Arial" w:cs="Arial" w:eastAsia="Arial" w:hAnsi="Arial"/>
                <w:sz w:val="14"/>
                <w:szCs w:val="14"/>
                <w:b w:val="1"/>
                <w:bCs w:val="1"/>
                <w:color w:val="auto"/>
              </w:rPr>
              <w:t>Basis</w:t>
            </w:r>
          </w:p>
        </w:tc>
        <w:tc>
          <w:tcPr>
            <w:tcW w:w="140" w:type="dxa"/>
            <w:vAlign w:val="bottom"/>
          </w:tcPr>
          <w:p>
            <w:pPr>
              <w:spacing w:after="0"/>
              <w:rPr>
                <w:sz w:val="16"/>
                <w:szCs w:val="16"/>
                <w:color w:val="auto"/>
              </w:rPr>
            </w:pPr>
          </w:p>
        </w:tc>
        <w:tc>
          <w:tcPr>
            <w:tcW w:w="1140" w:type="dxa"/>
            <w:vAlign w:val="bottom"/>
          </w:tcPr>
          <w:p>
            <w:pPr>
              <w:jc w:val="right"/>
              <w:ind w:right="375"/>
              <w:spacing w:after="0"/>
              <w:rPr>
                <w:sz w:val="20"/>
                <w:szCs w:val="20"/>
                <w:color w:val="auto"/>
              </w:rPr>
            </w:pPr>
            <w:r>
              <w:rPr>
                <w:rFonts w:ascii="Arial" w:cs="Arial" w:eastAsia="Arial" w:hAnsi="Arial"/>
                <w:sz w:val="14"/>
                <w:szCs w:val="14"/>
                <w:b w:val="1"/>
                <w:bCs w:val="1"/>
                <w:color w:val="auto"/>
              </w:rPr>
              <w:t>Value</w:t>
            </w:r>
          </w:p>
        </w:tc>
      </w:tr>
      <w:tr>
        <w:trPr>
          <w:trHeight w:val="250"/>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Maturities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000" w:type="dxa"/>
            <w:vAlign w:val="bottom"/>
          </w:tcPr>
          <w:p>
            <w:pPr>
              <w:ind w:left="140"/>
              <w:spacing w:after="0"/>
              <w:rPr>
                <w:sz w:val="20"/>
                <w:szCs w:val="20"/>
                <w:color w:val="auto"/>
              </w:rPr>
            </w:pPr>
            <w:r>
              <w:rPr>
                <w:rFonts w:ascii="Arial" w:cs="Arial" w:eastAsia="Arial" w:hAnsi="Arial"/>
                <w:sz w:val="18"/>
                <w:szCs w:val="18"/>
                <w:color w:val="auto"/>
              </w:rPr>
              <w:t>Within one year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After one year through 5 years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140,890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43"/>
        </w:trPr>
        <w:tc>
          <w:tcPr>
            <w:tcW w:w="3000" w:type="dxa"/>
            <w:vAlign w:val="bottom"/>
          </w:tcPr>
          <w:p>
            <w:pPr>
              <w:ind w:left="140"/>
              <w:spacing w:after="0"/>
              <w:rPr>
                <w:sz w:val="20"/>
                <w:szCs w:val="20"/>
                <w:color w:val="auto"/>
              </w:rPr>
            </w:pPr>
            <w:r>
              <w:rPr>
                <w:rFonts w:ascii="Arial" w:cs="Arial" w:eastAsia="Arial" w:hAnsi="Arial"/>
                <w:sz w:val="18"/>
                <w:szCs w:val="18"/>
                <w:color w:val="auto"/>
              </w:rPr>
              <w:t>After 5 years through 10 years</w:t>
            </w:r>
          </w:p>
        </w:tc>
        <w:tc>
          <w:tcPr>
            <w:tcW w:w="1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After 10 years</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r>
      <w:tr>
        <w:trPr>
          <w:trHeight w:val="257"/>
        </w:trPr>
        <w:tc>
          <w:tcPr>
            <w:tcW w:w="3000" w:type="dxa"/>
            <w:vAlign w:val="bottom"/>
          </w:tcPr>
          <w:p>
            <w:pPr>
              <w:ind w:left="26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140,890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140,890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w:t>
            </w: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78"/>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6—Other Investments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other investments and its proportionate share of results from equity method investments were as follows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Carrying Value</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4"/>
              </w:rPr>
              <w:t>Equity in Earnings</w:t>
            </w: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50"/>
        </w:trPr>
        <w:tc>
          <w:tcPr>
            <w:tcW w:w="4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6"/>
          </w:tcPr>
          <w:p>
            <w:pPr>
              <w:jc w:val="center"/>
              <w:ind w:left="554"/>
              <w:spacing w:after="0"/>
              <w:rPr>
                <w:sz w:val="20"/>
                <w:szCs w:val="20"/>
                <w:color w:val="auto"/>
              </w:rPr>
            </w:pPr>
            <w:r>
              <w:rPr>
                <w:rFonts w:ascii="Arial" w:cs="Arial" w:eastAsia="Arial" w:hAnsi="Arial"/>
                <w:sz w:val="14"/>
                <w:szCs w:val="14"/>
                <w:b w:val="1"/>
                <w:bCs w:val="1"/>
                <w:color w:val="auto"/>
                <w:w w:val="93"/>
              </w:rPr>
              <w:t>For the Years Ended December 31,</w:t>
            </w:r>
          </w:p>
        </w:tc>
        <w:tc>
          <w:tcPr>
            <w:tcW w:w="940" w:type="dxa"/>
            <w:vAlign w:val="bottom"/>
            <w:tcBorders>
              <w:bottom w:val="single" w:sz="8" w:color="auto"/>
            </w:tcBorders>
          </w:tcPr>
          <w:p>
            <w:pPr>
              <w:spacing w:after="0"/>
              <w:rPr>
                <w:sz w:val="21"/>
                <w:szCs w:val="21"/>
                <w:color w:val="auto"/>
              </w:rPr>
            </w:pPr>
          </w:p>
        </w:tc>
      </w:tr>
      <w:tr>
        <w:trPr>
          <w:trHeight w:val="264"/>
        </w:trPr>
        <w:tc>
          <w:tcPr>
            <w:tcW w:w="4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83"/>
              </w:rPr>
              <w:t>2012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LNR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205,773</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60,669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53,861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Madison Funds</w:t>
            </w:r>
          </w:p>
        </w:tc>
        <w:tc>
          <w:tcPr>
            <w:tcW w:w="34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67,782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56,547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14,796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10,246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3,641</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Oak Hill Funds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21,366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5,844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1,918</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Real estate equity investments</w:t>
            </w:r>
          </w:p>
        </w:tc>
        <w:tc>
          <w:tcPr>
            <w:tcW w:w="34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62,205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47,619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2,753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21,636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(5,273)</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equity method investments(1)</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45,954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47,939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4,614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40,944</w:t>
            </w:r>
          </w:p>
        </w:tc>
      </w:tr>
      <w:tr>
        <w:trPr>
          <w:trHeight w:val="297"/>
        </w:trPr>
        <w:tc>
          <w:tcPr>
            <w:tcW w:w="4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equity method investments</w:t>
            </w:r>
          </w:p>
        </w:tc>
        <w:tc>
          <w:tcPr>
            <w:tcW w:w="340" w:type="dxa"/>
            <w:vAlign w:val="bottom"/>
            <w:tcBorders>
              <w:top w:val="single" w:sz="8" w:color="auto"/>
              <w:bottom w:val="single" w:sz="8" w:color="CCEEFF"/>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197,307</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CCEEFF"/>
            </w:tcBorders>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tcPr>
          <w:p>
            <w:pPr>
              <w:jc w:val="right"/>
              <w:ind w:right="12"/>
              <w:spacing w:after="0"/>
              <w:rPr>
                <w:sz w:val="20"/>
                <w:szCs w:val="20"/>
                <w:color w:val="auto"/>
              </w:rPr>
            </w:pPr>
            <w:r>
              <w:rPr>
                <w:rFonts w:ascii="Arial" w:cs="Arial" w:eastAsia="Arial" w:hAnsi="Arial"/>
                <w:sz w:val="18"/>
                <w:szCs w:val="18"/>
                <w:color w:val="auto"/>
              </w:rPr>
              <w:t>387,718</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41,520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103,009</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95,091</w:t>
            </w: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9,902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11,125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57"/>
        </w:trPr>
        <w:tc>
          <w:tcPr>
            <w:tcW w:w="4120" w:type="dxa"/>
            <w:vAlign w:val="bottom"/>
          </w:tcPr>
          <w:p>
            <w:pPr>
              <w:ind w:left="180"/>
              <w:spacing w:after="0"/>
              <w:rPr>
                <w:sz w:val="20"/>
                <w:szCs w:val="20"/>
                <w:color w:val="auto"/>
              </w:rPr>
            </w:pPr>
            <w:r>
              <w:rPr>
                <w:rFonts w:ascii="Arial" w:cs="Arial" w:eastAsia="Arial" w:hAnsi="Arial"/>
                <w:sz w:val="18"/>
                <w:szCs w:val="18"/>
                <w:color w:val="auto"/>
              </w:rPr>
              <w:t>Total other investments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207,209</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398,843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0"/>
        </w:trPr>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3"/>
          <w:szCs w:val="13"/>
          <w:color w:val="auto"/>
        </w:rPr>
      </w:pPr>
      <w:r>
        <w:rPr>
          <w:rFonts w:ascii="Arial" w:cs="Arial" w:eastAsia="Arial" w:hAnsi="Arial"/>
          <w:sz w:val="13"/>
          <w:szCs w:val="13"/>
          <w:color w:val="auto"/>
        </w:rPr>
        <w:t>For the year ended December 31, 2011, equity in earnings includes $38.4 million of earnings related to Oak Hill Advisors, L.P. and related entities that were sold in October 2011.</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LNR</w:t>
      </w:r>
      <w:r>
        <w:rPr>
          <w:rFonts w:ascii="Arial" w:cs="Arial" w:eastAsia="Arial" w:hAnsi="Arial"/>
          <w:sz w:val="17"/>
          <w:szCs w:val="17"/>
          <w:color w:val="auto"/>
        </w:rPr>
        <w:t>—In July 2010, the Company acquired an ownership interest of approximately 24% in LNR Property Corporation ("LNR"). LNR is a servicer</w:t>
      </w:r>
      <w:r>
        <w:rPr>
          <w:rFonts w:ascii="Arial" w:cs="Arial" w:eastAsia="Arial" w:hAnsi="Arial"/>
          <w:sz w:val="17"/>
          <w:szCs w:val="17"/>
          <w:b w:val="1"/>
          <w:bCs w:val="1"/>
          <w:color w:val="auto"/>
        </w:rPr>
        <w:t xml:space="preserve"> </w:t>
      </w:r>
      <w:r>
        <w:rPr>
          <w:rFonts w:ascii="Arial" w:cs="Arial" w:eastAsia="Arial" w:hAnsi="Arial"/>
          <w:sz w:val="17"/>
          <w:szCs w:val="17"/>
          <w:color w:val="auto"/>
        </w:rPr>
        <w:t>and special servicer of commercial mortgage loans and CMBS and a diversified real estate investment, finance and management company. In the transaction, the Company and a group of investors, including other creditors of LNR, acquired 100% of the common stock of LNR in exchange for cash and the extinguishment of existing senior notes of LNR's parent holding company (the "Holdco Notes"). The Company contributed $100.0 million aggregate principal amount of Holdco Notes and $100.0 million in cash in exchange for an equity interest of $120.0 million.</w:t>
      </w:r>
    </w:p>
    <w:p>
      <w:pPr>
        <w:spacing w:after="0" w:line="17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Beginning in September 2012, the Company and other owners of LNR entered into negotiations with potential purchasers of LNR. After an extensive due diligence and negotiation process, the LNR owners entered into a definitive contract to sell LNR in January 2013 at a fixed sale price which, from the Company's perspective, reflected in part the Company's then-current expectations about the future results of LNR and potential volatility in its business. The definitive sale contract provided that LNR would not make cash distributions to its owners during the fourth quarter of 2012 through the closing of the sale. Notwithstanding the fixed terms of the contract, our investment balance in LNR increased due to equity in earnings recorded which resulted in our recognition of other than temporary impairment on our investment during the year ended December 31, 2013. In April 2013, the Company completed the sale of its 24% equity interest in LNR and received $220.3 million in net proceeds. Approximately $25.2 million of net proceeds were placed in escrow for potential indemnification obligations through April 2014. The Company is not currently aware that any material indemnification claims are probable of occurring.</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investee level summarized financial information for LNR ($ in thousands)(1):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For the Period from</w:t>
            </w:r>
          </w:p>
        </w:tc>
        <w:tc>
          <w:tcPr>
            <w:tcW w:w="420" w:type="dxa"/>
            <w:vAlign w:val="bottom"/>
          </w:tcPr>
          <w:p>
            <w:pPr>
              <w:spacing w:after="0"/>
              <w:rPr>
                <w:sz w:val="14"/>
                <w:szCs w:val="14"/>
                <w:color w:val="auto"/>
              </w:rPr>
            </w:pPr>
          </w:p>
        </w:tc>
        <w:tc>
          <w:tcPr>
            <w:tcW w:w="2020" w:type="dxa"/>
            <w:vAlign w:val="bottom"/>
            <w:gridSpan w:val="3"/>
            <w:vMerge w:val="restart"/>
          </w:tcPr>
          <w:p>
            <w:pPr>
              <w:jc w:val="right"/>
              <w:ind w:right="190"/>
              <w:spacing w:after="0"/>
              <w:rPr>
                <w:sz w:val="20"/>
                <w:szCs w:val="20"/>
                <w:color w:val="auto"/>
              </w:rPr>
            </w:pPr>
            <w:r>
              <w:rPr>
                <w:rFonts w:ascii="Arial" w:cs="Arial" w:eastAsia="Arial" w:hAnsi="Arial"/>
                <w:sz w:val="14"/>
                <w:szCs w:val="14"/>
                <w:b w:val="1"/>
                <w:bCs w:val="1"/>
                <w:color w:val="auto"/>
              </w:rPr>
              <w:t>For the Years</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October 1, 2012 to April</w:t>
            </w:r>
          </w:p>
        </w:tc>
        <w:tc>
          <w:tcPr>
            <w:tcW w:w="42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2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September 30,</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20" w:type="dxa"/>
            <w:vAlign w:val="bottom"/>
            <w:tcBorders>
              <w:bottom w:val="single" w:sz="8" w:color="CCEEFF"/>
            </w:tcBorders>
          </w:tcPr>
          <w:p>
            <w:pPr>
              <w:spacing w:after="0"/>
              <w:rPr>
                <w:sz w:val="22"/>
                <w:szCs w:val="22"/>
                <w:color w:val="auto"/>
              </w:rPr>
            </w:pPr>
          </w:p>
        </w:tc>
        <w:tc>
          <w:tcPr>
            <w:tcW w:w="20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Statements</w:t>
            </w:r>
          </w:p>
        </w:tc>
        <w:tc>
          <w:tcPr>
            <w:tcW w:w="2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Total revenue(2)</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7"/>
              <w:spacing w:after="0"/>
              <w:rPr>
                <w:sz w:val="20"/>
                <w:szCs w:val="20"/>
                <w:color w:val="auto"/>
              </w:rPr>
            </w:pPr>
            <w:r>
              <w:rPr>
                <w:rFonts w:ascii="Arial" w:cs="Arial" w:eastAsia="Arial" w:hAnsi="Arial"/>
                <w:sz w:val="18"/>
                <w:szCs w:val="18"/>
                <w:color w:val="auto"/>
              </w:rPr>
              <w:t>179,373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7"/>
              <w:spacing w:after="0"/>
              <w:rPr>
                <w:sz w:val="20"/>
                <w:szCs w:val="20"/>
                <w:color w:val="auto"/>
              </w:rPr>
            </w:pPr>
            <w:r>
              <w:rPr>
                <w:rFonts w:ascii="Arial" w:cs="Arial" w:eastAsia="Arial" w:hAnsi="Arial"/>
                <w:sz w:val="18"/>
                <w:szCs w:val="18"/>
                <w:color w:val="auto"/>
              </w:rPr>
              <w:t>332,902</w:t>
            </w:r>
          </w:p>
        </w:tc>
        <w:tc>
          <w:tcPr>
            <w:tcW w:w="10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327,032</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benefit(3)</w:t>
            </w:r>
          </w:p>
        </w:tc>
        <w:tc>
          <w:tcPr>
            <w:tcW w:w="2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(6,731)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76,558</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Net income attributable to LNR(4)</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7"/>
              <w:spacing w:after="0"/>
              <w:rPr>
                <w:sz w:val="20"/>
                <w:szCs w:val="20"/>
                <w:color w:val="auto"/>
              </w:rPr>
            </w:pPr>
            <w:r>
              <w:rPr>
                <w:rFonts w:ascii="Arial" w:cs="Arial" w:eastAsia="Arial" w:hAnsi="Arial"/>
                <w:sz w:val="18"/>
                <w:szCs w:val="18"/>
                <w:color w:val="auto"/>
              </w:rPr>
              <w:t>113,478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7"/>
              <w:spacing w:after="0"/>
              <w:rPr>
                <w:sz w:val="20"/>
                <w:szCs w:val="20"/>
                <w:color w:val="auto"/>
              </w:rPr>
            </w:pPr>
            <w:r>
              <w:rPr>
                <w:rFonts w:ascii="Arial" w:cs="Arial" w:eastAsia="Arial" w:hAnsi="Arial"/>
                <w:sz w:val="18"/>
                <w:szCs w:val="18"/>
                <w:color w:val="auto"/>
              </w:rPr>
              <w:t>253,039</w:t>
            </w:r>
          </w:p>
        </w:tc>
        <w:tc>
          <w:tcPr>
            <w:tcW w:w="10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225,190</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iStar's ownership percentage</w:t>
            </w:r>
          </w:p>
        </w:tc>
        <w:tc>
          <w:tcPr>
            <w:tcW w:w="2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iStar's equity in earnings from LNR(5)</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7"/>
              <w:spacing w:after="0"/>
              <w:rPr>
                <w:sz w:val="20"/>
                <w:szCs w:val="20"/>
                <w:color w:val="auto"/>
              </w:rPr>
            </w:pPr>
            <w:r>
              <w:rPr>
                <w:rFonts w:ascii="Arial" w:cs="Arial" w:eastAsia="Arial" w:hAnsi="Arial"/>
                <w:sz w:val="18"/>
                <w:szCs w:val="18"/>
                <w:color w:val="auto"/>
              </w:rPr>
              <w:t>45,375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7"/>
              <w:spacing w:after="0"/>
              <w:rPr>
                <w:sz w:val="20"/>
                <w:szCs w:val="20"/>
                <w:color w:val="auto"/>
              </w:rPr>
            </w:pPr>
            <w:r>
              <w:rPr>
                <w:rFonts w:ascii="Arial" w:cs="Arial" w:eastAsia="Arial" w:hAnsi="Arial"/>
                <w:sz w:val="18"/>
                <w:szCs w:val="18"/>
                <w:color w:val="auto"/>
              </w:rPr>
              <w:t>60,669</w:t>
            </w:r>
          </w:p>
        </w:tc>
        <w:tc>
          <w:tcPr>
            <w:tcW w:w="10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53,861</w:t>
            </w:r>
          </w:p>
        </w:tc>
        <w:tc>
          <w:tcPr>
            <w:tcW w:w="0" w:type="dxa"/>
            <w:vAlign w:val="bottom"/>
          </w:tcPr>
          <w:p>
            <w:pPr>
              <w:spacing w:after="0"/>
              <w:rPr>
                <w:sz w:val="1"/>
                <w:szCs w:val="1"/>
                <w:color w:val="auto"/>
              </w:rPr>
            </w:pPr>
          </w:p>
        </w:tc>
      </w:tr>
      <w:tr>
        <w:trPr>
          <w:trHeight w:val="486"/>
        </w:trPr>
        <w:tc>
          <w:tcPr>
            <w:tcW w:w="4220" w:type="dxa"/>
            <w:vAlign w:val="bottom"/>
          </w:tcPr>
          <w:p>
            <w:pPr>
              <w:spacing w:after="0"/>
              <w:rPr>
                <w:sz w:val="24"/>
                <w:szCs w:val="24"/>
                <w:color w:val="auto"/>
              </w:rPr>
            </w:pPr>
          </w:p>
        </w:tc>
        <w:tc>
          <w:tcPr>
            <w:tcW w:w="2000" w:type="dxa"/>
            <w:vAlign w:val="bottom"/>
          </w:tcPr>
          <w:p>
            <w:pPr>
              <w:jc w:val="right"/>
              <w:ind w:right="330"/>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5"/>
              </w:rPr>
              <w:t>As of September 30,</w:t>
            </w:r>
          </w:p>
        </w:tc>
        <w:tc>
          <w:tcPr>
            <w:tcW w:w="1120" w:type="dxa"/>
            <w:vAlign w:val="bottom"/>
            <w:tcBorders>
              <w:bottom w:val="single" w:sz="8" w:color="auto"/>
            </w:tcBorders>
          </w:tcPr>
          <w:p>
            <w:pPr>
              <w:spacing w:after="0"/>
              <w:rPr>
                <w:sz w:val="16"/>
                <w:szCs w:val="16"/>
                <w:color w:val="auto"/>
              </w:rPr>
            </w:pPr>
          </w:p>
        </w:tc>
      </w:tr>
      <w:tr>
        <w:trPr>
          <w:trHeight w:val="264"/>
        </w:trPr>
        <w:tc>
          <w:tcPr>
            <w:tcW w:w="77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2012</w:t>
            </w: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Sheets</w:t>
            </w: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Total assets(2)</w:t>
            </w:r>
          </w:p>
        </w:tc>
        <w:tc>
          <w:tcPr>
            <w:tcW w:w="1140" w:type="dxa"/>
            <w:vAlign w:val="bottom"/>
          </w:tcPr>
          <w:p>
            <w:pPr>
              <w:jc w:val="right"/>
              <w:ind w:right="933"/>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98,513,452</w:t>
            </w:r>
          </w:p>
        </w:tc>
      </w:tr>
      <w:tr>
        <w:trPr>
          <w:trHeight w:val="27"/>
        </w:trPr>
        <w:tc>
          <w:tcPr>
            <w:tcW w:w="7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debt(2)</w:t>
            </w:r>
          </w:p>
        </w:tc>
        <w:tc>
          <w:tcPr>
            <w:tcW w:w="1140" w:type="dxa"/>
            <w:vAlign w:val="bottom"/>
            <w:tcBorders>
              <w:bottom w:val="single" w:sz="8" w:color="CCEEFF"/>
            </w:tcBorders>
            <w:shd w:val="clear" w:color="auto" w:fill="CCEEFF"/>
          </w:tcPr>
          <w:p>
            <w:pPr>
              <w:jc w:val="right"/>
              <w:ind w:right="93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97,521,520</w:t>
            </w: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Total liabilities(2)</w:t>
            </w:r>
          </w:p>
        </w:tc>
        <w:tc>
          <w:tcPr>
            <w:tcW w:w="1140" w:type="dxa"/>
            <w:vAlign w:val="bottom"/>
          </w:tcPr>
          <w:p>
            <w:pPr>
              <w:jc w:val="right"/>
              <w:ind w:right="933"/>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97,639,696</w:t>
            </w:r>
          </w:p>
        </w:tc>
      </w:tr>
      <w:tr>
        <w:trPr>
          <w:trHeight w:val="27"/>
        </w:trPr>
        <w:tc>
          <w:tcPr>
            <w:tcW w:w="7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1140" w:type="dxa"/>
            <w:vAlign w:val="bottom"/>
            <w:tcBorders>
              <w:bottom w:val="single" w:sz="8" w:color="CCEEFF"/>
            </w:tcBorders>
            <w:shd w:val="clear" w:color="auto" w:fill="CCEEFF"/>
          </w:tcPr>
          <w:p>
            <w:pPr>
              <w:jc w:val="right"/>
              <w:ind w:right="93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8,067</w:t>
            </w: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LNR Property LLC equity</w:t>
            </w:r>
          </w:p>
        </w:tc>
        <w:tc>
          <w:tcPr>
            <w:tcW w:w="1140" w:type="dxa"/>
            <w:vAlign w:val="bottom"/>
          </w:tcPr>
          <w:p>
            <w:pPr>
              <w:jc w:val="right"/>
              <w:ind w:right="933"/>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865,689</w:t>
            </w:r>
          </w:p>
        </w:tc>
      </w:tr>
      <w:tr>
        <w:trPr>
          <w:trHeight w:val="27"/>
        </w:trPr>
        <w:tc>
          <w:tcPr>
            <w:tcW w:w="7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iStar's ownership percentage</w:t>
            </w: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iStar's equity in LNR(6)</w:t>
            </w:r>
          </w:p>
        </w:tc>
        <w:tc>
          <w:tcPr>
            <w:tcW w:w="1140" w:type="dxa"/>
            <w:vAlign w:val="bottom"/>
          </w:tcPr>
          <w:p>
            <w:pPr>
              <w:jc w:val="right"/>
              <w:ind w:right="933"/>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205,773</w:t>
            </w:r>
          </w:p>
        </w:tc>
      </w:tr>
    </w:tbl>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For the Period from</w:t>
            </w:r>
          </w:p>
        </w:tc>
        <w:tc>
          <w:tcPr>
            <w:tcW w:w="420" w:type="dxa"/>
            <w:vAlign w:val="bottom"/>
          </w:tcPr>
          <w:p>
            <w:pPr>
              <w:spacing w:after="0"/>
              <w:rPr>
                <w:sz w:val="14"/>
                <w:szCs w:val="14"/>
                <w:color w:val="auto"/>
              </w:rPr>
            </w:pPr>
          </w:p>
        </w:tc>
        <w:tc>
          <w:tcPr>
            <w:tcW w:w="2020" w:type="dxa"/>
            <w:vAlign w:val="bottom"/>
            <w:gridSpan w:val="3"/>
            <w:vMerge w:val="restart"/>
          </w:tcPr>
          <w:p>
            <w:pPr>
              <w:jc w:val="right"/>
              <w:ind w:right="190"/>
              <w:spacing w:after="0"/>
              <w:rPr>
                <w:sz w:val="20"/>
                <w:szCs w:val="20"/>
                <w:color w:val="auto"/>
              </w:rPr>
            </w:pPr>
            <w:r>
              <w:rPr>
                <w:rFonts w:ascii="Arial" w:cs="Arial" w:eastAsia="Arial" w:hAnsi="Arial"/>
                <w:sz w:val="14"/>
                <w:szCs w:val="14"/>
                <w:b w:val="1"/>
                <w:bCs w:val="1"/>
                <w:color w:val="auto"/>
              </w:rPr>
              <w:t>For the Years</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20" w:type="dxa"/>
            <w:vAlign w:val="bottom"/>
          </w:tcPr>
          <w:p>
            <w:pPr>
              <w:spacing w:after="0"/>
              <w:rPr>
                <w:sz w:val="12"/>
                <w:szCs w:val="12"/>
                <w:color w:val="auto"/>
              </w:rPr>
            </w:pPr>
          </w:p>
        </w:tc>
        <w:tc>
          <w:tcPr>
            <w:tcW w:w="1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October 1, 2012 to April</w:t>
            </w:r>
          </w:p>
        </w:tc>
        <w:tc>
          <w:tcPr>
            <w:tcW w:w="42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September 30,</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Operating cash flows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(127,075)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(85,909)</w:t>
            </w:r>
          </w:p>
        </w:tc>
        <w:tc>
          <w:tcPr>
            <w:tcW w:w="10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170,703</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(36,543)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(55,686)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45,488</w:t>
            </w:r>
          </w:p>
        </w:tc>
        <w:tc>
          <w:tcPr>
            <w:tcW w:w="0" w:type="dxa"/>
            <w:vAlign w:val="bottom"/>
          </w:tcPr>
          <w:p>
            <w:pPr>
              <w:spacing w:after="0"/>
              <w:rPr>
                <w:sz w:val="1"/>
                <w:szCs w:val="1"/>
                <w:color w:val="auto"/>
              </w:rPr>
            </w:pP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95"/>
              <w:spacing w:after="0"/>
              <w:rPr>
                <w:sz w:val="20"/>
                <w:szCs w:val="20"/>
                <w:color w:val="auto"/>
              </w:rPr>
            </w:pPr>
            <w:r>
              <w:rPr>
                <w:rFonts w:ascii="Arial" w:cs="Arial" w:eastAsia="Arial" w:hAnsi="Arial"/>
                <w:sz w:val="18"/>
                <w:szCs w:val="18"/>
                <w:color w:val="auto"/>
              </w:rPr>
              <w:t>217,241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5"/>
              <w:spacing w:after="0"/>
              <w:rPr>
                <w:sz w:val="20"/>
                <w:szCs w:val="20"/>
                <w:color w:val="auto"/>
              </w:rPr>
            </w:pPr>
            <w:r>
              <w:rPr>
                <w:rFonts w:ascii="Arial" w:cs="Arial" w:eastAsia="Arial" w:hAnsi="Arial"/>
                <w:sz w:val="18"/>
                <w:szCs w:val="18"/>
                <w:color w:val="auto"/>
              </w:rPr>
              <w:t>229,634</w:t>
            </w:r>
          </w:p>
        </w:tc>
        <w:tc>
          <w:tcPr>
            <w:tcW w:w="10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(123,506)</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53,623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88,039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92,685</w:t>
            </w:r>
          </w:p>
        </w:tc>
        <w:tc>
          <w:tcPr>
            <w:tcW w:w="0" w:type="dxa"/>
            <w:vAlign w:val="bottom"/>
          </w:tcPr>
          <w:p>
            <w:pPr>
              <w:spacing w:after="0"/>
              <w:rPr>
                <w:sz w:val="1"/>
                <w:szCs w:val="1"/>
                <w:color w:val="auto"/>
              </w:rPr>
            </w:pP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Cash distributions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5"/>
              <w:spacing w:after="0"/>
              <w:rPr>
                <w:sz w:val="20"/>
                <w:szCs w:val="20"/>
                <w:color w:val="auto"/>
              </w:rPr>
            </w:pPr>
            <w:r>
              <w:rPr>
                <w:rFonts w:ascii="Arial" w:cs="Arial" w:eastAsia="Arial" w:hAnsi="Arial"/>
                <w:sz w:val="18"/>
                <w:szCs w:val="18"/>
                <w:color w:val="auto"/>
              </w:rPr>
              <w:t>61,179</w:t>
            </w:r>
          </w:p>
        </w:tc>
        <w:tc>
          <w:tcPr>
            <w:tcW w:w="10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73,916</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iStar's ownership percentage</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Cash distributions received by iStar</w:t>
            </w:r>
          </w:p>
        </w:tc>
        <w:tc>
          <w:tcPr>
            <w:tcW w:w="160" w:type="dxa"/>
            <w:vAlign w:val="bottom"/>
          </w:tcPr>
          <w:p>
            <w:pPr>
              <w:spacing w:after="0"/>
              <w:rPr>
                <w:sz w:val="21"/>
                <w:szCs w:val="21"/>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60" w:type="dxa"/>
            <w:vAlign w:val="bottom"/>
          </w:tcPr>
          <w:p>
            <w:pPr>
              <w:jc w:val="right"/>
              <w:ind w:right="115"/>
              <w:spacing w:after="0"/>
              <w:rPr>
                <w:sz w:val="20"/>
                <w:szCs w:val="20"/>
                <w:color w:val="auto"/>
              </w:rPr>
            </w:pPr>
            <w:r>
              <w:rPr>
                <w:rFonts w:ascii="Arial" w:cs="Arial" w:eastAsia="Arial" w:hAnsi="Arial"/>
                <w:sz w:val="18"/>
                <w:szCs w:val="18"/>
                <w:color w:val="auto"/>
              </w:rPr>
              <w:t>14,690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17,722</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660" w:hanging="652"/>
        <w:spacing w:after="0" w:line="247"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Company recorded its investment in LNR, which was sold in April 2013, on a one quarter lag, therefore, amounts in the Company's financial statements for the year ended December 31, 2013 are based on balances and results from LNR for the period from October 1, 2012 to April 19, 2013. The amounts in the Company's financial statements for the year ended December 31, 2012 and 2011 are based on balances and results from LNR for the years ended September 30, 2012 and 2011, respectively.</w:t>
      </w:r>
    </w:p>
    <w:p>
      <w:pPr>
        <w:spacing w:after="0" w:line="1" w:lineRule="exact"/>
        <w:rPr>
          <w:rFonts w:ascii="Arial" w:cs="Arial" w:eastAsia="Arial" w:hAnsi="Arial"/>
          <w:sz w:val="14"/>
          <w:szCs w:val="14"/>
          <w:color w:val="auto"/>
        </w:rPr>
      </w:pPr>
    </w:p>
    <w:p>
      <w:pPr>
        <w:jc w:val="both"/>
        <w:ind w:left="660" w:hanging="652"/>
        <w:spacing w:after="0" w:line="241"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LNR consolidates certain commercial mortgage-backed securities and collateralized debt obligation trusts that are considered VIEs (and for which it is the primary beneficiary), that have been included in the amounts presented above. As of September 30, 2012, the assets of these trusts, which aggregated $97.52 billion, were the sole source of repayment of the related liabilities, which aggregated $97.21 billion and are non-recourse to LNR and its equity holders, including the Company. Excluding the amounts related to VIEs, as of September 30, 2012, total assets were $1.38 billion , total debt was $398.9 million, and total liabilities were $517.1 million. In addition, total revenue presented above includes $55.5 million, $95.4 million, and $119.0 million for the period from October 1, 2012 to April 19, 2013 and for the years ended September 30, 2012 and 2011, respectively, of servicing fee revenue that is eliminated upon consolidation of the VIE's at the LNR level. This income is then added back through consolidation at the LNR level as an adjustment to income allocable to noncontrolling entities and has no net impact on net income attributable to LNR.</w:t>
      </w:r>
    </w:p>
    <w:p>
      <w:pPr>
        <w:spacing w:after="0" w:line="2" w:lineRule="exact"/>
        <w:rPr>
          <w:rFonts w:ascii="Arial" w:cs="Arial" w:eastAsia="Arial" w:hAnsi="Arial"/>
          <w:sz w:val="14"/>
          <w:szCs w:val="14"/>
          <w:color w:val="auto"/>
        </w:rPr>
      </w:pPr>
    </w:p>
    <w:p>
      <w:pPr>
        <w:ind w:left="660" w:hanging="652"/>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During the year ended December 31, 2011, LNR recorded an income tax benefit from the settlement of certain tax liabilities.</w:t>
      </w:r>
    </w:p>
    <w:p>
      <w:pPr>
        <w:spacing w:after="0" w:line="1" w:lineRule="exact"/>
        <w:rPr>
          <w:rFonts w:ascii="Arial" w:cs="Arial" w:eastAsia="Arial" w:hAnsi="Arial"/>
          <w:sz w:val="14"/>
          <w:szCs w:val="14"/>
          <w:color w:val="auto"/>
        </w:rPr>
      </w:pPr>
    </w:p>
    <w:p>
      <w:pPr>
        <w:jc w:val="both"/>
        <w:ind w:left="660" w:hanging="652"/>
        <w:spacing w:after="0" w:line="241"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Subsequent to the sale of the Company's interest in LNR, LNR reported a reduction in their earnings of $66.2 million related to a purchase price allocation adjustment. The reduction was reflected in LNR's operations for the three months ended March 31, 2013, which resulted in a net loss for the period. Because the Company recorded its investment in LNR on a one quarter lag, the adjustment was reflected in the quarter ended June 30, 2013. There was no net impact on the Company's previously reported equity in earnings as the Company limited its proportionate share of earnings from LNR as described above.</w:t>
      </w:r>
    </w:p>
    <w:p>
      <w:pPr>
        <w:spacing w:after="0" w:line="1" w:lineRule="exact"/>
        <w:rPr>
          <w:rFonts w:ascii="Arial" w:cs="Arial" w:eastAsia="Arial" w:hAnsi="Arial"/>
          <w:sz w:val="14"/>
          <w:szCs w:val="14"/>
          <w:color w:val="auto"/>
        </w:rPr>
      </w:pPr>
    </w:p>
    <w:p>
      <w:pPr>
        <w:jc w:val="both"/>
        <w:ind w:left="660" w:hanging="652"/>
        <w:spacing w:after="0" w:line="241"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LNR reported a net loss for the period from April 1, 2013 to April 19, 2013 which had already been considered in the Company's other than temporary impairment assessment. As such, no equity in earnings was recorded during the quarter ended September 30, 2013. The total equity in earnings recognized for LNR was $45.4 million for the year ended December 31, 2013.</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the Company's investment in LNR at December 31, 2013 and 2012, respectively.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reconciles the activity related to the Company's investment in LNR for the three months ended March 31, 2013 and June 30, 2013, the six months ended December 31, 2013 and for the year ended December 31, 2013 ($ in thousands):</w:t>
      </w:r>
    </w:p>
    <w:p>
      <w:pPr>
        <w:spacing w:after="0" w:line="271"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For the Three Months</w:t>
            </w:r>
          </w:p>
        </w:tc>
        <w:tc>
          <w:tcPr>
            <w:tcW w:w="15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For the Three Months</w:t>
            </w:r>
          </w:p>
        </w:tc>
        <w:tc>
          <w:tcPr>
            <w:tcW w:w="1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For the Six Months</w:t>
            </w:r>
          </w:p>
        </w:tc>
        <w:tc>
          <w:tcPr>
            <w:tcW w:w="142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rPr>
              <w:t>For the Year Ended</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Ended March 31,</w:t>
            </w:r>
          </w:p>
        </w:tc>
        <w:tc>
          <w:tcPr>
            <w:tcW w:w="1520" w:type="dxa"/>
            <w:vAlign w:val="bottom"/>
            <w:gridSpan w:val="3"/>
            <w:vMerge w:val="continue"/>
          </w:tcPr>
          <w:p>
            <w:pPr>
              <w:spacing w:after="0"/>
              <w:rPr>
                <w:sz w:val="12"/>
                <w:szCs w:val="12"/>
                <w:color w:val="auto"/>
              </w:rPr>
            </w:pPr>
          </w:p>
        </w:tc>
        <w:tc>
          <w:tcPr>
            <w:tcW w:w="15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Ended December 31,</w:t>
            </w:r>
          </w:p>
        </w:tc>
        <w:tc>
          <w:tcPr>
            <w:tcW w:w="14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7"/>
              </w:rPr>
              <w:t>Ended June 30, 2013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1"/>
              </w:rPr>
              <w:t>December 31, 2013</w:t>
            </w:r>
          </w:p>
        </w:tc>
        <w:tc>
          <w:tcPr>
            <w:tcW w:w="4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Carrying value of LNR at beginning of period</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205,773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220,281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205,773</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Equity in earnings of LNR for the period(1)</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45,375</w:t>
            </w:r>
          </w:p>
        </w:tc>
        <w:tc>
          <w:tcPr>
            <w:tcW w:w="12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45,375</w:t>
            </w:r>
          </w:p>
        </w:tc>
        <w:tc>
          <w:tcPr>
            <w:tcW w:w="440" w:type="dxa"/>
            <w:vAlign w:val="bottom"/>
          </w:tcPr>
          <w:p>
            <w:pPr>
              <w:ind w:left="1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before other than temporary impairment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251,148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220,281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251,148</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Other than temporary impairment(1)</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(30,867)</w:t>
            </w:r>
          </w:p>
        </w:tc>
        <w:tc>
          <w:tcPr>
            <w:tcW w:w="12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(30,867)</w:t>
            </w:r>
          </w:p>
        </w:tc>
        <w:tc>
          <w:tcPr>
            <w:tcW w:w="440" w:type="dxa"/>
            <w:vAlign w:val="bottom"/>
          </w:tcPr>
          <w:p>
            <w:pPr>
              <w:ind w:left="10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proceeds pursuant to contract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(220,281)</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Carrying value of LNR at end of period</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220,281</w:t>
            </w:r>
          </w:p>
        </w:tc>
        <w:tc>
          <w:tcPr>
            <w:tcW w:w="12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 w:lineRule="exact"/>
        <w:rPr>
          <w:sz w:val="20"/>
          <w:szCs w:val="20"/>
          <w:color w:val="auto"/>
        </w:rPr>
      </w:pPr>
    </w:p>
    <w:p>
      <w:pPr>
        <w:jc w:val="both"/>
        <w:ind w:left="660" w:hanging="652"/>
        <w:spacing w:after="0" w:line="246" w:lineRule="auto"/>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Subsequent to the sale of the Company's interest in LNR, LNR reported a reduction in their earnings of $66.2 million related to a purchase price allocation adjustment. The reduction was reflected in LNR's operations for the three months ended March 31, 2013, which resulted in a net loss for the period. Because the Company recorded its investment in LNR on a one quarter lag, the adjustment was reflected in the quarter ended June 30, 2013. There was no net impact on the Company's previously reported equity in earnings as the Company limited its proportionate share of earnings from LNR as described above.</w:t>
      </w:r>
    </w:p>
    <w:p>
      <w:pPr>
        <w:spacing w:after="0" w:line="143"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For the year ended December 31, 2013, the amount that was recognized as income in the Company's Consolidated Statements of Operations is the sum of items (a), (b) and $1.7 million of income recognized for the release of other comprehensive income related to LNR upon sale, or $16.5 million.</w:t>
      </w:r>
    </w:p>
    <w:p>
      <w:pPr>
        <w:spacing w:after="0" w:line="79"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b w:val="1"/>
          <w:bCs w:val="1"/>
          <w:color w:val="auto"/>
        </w:rPr>
        <w:t>Madison Funds</w:t>
      </w:r>
      <w:r>
        <w:rPr>
          <w:rFonts w:ascii="Arial" w:cs="Arial" w:eastAsia="Arial" w:hAnsi="Arial"/>
          <w:sz w:val="18"/>
          <w:szCs w:val="18"/>
          <w:color w:val="auto"/>
        </w:rPr>
        <w:t>—As of December 31, 2013, the Company owned a 29.52% interest in Madison International Real Estate Fund II, LP, a 32.92%</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in Madison International Real Estate Fund III, LP and a 29.52% interest in Madison GP1 Investors, LP (collectively, the "Madison Funds"). The Madison Funds invest in ownership positions of entities that own real estate assets. The Company determined that these entities are variable interest entities and that the Company is not the primary beneficiary.</w:t>
      </w:r>
    </w:p>
    <w:p>
      <w:pPr>
        <w:spacing w:after="0" w:line="99"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7"/>
          <w:szCs w:val="17"/>
          <w:b w:val="1"/>
          <w:bCs w:val="1"/>
          <w:color w:val="auto"/>
        </w:rPr>
        <w:t>Oak Hill Funds</w:t>
      </w:r>
      <w:r>
        <w:rPr>
          <w:rFonts w:ascii="Arial" w:cs="Arial" w:eastAsia="Arial" w:hAnsi="Arial"/>
          <w:sz w:val="17"/>
          <w:szCs w:val="17"/>
          <w:color w:val="auto"/>
        </w:rPr>
        <w:t>—As of December 31, 2013, the Company owned a 5.92% interest in OHA Strategic Credit Master Fund, L.P. ("OHASCF"). OHASCF</w:t>
      </w:r>
      <w:r>
        <w:rPr>
          <w:rFonts w:ascii="Arial" w:cs="Arial" w:eastAsia="Arial" w:hAnsi="Arial"/>
          <w:sz w:val="17"/>
          <w:szCs w:val="17"/>
          <w:b w:val="1"/>
          <w:bCs w:val="1"/>
          <w:color w:val="auto"/>
        </w:rPr>
        <w:t xml:space="preserve"> </w:t>
      </w:r>
      <w:r>
        <w:rPr>
          <w:rFonts w:ascii="Arial" w:cs="Arial" w:eastAsia="Arial" w:hAnsi="Arial"/>
          <w:sz w:val="17"/>
          <w:szCs w:val="17"/>
          <w:color w:val="auto"/>
        </w:rPr>
        <w:t>was formed to acquire and manage a diverse portfolio of assets, investing in distressed, stressed and undervalued loans, bonds, equities and other investments. The Company determined that this entity is a variable interest entity and that the Company is not the primary beneficiary.</w:t>
      </w:r>
    </w:p>
    <w:p>
      <w:pPr>
        <w:spacing w:after="0" w:line="77" w:lineRule="exact"/>
        <w:rPr>
          <w:sz w:val="20"/>
          <w:szCs w:val="20"/>
          <w:color w:val="auto"/>
        </w:rPr>
      </w:pPr>
    </w:p>
    <w:p>
      <w:pPr>
        <w:jc w:val="both"/>
        <w:ind w:firstLine="432"/>
        <w:spacing w:after="0" w:line="303" w:lineRule="auto"/>
        <w:rPr>
          <w:sz w:val="20"/>
          <w:szCs w:val="20"/>
          <w:color w:val="auto"/>
        </w:rPr>
      </w:pPr>
      <w:r>
        <w:rPr>
          <w:rFonts w:ascii="Arial" w:cs="Arial" w:eastAsia="Arial" w:hAnsi="Arial"/>
          <w:sz w:val="16"/>
          <w:szCs w:val="16"/>
          <w:b w:val="1"/>
          <w:bCs w:val="1"/>
          <w:color w:val="auto"/>
        </w:rPr>
        <w:t>Real estate equity investments</w:t>
      </w:r>
      <w:r>
        <w:rPr>
          <w:rFonts w:ascii="Arial" w:cs="Arial" w:eastAsia="Arial" w:hAnsi="Arial"/>
          <w:sz w:val="16"/>
          <w:szCs w:val="16"/>
          <w:color w:val="auto"/>
        </w:rPr>
        <w:t>—During the year ended December 31, 2013, the Company sold land for net proceeds of $21.4 million to a newly</w:t>
      </w:r>
      <w:r>
        <w:rPr>
          <w:rFonts w:ascii="Arial" w:cs="Arial" w:eastAsia="Arial" w:hAnsi="Arial"/>
          <w:sz w:val="16"/>
          <w:szCs w:val="16"/>
          <w:b w:val="1"/>
          <w:bCs w:val="1"/>
          <w:color w:val="auto"/>
        </w:rPr>
        <w:t xml:space="preserve"> </w:t>
      </w:r>
      <w:r>
        <w:rPr>
          <w:rFonts w:ascii="Arial" w:cs="Arial" w:eastAsia="Arial" w:hAnsi="Arial"/>
          <w:sz w:val="16"/>
          <w:szCs w:val="16"/>
          <w:color w:val="auto"/>
        </w:rPr>
        <w:t>formed unconsolidated entity in which the Company had a preferred partnership interest and a 47.5% equity interest. The Company's proportionate share of the assets retained on a carryover basis on the date of sale was $10.6 million. The Company held a preferred partnership interest of $6.6 million, which was repaid and no longer outstanding at December 31, 2013. As of December 31, 2013, the Company had a recorded equity interest of $5.5 million.</w:t>
      </w:r>
    </w:p>
    <w:p>
      <w:pPr>
        <w:spacing w:after="0" w:line="15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year ended December 31, 2013, the Company contributed land to a newly formed unconsolidated entity in which the Company received an equity interest of 75.6%. As of December 31, 2013, the Company had a recorded equity interest of $18.0 million. In addition, during the year ended December 31, 2013, the Company contributed land to a newly formed unconsolidated entity in which the Company also received a 50.0% equity interest. As of December 31, 2013, the Company had a recorded equity interest of $3.5 million.</w:t>
      </w:r>
    </w:p>
    <w:p>
      <w:pPr>
        <w:spacing w:after="0" w:line="18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addition, as of December 31, 2013, the Company's other real estate equity investments included equity interests in real estate ventures ranging from 31% to 70%, comprised of investments of $16.4 million in net lease assets, $16.0 million in operating properties and $2.7 million in land assets. As of December 31, 2012, the Company's real estate equity investments included $16.4 million in net lease assets, $25.7 million in operating properties and $5.5 million in land assets. One of the Company's equity investments in operating properties represents a 33% interest in residential property units. During the years ended December 31, 2013 and 2012, the Company's earnings from its interest in this property includes income from sales of residential units of $4.7 million and $26.0 million, respectively.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b w:val="1"/>
          <w:bCs w:val="1"/>
          <w:color w:val="auto"/>
        </w:rPr>
        <w:t>Oak Hill Advisors</w:t>
      </w:r>
      <w:r>
        <w:rPr>
          <w:rFonts w:ascii="Arial" w:cs="Arial" w:eastAsia="Arial" w:hAnsi="Arial"/>
          <w:sz w:val="18"/>
          <w:szCs w:val="18"/>
          <w:color w:val="auto"/>
        </w:rPr>
        <w:t>—In October 2011, the Company sold a substantial portion of its interests in Oak Hill Advisors, L.P. and related entities for $183.7</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of net cash proceeds, which resulted in a net gain of $30.3 million that was recorded in "Earnings from equity method investments" on the Company's Consolidated Statements of Operations. Glenn R. August, a former director of the Company and the president and senior partner of Oak Hill Advisors, L.P., participated in the transaction as a purchaser. In conjunction with the sale of its interests in Oak Hill Advisors, L.P., the Company retained interests in its share of certain unearned incentive fees of various funds. These fees are contingent on the future performance of the funds and the Company will recognize income related to these fees if and when the amounts are realized.</w:t>
      </w:r>
    </w:p>
    <w:p>
      <w:pPr>
        <w:spacing w:after="0" w:line="242" w:lineRule="exact"/>
        <w:rPr>
          <w:sz w:val="20"/>
          <w:szCs w:val="20"/>
          <w:color w:val="auto"/>
        </w:rPr>
      </w:pPr>
    </w:p>
    <w:p>
      <w:pPr>
        <w:jc w:val="both"/>
        <w:ind w:right="20" w:firstLine="432"/>
        <w:spacing w:after="0" w:line="282" w:lineRule="auto"/>
        <w:rPr>
          <w:sz w:val="20"/>
          <w:szCs w:val="20"/>
          <w:color w:val="auto"/>
        </w:rPr>
      </w:pPr>
      <w:r>
        <w:rPr>
          <w:rFonts w:ascii="Arial" w:cs="Arial" w:eastAsia="Arial" w:hAnsi="Arial"/>
          <w:sz w:val="18"/>
          <w:szCs w:val="18"/>
          <w:b w:val="1"/>
          <w:bCs w:val="1"/>
          <w:color w:val="auto"/>
        </w:rPr>
        <w:t>Other investments</w:t>
      </w:r>
      <w:r>
        <w:rPr>
          <w:rFonts w:ascii="Arial" w:cs="Arial" w:eastAsia="Arial" w:hAnsi="Arial"/>
          <w:sz w:val="18"/>
          <w:szCs w:val="18"/>
          <w:color w:val="auto"/>
        </w:rPr>
        <w:t>—The Company also had smaller investments in real estate related funds and other strategic investments in several other entities</w:t>
      </w:r>
      <w:r>
        <w:rPr>
          <w:rFonts w:ascii="Arial" w:cs="Arial" w:eastAsia="Arial" w:hAnsi="Arial"/>
          <w:sz w:val="18"/>
          <w:szCs w:val="18"/>
          <w:b w:val="1"/>
          <w:bCs w:val="1"/>
          <w:color w:val="auto"/>
        </w:rPr>
        <w:t xml:space="preserve"> </w:t>
      </w:r>
      <w:r>
        <w:rPr>
          <w:rFonts w:ascii="Arial" w:cs="Arial" w:eastAsia="Arial" w:hAnsi="Arial"/>
          <w:sz w:val="18"/>
          <w:szCs w:val="18"/>
          <w:color w:val="auto"/>
        </w:rPr>
        <w:t>that were accounted for under the equity method or cost method.</w:t>
      </w:r>
    </w:p>
    <w:p>
      <w:pPr>
        <w:spacing w:after="0" w:line="216"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Summarized financial information</w:t>
      </w:r>
      <w:r>
        <w:rPr>
          <w:rFonts w:ascii="Arial" w:cs="Arial" w:eastAsia="Arial" w:hAnsi="Arial"/>
          <w:sz w:val="18"/>
          <w:szCs w:val="18"/>
          <w:color w:val="auto"/>
        </w:rPr>
        <w:t>—The following table presents the investee level summarized financial information of the Company's equity</w:t>
      </w:r>
      <w:r>
        <w:rPr>
          <w:rFonts w:ascii="Arial" w:cs="Arial" w:eastAsia="Arial" w:hAnsi="Arial"/>
          <w:sz w:val="18"/>
          <w:szCs w:val="18"/>
          <w:b w:val="1"/>
          <w:bCs w:val="1"/>
          <w:color w:val="auto"/>
        </w:rPr>
        <w:t xml:space="preserve"> </w:t>
      </w:r>
      <w:r>
        <w:rPr>
          <w:rFonts w:ascii="Arial" w:cs="Arial" w:eastAsia="Arial" w:hAnsi="Arial"/>
          <w:sz w:val="18"/>
          <w:szCs w:val="18"/>
          <w:color w:val="auto"/>
        </w:rPr>
        <w:t>method investments, excluding LNR ($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11"/>
          </w:tcPr>
          <w:p>
            <w:pPr>
              <w:jc w:val="right"/>
              <w:ind w:right="60"/>
              <w:spacing w:after="0"/>
              <w:rPr>
                <w:sz w:val="20"/>
                <w:szCs w:val="20"/>
                <w:color w:val="auto"/>
              </w:rPr>
            </w:pPr>
            <w:r>
              <w:rPr>
                <w:rFonts w:ascii="Arial" w:cs="Arial" w:eastAsia="Arial" w:hAnsi="Arial"/>
                <w:sz w:val="14"/>
                <w:szCs w:val="14"/>
                <w:b w:val="1"/>
                <w:bCs w:val="1"/>
                <w:color w:val="auto"/>
                <w:w w:val="95"/>
              </w:rPr>
              <w:t>For the Years Ended December 31,</w:t>
            </w: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70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Statements</w:t>
            </w:r>
          </w:p>
        </w:tc>
        <w:tc>
          <w:tcPr>
            <w:tcW w:w="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48"/>
              <w:spacing w:after="0"/>
              <w:rPr>
                <w:sz w:val="20"/>
                <w:szCs w:val="20"/>
                <w:color w:val="auto"/>
              </w:rPr>
            </w:pPr>
            <w:r>
              <w:rPr>
                <w:rFonts w:ascii="Arial" w:cs="Arial" w:eastAsia="Arial" w:hAnsi="Arial"/>
                <w:sz w:val="18"/>
                <w:szCs w:val="18"/>
                <w:color w:val="auto"/>
              </w:rPr>
              <w:t>284,513</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401,870</w:t>
            </w: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198,340</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parent entities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206,198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304,960</w:t>
            </w:r>
          </w:p>
        </w:tc>
        <w:tc>
          <w:tcPr>
            <w:tcW w:w="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97,066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399"/>
        </w:trPr>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708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Sheets</w:t>
            </w:r>
          </w:p>
        </w:tc>
        <w:tc>
          <w:tcPr>
            <w:tcW w:w="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21"/>
                <w:szCs w:val="21"/>
                <w:color w:val="auto"/>
              </w:rPr>
            </w:pPr>
          </w:p>
        </w:tc>
        <w:tc>
          <w:tcPr>
            <w:tcW w:w="1060" w:type="dxa"/>
            <w:vAlign w:val="bottom"/>
            <w:gridSpan w:val="3"/>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2,980,737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2,758,889</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303,100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170,997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21"/>
                <w:szCs w:val="21"/>
                <w:color w:val="auto"/>
              </w:rPr>
            </w:pPr>
          </w:p>
        </w:tc>
        <w:tc>
          <w:tcPr>
            <w:tcW w:w="1060" w:type="dxa"/>
            <w:vAlign w:val="bottom"/>
            <w:gridSpan w:val="3"/>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333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2,253</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2,677,304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2,585,639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432"/>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Note 7—Other Assets and Other Liabilities</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w w:val="94"/>
              </w:rPr>
              <w:t>Deferred expenses and other assets, net, consist of the following items ($ in thousands):</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708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net(1)</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100,652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69,134</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34,655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11,517</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financing fees, net(2)</w:t>
            </w:r>
          </w:p>
        </w:tc>
        <w:tc>
          <w:tcPr>
            <w:tcW w:w="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33,591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26,629</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Leasing costs, net(3)</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21,799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20,205</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furniture, fixtures and equipment, net(4)</w:t>
            </w:r>
          </w:p>
        </w:tc>
        <w:tc>
          <w:tcPr>
            <w:tcW w:w="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6,557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7,537</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40,726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28,102</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expenses and other assets, net</w:t>
            </w:r>
          </w:p>
        </w:tc>
        <w:tc>
          <w:tcPr>
            <w:tcW w:w="3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237,980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163,124</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660" w:hanging="652"/>
        <w:spacing w:after="0" w:line="245" w:lineRule="auto"/>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Intangible assets, net are primarily related to the acquisition of real estate assets. Accumulated amortization on intangible assets was $38.1 million and $51.5 million as of December 31, 2013 and 2012, respectively. The amortization of above market leases decreased operating lease income on the Company's Consolidated Statements of Operations by $7.0 million, $5.8 million and $2.7 million for the years ended December 31, 2013, 2012 and 2011, respectively. The total amortization expense for intangible assets was $8.2 million, $7.0 million and $7.7 million for the years ended December 31, 2013, 2012 and 2011, respectively. These amounts are included in “Depreciation and amortization” on the Company's Consolidated Statements of Operations.</w:t>
      </w:r>
    </w:p>
    <w:p>
      <w:pPr>
        <w:ind w:left="660" w:hanging="652"/>
        <w:spacing w:after="0"/>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Accumulated amortization on deferred financing fees was $9.9 million and $4.1 million as of December 31, 2013 and 2012, respectively.</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Accumulated amortization on leasing costs was $7.1 million and $6.6 million as of December 31, 2013 and 2012, respectively.</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Accumulated depreciation on corporate furniture, fixtures and equipment was $6.2 million and $6.2 million as of December 31, 2013 and 2012, respectively.</w:t>
      </w:r>
    </w:p>
    <w:p>
      <w:pPr>
        <w:sectPr>
          <w:pgSz w:w="11900" w:h="16838" w:orient="portrait"/>
          <w:cols w:equalWidth="0" w:num="1">
            <w:col w:w="11420"/>
          </w:cols>
          <w:pgMar w:left="240" w:top="122" w:right="239"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2" w:right="239" w:bottom="1440" w:gutter="0" w:footer="0" w:header="0"/>
          <w:type w:val="continuous"/>
        </w:sectPr>
      </w:pPr>
    </w:p>
    <w:bookmarkStart w:id="75" w:name="page76"/>
    <w:bookmarkEnd w:id="75"/>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payable, accrued expenses and other liabilities consist of the following items ($ in thousands):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86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2012</w:t>
            </w: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58,840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50,467</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Accrued interest payable</w:t>
            </w:r>
          </w:p>
        </w:tc>
        <w:tc>
          <w:tcPr>
            <w:tcW w:w="10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40,015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29,521</w:t>
            </w:r>
          </w:p>
        </w:tc>
      </w:tr>
      <w:tr>
        <w:trPr>
          <w:trHeight w:val="27"/>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liabilities, net(1)</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26,223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9,210</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0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45,753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52,472</w:t>
            </w:r>
          </w:p>
        </w:tc>
      </w:tr>
      <w:tr>
        <w:trPr>
          <w:trHeight w:val="27"/>
        </w:trPr>
        <w:tc>
          <w:tcPr>
            <w:tcW w:w="7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86"/>
              </w:rPr>
              <w:t>170,831</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141,670</w:t>
            </w:r>
          </w:p>
        </w:tc>
      </w:tr>
      <w:tr>
        <w:trPr>
          <w:trHeight w:val="20"/>
        </w:trPr>
        <w:tc>
          <w:tcPr>
            <w:tcW w:w="7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660" w:hanging="652"/>
        <w:spacing w:after="0" w:line="257" w:lineRule="auto"/>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Intangible liabilities, net are primarily related to the acquisition of real estate assets. Accumulated amortization on intangible liabilities was $4.6 million and $2.2 million as of December 31, 2013 and 2012, respectively. The amortization of intangible liabilities increased operating lease income on the Company's Consolidated Statements of Operations by $2.8 million, $1.4 million and $0.6 million for the years ended December 31, 2013, 2012 and 2011, respectively.</w:t>
      </w:r>
    </w:p>
    <w:p>
      <w:pPr>
        <w:spacing w:after="0" w:line="185" w:lineRule="exact"/>
        <w:rPr>
          <w:sz w:val="20"/>
          <w:szCs w:val="20"/>
          <w:color w:val="auto"/>
        </w:rPr>
      </w:pPr>
    </w:p>
    <w:p>
      <w:pPr>
        <w:ind w:right="20" w:firstLine="405"/>
        <w:spacing w:after="0" w:line="282" w:lineRule="auto"/>
        <w:rPr>
          <w:sz w:val="20"/>
          <w:szCs w:val="20"/>
          <w:color w:val="auto"/>
        </w:rPr>
      </w:pPr>
      <w:r>
        <w:rPr>
          <w:rFonts w:ascii="Arial" w:cs="Arial" w:eastAsia="Arial" w:hAnsi="Arial"/>
          <w:sz w:val="18"/>
          <w:szCs w:val="18"/>
          <w:b w:val="1"/>
          <w:bCs w:val="1"/>
          <w:color w:val="auto"/>
        </w:rPr>
        <w:t>Intangible assets and liabilities—</w:t>
      </w:r>
      <w:r>
        <w:rPr>
          <w:rFonts w:ascii="Arial" w:cs="Arial" w:eastAsia="Arial" w:hAnsi="Arial"/>
          <w:sz w:val="18"/>
          <w:szCs w:val="18"/>
          <w:color w:val="auto"/>
        </w:rPr>
        <w:t>The estimated aggregate amortization costs for each of the five succeeding fiscal years are as follows ($ in</w:t>
      </w:r>
      <w:r>
        <w:rPr>
          <w:rFonts w:ascii="Arial" w:cs="Arial" w:eastAsia="Arial" w:hAnsi="Arial"/>
          <w:sz w:val="18"/>
          <w:szCs w:val="18"/>
          <w:b w:val="1"/>
          <w:bCs w:val="1"/>
          <w:color w:val="auto"/>
        </w:rPr>
        <w:t xml:space="preserve"> </w:t>
      </w:r>
      <w:r>
        <w:rPr>
          <w:rFonts w:ascii="Arial" w:cs="Arial" w:eastAsia="Arial" w:hAnsi="Arial"/>
          <w:sz w:val="18"/>
          <w:szCs w:val="18"/>
          <w:color w:val="auto"/>
        </w:rPr>
        <w:t>thousands):</w:t>
      </w:r>
    </w:p>
    <w:p>
      <w:pPr>
        <w:spacing w:after="0" w:line="99" w:lineRule="exact"/>
        <w:rPr>
          <w:sz w:val="20"/>
          <w:szCs w:val="20"/>
          <w:color w:val="auto"/>
        </w:rPr>
      </w:pPr>
    </w:p>
    <w:tbl>
      <w:tblPr>
        <w:tblLayout w:type="fixed"/>
        <w:tblInd w:w="2420" w:type="dxa"/>
        <w:tblCellMar>
          <w:top w:w="0" w:type="dxa"/>
          <w:left w:w="0" w:type="dxa"/>
          <w:bottom w:w="0" w:type="dxa"/>
          <w:right w:w="0" w:type="dxa"/>
        </w:tblCellMar>
      </w:tblPr>
      <w:tr>
        <w:trPr>
          <w:trHeight w:val="270"/>
        </w:trPr>
        <w:tc>
          <w:tcPr>
            <w:tcW w:w="180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w w:val="94"/>
              </w:rPr>
              <w:t>2014</w:t>
            </w:r>
          </w:p>
        </w:tc>
        <w:tc>
          <w:tcPr>
            <w:tcW w:w="36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10,530</w:t>
            </w:r>
          </w:p>
        </w:tc>
      </w:tr>
      <w:tr>
        <w:trPr>
          <w:trHeight w:val="243"/>
        </w:trPr>
        <w:tc>
          <w:tcPr>
            <w:tcW w:w="1800" w:type="dxa"/>
            <w:vAlign w:val="bottom"/>
          </w:tcPr>
          <w:p>
            <w:pPr>
              <w:jc w:val="right"/>
              <w:ind w:right="1310"/>
              <w:spacing w:after="0"/>
              <w:rPr>
                <w:sz w:val="20"/>
                <w:szCs w:val="20"/>
                <w:color w:val="auto"/>
              </w:rPr>
            </w:pPr>
            <w:r>
              <w:rPr>
                <w:rFonts w:ascii="Arial" w:cs="Arial" w:eastAsia="Arial" w:hAnsi="Arial"/>
                <w:sz w:val="18"/>
                <w:szCs w:val="18"/>
                <w:color w:val="auto"/>
                <w:w w:val="94"/>
              </w:rPr>
              <w:t>2015</w:t>
            </w:r>
          </w:p>
        </w:tc>
        <w:tc>
          <w:tcPr>
            <w:tcW w:w="36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7,886</w:t>
            </w:r>
          </w:p>
        </w:tc>
      </w:tr>
      <w:tr>
        <w:trPr>
          <w:trHeight w:val="27"/>
        </w:trPr>
        <w:tc>
          <w:tcPr>
            <w:tcW w:w="18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1800" w:type="dxa"/>
            <w:vAlign w:val="bottom"/>
            <w:tcBorders>
              <w:bottom w:val="single" w:sz="8" w:color="CCEEFF"/>
            </w:tcBorders>
            <w:shd w:val="clear" w:color="auto" w:fill="CCEEFF"/>
          </w:tcPr>
          <w:p>
            <w:pPr>
              <w:jc w:val="right"/>
              <w:ind w:right="1310"/>
              <w:spacing w:after="0"/>
              <w:rPr>
                <w:sz w:val="20"/>
                <w:szCs w:val="20"/>
                <w:color w:val="auto"/>
              </w:rPr>
            </w:pPr>
            <w:r>
              <w:rPr>
                <w:rFonts w:ascii="Arial" w:cs="Arial" w:eastAsia="Arial" w:hAnsi="Arial"/>
                <w:sz w:val="18"/>
                <w:szCs w:val="18"/>
                <w:color w:val="auto"/>
                <w:w w:val="94"/>
              </w:rPr>
              <w:t>2016</w:t>
            </w:r>
          </w:p>
        </w:tc>
        <w:tc>
          <w:tcPr>
            <w:tcW w:w="36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7,122</w:t>
            </w:r>
          </w:p>
        </w:tc>
      </w:tr>
      <w:tr>
        <w:trPr>
          <w:trHeight w:val="243"/>
        </w:trPr>
        <w:tc>
          <w:tcPr>
            <w:tcW w:w="1800" w:type="dxa"/>
            <w:vAlign w:val="bottom"/>
          </w:tcPr>
          <w:p>
            <w:pPr>
              <w:jc w:val="right"/>
              <w:ind w:right="1310"/>
              <w:spacing w:after="0"/>
              <w:rPr>
                <w:sz w:val="20"/>
                <w:szCs w:val="20"/>
                <w:color w:val="auto"/>
              </w:rPr>
            </w:pPr>
            <w:r>
              <w:rPr>
                <w:rFonts w:ascii="Arial" w:cs="Arial" w:eastAsia="Arial" w:hAnsi="Arial"/>
                <w:sz w:val="18"/>
                <w:szCs w:val="18"/>
                <w:color w:val="auto"/>
                <w:w w:val="94"/>
              </w:rPr>
              <w:t>2017</w:t>
            </w:r>
          </w:p>
        </w:tc>
        <w:tc>
          <w:tcPr>
            <w:tcW w:w="36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6,145</w:t>
            </w:r>
          </w:p>
        </w:tc>
      </w:tr>
      <w:tr>
        <w:trPr>
          <w:trHeight w:val="27"/>
        </w:trPr>
        <w:tc>
          <w:tcPr>
            <w:tcW w:w="18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1800" w:type="dxa"/>
            <w:vAlign w:val="bottom"/>
            <w:tcBorders>
              <w:bottom w:val="single" w:sz="8" w:color="CCEEFF"/>
            </w:tcBorders>
            <w:shd w:val="clear" w:color="auto" w:fill="CCEEFF"/>
          </w:tcPr>
          <w:p>
            <w:pPr>
              <w:jc w:val="right"/>
              <w:ind w:right="1310"/>
              <w:spacing w:after="0"/>
              <w:rPr>
                <w:sz w:val="20"/>
                <w:szCs w:val="20"/>
                <w:color w:val="auto"/>
              </w:rPr>
            </w:pPr>
            <w:r>
              <w:rPr>
                <w:rFonts w:ascii="Arial" w:cs="Arial" w:eastAsia="Arial" w:hAnsi="Arial"/>
                <w:sz w:val="18"/>
                <w:szCs w:val="18"/>
                <w:color w:val="auto"/>
                <w:w w:val="94"/>
              </w:rPr>
              <w:t>2018</w:t>
            </w:r>
          </w:p>
        </w:tc>
        <w:tc>
          <w:tcPr>
            <w:tcW w:w="36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4,295</w:t>
            </w:r>
          </w:p>
        </w:tc>
      </w:tr>
      <w:tr>
        <w:trPr>
          <w:trHeight w:val="891"/>
        </w:trPr>
        <w:tc>
          <w:tcPr>
            <w:tcW w:w="1800" w:type="dxa"/>
            <w:vAlign w:val="bottom"/>
          </w:tcPr>
          <w:p>
            <w:pPr>
              <w:spacing w:after="0"/>
              <w:rPr>
                <w:sz w:val="24"/>
                <w:szCs w:val="24"/>
                <w:color w:val="auto"/>
              </w:rPr>
            </w:pPr>
          </w:p>
        </w:tc>
        <w:tc>
          <w:tcPr>
            <w:tcW w:w="3660" w:type="dxa"/>
            <w:vAlign w:val="bottom"/>
          </w:tcPr>
          <w:p>
            <w:pPr>
              <w:jc w:val="right"/>
              <w:ind w:right="1990"/>
              <w:spacing w:after="0"/>
              <w:rPr>
                <w:sz w:val="20"/>
                <w:szCs w:val="20"/>
                <w:color w:val="auto"/>
              </w:rPr>
            </w:pPr>
            <w:r>
              <w:rPr>
                <w:rFonts w:ascii="Arial" w:cs="Arial" w:eastAsia="Arial" w:hAnsi="Arial"/>
                <w:sz w:val="18"/>
                <w:szCs w:val="18"/>
                <w:color w:val="auto"/>
              </w:rPr>
              <w:t>71</w:t>
            </w: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 Obligations,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2013 and 2012, the Company's debt obligations were as follows ($ in thousands):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w w:val="99"/>
              </w:rPr>
              <w:t>Carrying Value as of December 31,</w:t>
            </w:r>
          </w:p>
        </w:tc>
        <w:tc>
          <w:tcPr>
            <w:tcW w:w="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1780" w:type="dxa"/>
            <w:vAlign w:val="bottom"/>
          </w:tcPr>
          <w:p>
            <w:pPr>
              <w:jc w:val="right"/>
              <w:ind w:right="615"/>
              <w:spacing w:after="0" w:line="139" w:lineRule="exact"/>
              <w:rPr>
                <w:sz w:val="20"/>
                <w:szCs w:val="20"/>
                <w:color w:val="auto"/>
              </w:rPr>
            </w:pPr>
            <w:r>
              <w:rPr>
                <w:rFonts w:ascii="Arial" w:cs="Arial" w:eastAsia="Arial" w:hAnsi="Arial"/>
                <w:sz w:val="14"/>
                <w:szCs w:val="14"/>
                <w:b w:val="1"/>
                <w:bCs w:val="1"/>
                <w:color w:val="auto"/>
              </w:rPr>
              <w:t>Stated</w:t>
            </w:r>
          </w:p>
        </w:tc>
        <w:tc>
          <w:tcPr>
            <w:tcW w:w="440" w:type="dxa"/>
            <w:vAlign w:val="bottom"/>
          </w:tcPr>
          <w:p>
            <w:pPr>
              <w:spacing w:after="0"/>
              <w:rPr>
                <w:sz w:val="12"/>
                <w:szCs w:val="12"/>
                <w:color w:val="auto"/>
              </w:rPr>
            </w:pPr>
          </w:p>
        </w:tc>
        <w:tc>
          <w:tcPr>
            <w:tcW w:w="17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0"/>
              </w:rPr>
              <w:t>Scheduled</w:t>
            </w:r>
          </w:p>
        </w:tc>
        <w:tc>
          <w:tcPr>
            <w:tcW w:w="0" w:type="dxa"/>
            <w:vAlign w:val="bottom"/>
          </w:tcPr>
          <w:p>
            <w:pPr>
              <w:spacing w:after="0"/>
              <w:rPr>
                <w:sz w:val="1"/>
                <w:szCs w:val="1"/>
                <w:color w:val="auto"/>
              </w:rPr>
            </w:pPr>
          </w:p>
        </w:tc>
      </w:tr>
      <w:tr>
        <w:trPr>
          <w:trHeight w:val="192"/>
        </w:trPr>
        <w:tc>
          <w:tcPr>
            <w:tcW w:w="43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Interest Rates</w:t>
            </w:r>
          </w:p>
        </w:tc>
        <w:tc>
          <w:tcPr>
            <w:tcW w:w="4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Secured credit facilities and term loans: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2012 Tranche A-1 Facility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169,164</w:t>
            </w:r>
          </w:p>
        </w:tc>
        <w:tc>
          <w:tcPr>
            <w:tcW w:w="120" w:type="dxa"/>
            <w:vAlign w:val="bottom"/>
          </w:tcPr>
          <w:p>
            <w:pPr>
              <w:spacing w:after="0"/>
              <w:rPr>
                <w:sz w:val="21"/>
                <w:szCs w:val="21"/>
                <w:color w:val="auto"/>
              </w:rPr>
            </w:pPr>
          </w:p>
        </w:tc>
        <w:tc>
          <w:tcPr>
            <w:tcW w:w="1780" w:type="dxa"/>
            <w:vAlign w:val="bottom"/>
          </w:tcPr>
          <w:p>
            <w:pPr>
              <w:jc w:val="right"/>
              <w:ind w:right="95"/>
              <w:spacing w:after="0"/>
              <w:rPr>
                <w:sz w:val="20"/>
                <w:szCs w:val="20"/>
                <w:color w:val="auto"/>
              </w:rPr>
            </w:pPr>
            <w:r>
              <w:rPr>
                <w:rFonts w:ascii="Arial" w:cs="Arial" w:eastAsia="Arial" w:hAnsi="Arial"/>
                <w:sz w:val="18"/>
                <w:szCs w:val="18"/>
                <w:color w:val="auto"/>
              </w:rPr>
              <w:t>LIBOR + 4.00%</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w w:val="99"/>
              </w:rPr>
              <w:t>(1)</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2012 Tranche A-2 Facility</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431,475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470,000</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LIBOR + 5.75%</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(1)</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2017</w:t>
            </w:r>
          </w:p>
        </w:tc>
        <w:tc>
          <w:tcPr>
            <w:tcW w:w="0" w:type="dxa"/>
            <w:vAlign w:val="bottom"/>
          </w:tcPr>
          <w:p>
            <w:pPr>
              <w:spacing w:after="0"/>
              <w:rPr>
                <w:sz w:val="1"/>
                <w:szCs w:val="1"/>
                <w:color w:val="auto"/>
              </w:rPr>
            </w:pP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October 2012 Secured Credit Facility</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1,754,466</w:t>
            </w:r>
          </w:p>
        </w:tc>
        <w:tc>
          <w:tcPr>
            <w:tcW w:w="120" w:type="dxa"/>
            <w:vAlign w:val="bottom"/>
          </w:tcPr>
          <w:p>
            <w:pPr>
              <w:spacing w:after="0"/>
              <w:rPr>
                <w:sz w:val="21"/>
                <w:szCs w:val="21"/>
                <w:color w:val="auto"/>
              </w:rPr>
            </w:pPr>
          </w:p>
        </w:tc>
        <w:tc>
          <w:tcPr>
            <w:tcW w:w="1780" w:type="dxa"/>
            <w:vAlign w:val="bottom"/>
          </w:tcPr>
          <w:p>
            <w:pPr>
              <w:jc w:val="right"/>
              <w:ind w:right="95"/>
              <w:spacing w:after="0"/>
              <w:rPr>
                <w:sz w:val="20"/>
                <w:szCs w:val="20"/>
                <w:color w:val="auto"/>
              </w:rPr>
            </w:pPr>
            <w:r>
              <w:rPr>
                <w:rFonts w:ascii="Arial" w:cs="Arial" w:eastAsia="Arial" w:hAnsi="Arial"/>
                <w:sz w:val="18"/>
                <w:szCs w:val="18"/>
                <w:color w:val="auto"/>
              </w:rPr>
              <w:t>LIBOR + 4.50%</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w w:val="99"/>
              </w:rPr>
              <w:t>(2)</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February 2013 Secured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1,379,407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LIBOR + 3.50%</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(3)</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October 2017</w:t>
            </w:r>
          </w:p>
        </w:tc>
        <w:tc>
          <w:tcPr>
            <w:tcW w:w="0" w:type="dxa"/>
            <w:vAlign w:val="bottom"/>
          </w:tcPr>
          <w:p>
            <w:pPr>
              <w:spacing w:after="0"/>
              <w:rPr>
                <w:sz w:val="1"/>
                <w:szCs w:val="1"/>
                <w:color w:val="auto"/>
              </w:rPr>
            </w:pP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Term loans collateralized by net lease assets</w:t>
            </w: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278,817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264,432</w:t>
            </w:r>
          </w:p>
        </w:tc>
        <w:tc>
          <w:tcPr>
            <w:tcW w:w="1900" w:type="dxa"/>
            <w:vAlign w:val="bottom"/>
            <w:gridSpan w:val="2"/>
          </w:tcPr>
          <w:p>
            <w:pPr>
              <w:jc w:val="right"/>
              <w:ind w:right="95"/>
              <w:spacing w:after="0"/>
              <w:rPr>
                <w:sz w:val="20"/>
                <w:szCs w:val="20"/>
                <w:color w:val="auto"/>
              </w:rPr>
            </w:pPr>
            <w:r>
              <w:rPr>
                <w:rFonts w:ascii="Arial" w:cs="Arial" w:eastAsia="Arial" w:hAnsi="Arial"/>
                <w:sz w:val="18"/>
                <w:szCs w:val="18"/>
                <w:color w:val="auto"/>
              </w:rPr>
              <w:t>4.851% - 7.26%</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w w:val="99"/>
              </w:rPr>
              <w:t>(4)</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Various through 2026</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secured credit facilities and term loans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2,089,699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2,658,062</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Unsecured notes: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8.625% senior notes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96,801</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5.95% senior notes</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448,453</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5.95%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5.70% 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200,601</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6.05% senior notes</w:t>
            </w: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105,765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105,765</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6.05%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6"/>
              </w:rPr>
              <w:t>April 2015</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5.875% 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261,403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261,403</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2016</w:t>
            </w:r>
          </w:p>
        </w:tc>
        <w:tc>
          <w:tcPr>
            <w:tcW w:w="0" w:type="dxa"/>
            <w:vAlign w:val="bottom"/>
          </w:tcPr>
          <w:p>
            <w:pPr>
              <w:spacing w:after="0"/>
              <w:rPr>
                <w:sz w:val="1"/>
                <w:szCs w:val="1"/>
                <w:color w:val="auto"/>
              </w:rPr>
            </w:pP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3.875% senior notes</w:t>
            </w: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265,000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3.875%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July 2016</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3.0% senior convertible notes(5)</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200,000</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November 2016</w:t>
            </w:r>
          </w:p>
        </w:tc>
        <w:tc>
          <w:tcPr>
            <w:tcW w:w="0" w:type="dxa"/>
            <w:vAlign w:val="bottom"/>
          </w:tcPr>
          <w:p>
            <w:pPr>
              <w:spacing w:after="0"/>
              <w:rPr>
                <w:sz w:val="1"/>
                <w:szCs w:val="1"/>
                <w:color w:val="auto"/>
              </w:rPr>
            </w:pP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1.50% senior convertible notes(6)</w:t>
            </w: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November 2016</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5.85% 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99,722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99,722</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2017</w:t>
            </w:r>
          </w:p>
        </w:tc>
        <w:tc>
          <w:tcPr>
            <w:tcW w:w="0" w:type="dxa"/>
            <w:vAlign w:val="bottom"/>
          </w:tcPr>
          <w:p>
            <w:pPr>
              <w:spacing w:after="0"/>
              <w:rPr>
                <w:sz w:val="1"/>
                <w:szCs w:val="1"/>
                <w:color w:val="auto"/>
              </w:rPr>
            </w:pP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9.0% senior notes</w:t>
            </w: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275,000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275,000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June 2017</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7.125% 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7.125%</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February 2018</w:t>
            </w:r>
          </w:p>
        </w:tc>
        <w:tc>
          <w:tcPr>
            <w:tcW w:w="0" w:type="dxa"/>
            <w:vAlign w:val="bottom"/>
          </w:tcPr>
          <w:p>
            <w:pPr>
              <w:spacing w:after="0"/>
              <w:rPr>
                <w:sz w:val="1"/>
                <w:szCs w:val="1"/>
                <w:color w:val="auto"/>
              </w:rPr>
            </w:pP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4.875% senior notes</w:t>
            </w: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4.875%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July 2018</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unsecured notes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2,006,890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1,987,745</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Other debt obligations: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debt obligations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LIBOR + 1.50%</w:t>
            </w:r>
          </w:p>
        </w:tc>
        <w:tc>
          <w:tcPr>
            <w:tcW w:w="4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October 2035</w:t>
            </w:r>
          </w:p>
        </w:tc>
        <w:tc>
          <w:tcPr>
            <w:tcW w:w="0" w:type="dxa"/>
            <w:vAlign w:val="bottom"/>
          </w:tcPr>
          <w:p>
            <w:pPr>
              <w:spacing w:after="0"/>
              <w:rPr>
                <w:sz w:val="1"/>
                <w:szCs w:val="1"/>
                <w:color w:val="auto"/>
              </w:rPr>
            </w:pPr>
          </w:p>
        </w:tc>
      </w:tr>
      <w:tr>
        <w:trPr>
          <w:trHeight w:val="237"/>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Total debt obligations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4,196,589</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4,745,807</w:t>
            </w: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discounts, net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(38,464)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(54,313)</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Total debt obligations,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4,158,125</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4,691,494</w:t>
            </w:r>
          </w:p>
        </w:tc>
        <w:tc>
          <w:tcPr>
            <w:tcW w:w="1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These loans each have a LIBOR floor of 1.25%. As of December 31, 2013, inclusive of the floor, the 2012 Tranche A-2 Facility loan incurred interest at a rate of 7.00%.</w:t>
      </w:r>
    </w:p>
    <w:p>
      <w:pPr>
        <w:spacing w:after="0" w:line="13" w:lineRule="exact"/>
        <w:rPr>
          <w:rFonts w:ascii="Arial" w:cs="Arial" w:eastAsia="Arial" w:hAnsi="Arial"/>
          <w:sz w:val="14"/>
          <w:szCs w:val="14"/>
          <w:color w:val="auto"/>
        </w:rPr>
      </w:pPr>
    </w:p>
    <w:p>
      <w:pPr>
        <w:ind w:left="660" w:hanging="652"/>
        <w:spacing w:after="0"/>
        <w:tabs>
          <w:tab w:leader="none" w:pos="6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This loan has a LIBOR floor of 1.25%.</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This loan has a LIBOR floor of 1.00%. As of December 31, 2013, inclusive of the floor, the February 2013 Secured Credit Facility incurred interest at a rate of 4.50%.</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a loan with a floating rate of LIBOR plus 2.00% and a loan with a floating rate of LIBOR plus 2.75%.</w:t>
      </w:r>
    </w:p>
    <w:p>
      <w:pPr>
        <w:spacing w:after="0" w:line="1" w:lineRule="exact"/>
        <w:rPr>
          <w:rFonts w:ascii="Arial" w:cs="Arial" w:eastAsia="Arial" w:hAnsi="Arial"/>
          <w:sz w:val="14"/>
          <w:szCs w:val="14"/>
          <w:color w:val="auto"/>
        </w:rPr>
      </w:pPr>
    </w:p>
    <w:p>
      <w:pPr>
        <w:ind w:left="660" w:hanging="652"/>
        <w:spacing w:after="0" w:line="241" w:lineRule="auto"/>
        <w:tabs>
          <w:tab w:leader="none" w:pos="6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Company's 3.0% senior convertible fixed rate notes due November 2016 ("3.0% Convertible Notes") are convertible at the option of the holders, into 85.0 shares per $1,000 principal amount of 3.0% Convertible Notes, at any time prior to the close of business on November 14, 2016.</w:t>
      </w:r>
    </w:p>
    <w:p>
      <w:pPr>
        <w:ind w:left="660" w:hanging="652"/>
        <w:spacing w:after="0" w:line="255" w:lineRule="auto"/>
        <w:tabs>
          <w:tab w:leader="none" w:pos="6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Company's 1.50% senior convertible fixed rate notes due November 2016 ("1.50% Convertible Notes") are convertible at the option of the holders, into 57.8 shares per $1,000 principal amount of 1.50% Convertible Notes, at any time prior to the close of business on November 14, 2016.</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06"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b w:val="1"/>
          <w:bCs w:val="1"/>
          <w:color w:val="auto"/>
        </w:rPr>
        <w:t>Future Scheduled Maturities</w:t>
      </w:r>
      <w:r>
        <w:rPr>
          <w:rFonts w:ascii="Arial" w:cs="Arial" w:eastAsia="Arial" w:hAnsi="Arial"/>
          <w:sz w:val="18"/>
          <w:szCs w:val="18"/>
          <w:color w:val="auto"/>
        </w:rPr>
        <w:t>—As of December 31, 2013, future scheduled maturities of outstanding long-term debt obligations are as follows ($ in</w:t>
      </w:r>
      <w:r>
        <w:rPr>
          <w:rFonts w:ascii="Arial" w:cs="Arial" w:eastAsia="Arial" w:hAnsi="Arial"/>
          <w:sz w:val="18"/>
          <w:szCs w:val="18"/>
          <w:b w:val="1"/>
          <w:bCs w:val="1"/>
          <w:color w:val="auto"/>
        </w:rPr>
        <w:t xml:space="preserve"> </w:t>
      </w:r>
      <w:r>
        <w:rPr>
          <w:rFonts w:ascii="Arial" w:cs="Arial" w:eastAsia="Arial" w:hAnsi="Arial"/>
          <w:sz w:val="18"/>
          <w:szCs w:val="18"/>
          <w:color w:val="auto"/>
        </w:rPr>
        <w:t>thousands):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Unsecured Debt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Secured Debt</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Total</w:t>
            </w: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21,657</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105,765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105,765</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926,403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926,403</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374,722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1,810,882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2,185,604</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617,052</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240,108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340,108</w:t>
            </w:r>
          </w:p>
        </w:tc>
      </w:tr>
      <w:tr>
        <w:trPr>
          <w:trHeight w:val="27"/>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principal maturities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2,106,890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2,089,699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4,196,589</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Unamortized debt discounts, net</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(11,081)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(27,383)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(38,464)</w:t>
            </w:r>
          </w:p>
        </w:tc>
      </w:tr>
      <w:tr>
        <w:trPr>
          <w:trHeight w:val="27"/>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obligations,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2,095,809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2,062,316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4,158,125</w:t>
            </w:r>
          </w:p>
        </w:tc>
      </w:tr>
      <w:tr>
        <w:trPr>
          <w:trHeight w:val="20"/>
        </w:trPr>
        <w:tc>
          <w:tcPr>
            <w:tcW w:w="6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b w:val="1"/>
          <w:bCs w:val="1"/>
          <w:color w:val="auto"/>
        </w:rPr>
        <w:t>February 2013 Secured Credit Facility</w:t>
      </w:r>
      <w:r>
        <w:rPr>
          <w:rFonts w:ascii="Arial" w:cs="Arial" w:eastAsia="Arial" w:hAnsi="Arial"/>
          <w:sz w:val="18"/>
          <w:szCs w:val="18"/>
          <w:color w:val="auto"/>
        </w:rPr>
        <w:t>—On February 11, 2013, the Company entered into a $1.71 billion senior secured credit facility due October</w:t>
      </w:r>
      <w:r>
        <w:rPr>
          <w:rFonts w:ascii="Arial" w:cs="Arial" w:eastAsia="Arial" w:hAnsi="Arial"/>
          <w:sz w:val="18"/>
          <w:szCs w:val="18"/>
          <w:b w:val="1"/>
          <w:bCs w:val="1"/>
          <w:color w:val="auto"/>
        </w:rPr>
        <w:t xml:space="preserve"> </w:t>
      </w:r>
      <w:r>
        <w:rPr>
          <w:rFonts w:ascii="Arial" w:cs="Arial" w:eastAsia="Arial" w:hAnsi="Arial"/>
          <w:sz w:val="18"/>
          <w:szCs w:val="18"/>
          <w:color w:val="auto"/>
        </w:rPr>
        <w:t>15, 2017 (the “February 2013 Secured Credit Facility”) that amended and restated its $1.82 billion senior secured credit facility, dated October 15, 2012 (the “October 2012 Secured Credit Facility”). The February 2013 Credit Facility amended the October 2012 Secured Credit Facility by: (i) reducing the interest rate from LIBOR plus 4.50%, with a 1.25% LIBOR floor, to LIBOR plus 3.50%, with a 1.00% LIBOR floor; and (ii) extending the call protection period for the lenders from October 15, 2013 to December 31, 2013.</w:t>
      </w:r>
    </w:p>
    <w:p>
      <w:pPr>
        <w:spacing w:after="0" w:line="14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Borrowings under the February 2013 Secured Credit Facility are collateralized by a first lien on a fixed pool of assets, with required minimum collateral coverage of not less than 125% of outstanding borrowings. If collateral coverage is less than 137.5% of outstanding borrowings, 100% of the proceeds from principal repayments and sales of collateral will be applied to repay outstanding borrowings under the February 2013 Secured Credit Facility. For so long as collateral coverage is between 137.5% and 150% of outstanding borrowings, 50% of proceeds from principal repayments and sales of collateral will be applied to repay outstanding borrowings under the February 2013 Secured Credit Facility and for so long as collateral coverage is greater than 150% of outstanding borrowings, the Company may retain all proceeds from principal repayments and sales of collateral. The Company retains proceeds from interest, rent, lease payments and fee income in all cases.</w:t>
      </w:r>
    </w:p>
    <w:p>
      <w:pPr>
        <w:spacing w:after="0" w:line="13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connection with the February 2013 Secured Credit Facility transaction, the Company incurred $17.1 million of lender fees, of which $14.4 million was capitalized in "Debt Obligations, net" on the Company's Consolidated Balance Sheets and $2.7 million was recorded as a loss in "Gain (loss) on early extinguishment of debt, net" on the Company's Consolidated Statements of Operations as it related to the lenders who did not participate in the new facility. The Company also incurred $3.8 million in third party fees, of which $3.6 million was recognized in “Other expense” on the Company's Consolidated Statements of Operations, as it related primarily to those lenders from the original facility that modified their debt under the new facility, and $0.2 million was recorded in “Deferred expenses and other assets, net” on the Company's Consolidated Balance Sheets, as it related to the new lenders.</w:t>
      </w:r>
    </w:p>
    <w:p>
      <w:pPr>
        <w:spacing w:after="0" w:line="12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February 2013 Secured Credit Facility contains certain covenants relating to the collateral, among other matters, but does not contain corporate level financial covenants. For so long as the Company maintains its qualification as a REIT, it is permitted to distribute 100% of its REIT taxable income on an annual basis. In addition, the Company may distribute to its stockholders real estate assets, or interests therein, having an aggregate equity value not to exceed $200 million, that are not collateral securing the borrowings under the February 2013 Secured Credit Facility. Except for the distribution of real estate assets described in the preceding sentence, the Company may not pay common dividends if it ceases to qualify as a REIT.</w:t>
      </w:r>
    </w:p>
    <w:p>
      <w:pPr>
        <w:spacing w:after="0" w:line="11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Through December 31, 2013, the Company has made cumulative amortization repayments of $327.6 million on the February 2013 Secured Credit Facility bringing the outstanding balance to $1.38 billion. Repayments of the February 2013 Secured Credit Facility prior to the scheduled maturity date have resulted in losses on early extinguishment of debt of $7.0 million for the year ended December 31, 2013 related to the accelerated amortization of discounts and unamortized deferred financing fees on the portion of the facility that was repaid.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06"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October 2012 Secured Credit Facility</w:t>
      </w:r>
      <w:r>
        <w:rPr>
          <w:rFonts w:ascii="Arial" w:cs="Arial" w:eastAsia="Arial" w:hAnsi="Arial"/>
          <w:sz w:val="18"/>
          <w:szCs w:val="18"/>
          <w:color w:val="auto"/>
        </w:rPr>
        <w:t>—On October 15, 2012, the Company entered into the October 2012 Secured Credit Facility. Proceeds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October 2012 Secured Credit Facility were used to refinance the remaining outstanding balances of the Company’s then existing 2011 Secured Credit Facilities.</w:t>
      </w:r>
    </w:p>
    <w:p>
      <w:pPr>
        <w:spacing w:after="0" w:line="18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During the year ended December 31, 2012, in connection with the October 2012 Secured Credit Facility transaction, the Company incurred $14.8 million in third party fees, of which $8.1 million was recognized in “Other expense” on the Company's Consolidated Statements of Operations as it related to the portion of lenders from the original facility that modified their debt under the new facility. The remaining $6.6 million of fees were recorded in “Deferred expenses and other assets, net” on the Company's Consolidated Balance Sheets, as they related to the portion of lenders that were new to the facility.</w:t>
      </w:r>
    </w:p>
    <w:p>
      <w:pPr>
        <w:spacing w:after="0" w:line="11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October 2012 Secured Credit Facility was refinanced by the February 2013 Secured Credit Facility. Prior to refinancing, the Company made cumulative amortization repayments of $113.0 million on the October 2012 Secured Credit Facility, which resulted in losses on early extinguishment of debt of $0.8 million and $1.2 million during the year ended December 31, 2013 and 2012, respectively, related to the accelerated amortization of discounts and unamortized deferred financing fees on the portion of the facility that was repaid.</w:t>
      </w:r>
    </w:p>
    <w:p>
      <w:pPr>
        <w:spacing w:after="0" w:line="146"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At the time of the refinancing, the Company had $30.5 million of unamortized discounts and financing fees related to the October 2012 Secured Credit Facility. During the year ended December 31, 2013, in connection with the refinancing, the Company recorded a loss on early extinguishment of debt of $4.9 million, related primarily to the portion of lenders in the original facility that did not participate in the new facility. The remaining $25.6 million of unamortized fees and discounts will continue to be amortized into interest expense over the remaining term of the February 2013 Secured Credit Facility.</w:t>
      </w:r>
    </w:p>
    <w:p>
      <w:pPr>
        <w:spacing w:after="0" w:line="11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b w:val="1"/>
          <w:bCs w:val="1"/>
          <w:color w:val="auto"/>
        </w:rPr>
        <w:t>March 2012 Secured Credit Facilities</w:t>
      </w:r>
      <w:r>
        <w:rPr>
          <w:rFonts w:ascii="Arial" w:cs="Arial" w:eastAsia="Arial" w:hAnsi="Arial"/>
          <w:sz w:val="18"/>
          <w:szCs w:val="18"/>
          <w:color w:val="auto"/>
        </w:rPr>
        <w:t>—In March 2012, the Company entered into an $880.0 million senior secured credit agreement providing for</w:t>
      </w:r>
      <w:r>
        <w:rPr>
          <w:rFonts w:ascii="Arial" w:cs="Arial" w:eastAsia="Arial" w:hAnsi="Arial"/>
          <w:sz w:val="18"/>
          <w:szCs w:val="18"/>
          <w:b w:val="1"/>
          <w:bCs w:val="1"/>
          <w:color w:val="auto"/>
        </w:rPr>
        <w:t xml:space="preserve"> </w:t>
      </w:r>
      <w:r>
        <w:rPr>
          <w:rFonts w:ascii="Arial" w:cs="Arial" w:eastAsia="Arial" w:hAnsi="Arial"/>
          <w:sz w:val="18"/>
          <w:szCs w:val="18"/>
          <w:color w:val="auto"/>
        </w:rPr>
        <w:t>two tranches of term loans: a $410.0 million 2012 A-1 tranche due March 2016, which bears interest at a rate of LIBOR + 4.00% (the "2012 Tranche A-1 Facility"), and a $470.0 million 2012 A-2 tranche due March 2017, which bears interest at a rate of LIBOR + 5.75% (the "2012 Tranche A-2 Facility," together the "March 2012 Secured Credit Facilities"). The 2012 A-1 and A-2 tranches were issued at 98.0% of par and 98.5% of par, respectively, and both tranches include a LIBOR floor of 1.25%. Proceeds from the March 2012 Secured Credit Facilities, together with cash on hand, were used to repurchase and repay at maturity $606.7 million aggregate principal amount of the Company's convertible notes due October 2012, to fully repay the $244.0 million balance on the Company's unsecured credit facility due June 2012, and to repay, upon maturity, $90.3 million outstanding principal balance of its 5.50% senior unsecured notes.</w:t>
      </w:r>
    </w:p>
    <w:p>
      <w:pPr>
        <w:spacing w:after="0" w:line="18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March 2012 Secured Credit Facilities are collateralized by a first lien on a fixed pool of assets. Proceeds from principal repayments and sales of collateral are applied to amortize the March 2012 Secured Credit Facilities. Proceeds received for interest, rent, lease payments and fee income are retained by the Company. The 2012 Tranche A-1 Facility required amortization payments of $41.0 million to be made every six months beginning December 31, 2012. After the 2012 Tranche A-1 Facility is repaid, proceeds from principal repayments and sales of collateral will be used to amortize the 2012 Tranche A-2 Facility. The Company may make optional prepayments on each tranche of term loans, subject to prepayment fees.</w:t>
      </w:r>
    </w:p>
    <w:p>
      <w:pPr>
        <w:spacing w:after="0" w:line="17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year ended December 31, 2013, the Company repaid the remaining outstanding balance of the 2012 Tranche A-1 Facility. Repayments of the 2012 Tranche A-1 Facility prior to scheduled amortization dates have resulted in losses on early extinguishment of debt of $4.4 million and $8.1 million during the years ended December 31, 2013 and 2012, respectively, related to the accelerated amortization of discounts and unamortized deferred financing fees on the portion of the facility that was repaid.</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Additionally, during the year ended December 31, 2013, the Company made cumulative amortization repayments of $38.5 million on the 2012 Tranche A-2 Facility prior to maturity have resulted in losses on early extinguishment of debt of $1.0 million related to the accelerated amortization of discounts and unamortized deferred financing fees on the portion of the facility that was repaid during the year.</w:t>
      </w:r>
    </w:p>
    <w:p>
      <w:pPr>
        <w:spacing w:after="0" w:line="177" w:lineRule="exact"/>
        <w:rPr>
          <w:sz w:val="20"/>
          <w:szCs w:val="20"/>
          <w:color w:val="auto"/>
        </w:rPr>
      </w:pPr>
    </w:p>
    <w:p>
      <w:pPr>
        <w:jc w:val="both"/>
        <w:ind w:firstLine="432"/>
        <w:spacing w:after="0" w:line="303" w:lineRule="auto"/>
        <w:rPr>
          <w:sz w:val="20"/>
          <w:szCs w:val="20"/>
          <w:color w:val="auto"/>
        </w:rPr>
      </w:pPr>
      <w:r>
        <w:rPr>
          <w:rFonts w:ascii="Arial" w:cs="Arial" w:eastAsia="Arial" w:hAnsi="Arial"/>
          <w:sz w:val="16"/>
          <w:szCs w:val="16"/>
          <w:b w:val="1"/>
          <w:bCs w:val="1"/>
          <w:color w:val="auto"/>
        </w:rPr>
        <w:t>2011 Secured Credit Facilities</w:t>
      </w:r>
      <w:r>
        <w:rPr>
          <w:rFonts w:ascii="Arial" w:cs="Arial" w:eastAsia="Arial" w:hAnsi="Arial"/>
          <w:sz w:val="16"/>
          <w:szCs w:val="16"/>
          <w:color w:val="auto"/>
        </w:rPr>
        <w:t>—In March 2011, the Company entered into a $2.95 billion senior secured credit agreement providing for two tranches</w:t>
      </w:r>
      <w:r>
        <w:rPr>
          <w:rFonts w:ascii="Arial" w:cs="Arial" w:eastAsia="Arial" w:hAnsi="Arial"/>
          <w:sz w:val="16"/>
          <w:szCs w:val="16"/>
          <w:b w:val="1"/>
          <w:bCs w:val="1"/>
          <w:color w:val="auto"/>
        </w:rPr>
        <w:t xml:space="preserve"> </w:t>
      </w:r>
      <w:r>
        <w:rPr>
          <w:rFonts w:ascii="Arial" w:cs="Arial" w:eastAsia="Arial" w:hAnsi="Arial"/>
          <w:sz w:val="16"/>
          <w:szCs w:val="16"/>
          <w:color w:val="auto"/>
        </w:rPr>
        <w:t>of term loans: a $1.50 billion 2011 A-1 tranche due June 2013, bearing interest at a rate of LIBOR + 3.75% (the "2011 Tranche A-1 Facility"), and a $1.45 billion 2011 A-2 tranche due June 2014, bearing interest at a rate of LIBOR + 5.75% (the "2011 Tranche A-2 Facility," together the "2011 Secured Credit Facilities"). The 2011 A-1 and A-2 tranches were issued at 99.0% of par and 98.5% of par, respectively, and both tranches include a LIBOR floor of 1.25%.</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2011 Secured Credit Facilities were refinanced by the October 2012 Secured Credit Facility. Prior to refinancing, the Company made cumulative amortization repayments of $1.07 billion on the 2011 Secured Credit Facilities, which resulted in losses on early extinguishment of debt of $4.5 million and $12.0 million for the years ended December 31, 2012 and 2011, respectively, related to the accelerated amortization of discounts and unamortized deferred financing fees on the portion of the facility that was repaid.</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At the time of the refinancing, the Company had $21.2 million of unamortized discounts and financing fees related to the 2011 Secured Credit Facilities. In connection with the refinancing, the Company recorded a loss on early extinguishment of debt of $12.1 million, related primarily to the portion of lenders in the original facility that did not participate in the new facility. The remaining $9.0 million of unamortized fees and discounts will continue to be amortized to interest expense over the remaining term of the October 2012 Secured Credit Facility.</w:t>
      </w:r>
    </w:p>
    <w:p>
      <w:pPr>
        <w:spacing w:after="0" w:line="183"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Secured Term Loans</w:t>
      </w:r>
      <w:r>
        <w:rPr>
          <w:rFonts w:ascii="Arial" w:cs="Arial" w:eastAsia="Arial" w:hAnsi="Arial"/>
          <w:sz w:val="18"/>
          <w:szCs w:val="18"/>
          <w:color w:val="auto"/>
        </w:rPr>
        <w:t>—In October 2012, a consolidated subsidiary of the Company entered into a $28.0 million secured term loan maturing in</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2019, bearing interest at a rate of LIBOR + 2.00%. Simultaneously with the financing, the subsidiary entered into an interest rate swap to exchange its variable rate on the loan for a fixed interest rate (see Note 10).</w:t>
      </w:r>
    </w:p>
    <w:p>
      <w:pPr>
        <w:spacing w:after="0" w:line="18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September 2012, the Company refinanced two secured term loans with an aggregate outstanding principal balance of $53.3 million, bearing interest at rates of 5.3% and 8.2% and maturing in January 2013 with a new $54.5 million secured term loan. The new loan bears interest at 4.851%, matures in October 2022 and is collateralized by the same net lease asset as the original term loan. In connection with the refinancing, the Company incurred $0.5 million of losses related to a prepayment penalty, which was recorded in "Gain (loss) on early extinguishment of debt, net" on the Company's Consolidated Statements of Operations for the year ended December 31, 2012.</w:t>
      </w:r>
    </w:p>
    <w:p>
      <w:pPr>
        <w:spacing w:after="0" w:line="188"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In addition, during the year ended December 31, 2012, in conjunction with the sale of a portfolio of 12 net lease assets, the Company repaid the $50.8 million outstanding balances of its LIBOR + 4.50% secured term loans due in 2014 and terminated the related interest rate swaps associated with the loans (see Note 10).</w:t>
      </w:r>
    </w:p>
    <w:p>
      <w:pPr>
        <w:spacing w:after="0" w:line="177" w:lineRule="exact"/>
        <w:rPr>
          <w:sz w:val="20"/>
          <w:szCs w:val="20"/>
          <w:color w:val="auto"/>
        </w:rPr>
      </w:pPr>
    </w:p>
    <w:p>
      <w:pPr>
        <w:jc w:val="both"/>
        <w:ind w:firstLine="432"/>
        <w:spacing w:after="0" w:line="314" w:lineRule="auto"/>
        <w:rPr>
          <w:sz w:val="20"/>
          <w:szCs w:val="20"/>
          <w:color w:val="auto"/>
        </w:rPr>
      </w:pPr>
      <w:r>
        <w:rPr>
          <w:rFonts w:ascii="Arial" w:cs="Arial" w:eastAsia="Arial" w:hAnsi="Arial"/>
          <w:sz w:val="16"/>
          <w:szCs w:val="16"/>
          <w:b w:val="1"/>
          <w:bCs w:val="1"/>
          <w:color w:val="auto"/>
        </w:rPr>
        <w:t>Unsecured Credit Facility</w:t>
      </w:r>
      <w:r>
        <w:rPr>
          <w:rFonts w:ascii="Arial" w:cs="Arial" w:eastAsia="Arial" w:hAnsi="Arial"/>
          <w:sz w:val="16"/>
          <w:szCs w:val="16"/>
          <w:color w:val="auto"/>
        </w:rPr>
        <w:t>—During the year ended December 31, 2012, the Company repaid the $243.7 million remaining principal balance of its</w:t>
      </w:r>
      <w:r>
        <w:rPr>
          <w:rFonts w:ascii="Arial" w:cs="Arial" w:eastAsia="Arial" w:hAnsi="Arial"/>
          <w:sz w:val="16"/>
          <w:szCs w:val="16"/>
          <w:b w:val="1"/>
          <w:bCs w:val="1"/>
          <w:color w:val="auto"/>
        </w:rPr>
        <w:t xml:space="preserve"> </w:t>
      </w:r>
      <w:r>
        <w:rPr>
          <w:rFonts w:ascii="Arial" w:cs="Arial" w:eastAsia="Arial" w:hAnsi="Arial"/>
          <w:sz w:val="16"/>
          <w:szCs w:val="16"/>
          <w:color w:val="auto"/>
        </w:rPr>
        <w:t>LIBOR + 0.85% unsecured credit facility due June 2012. In connection with the repayments, the Company recorded a loss on early extinguishment of debt of $0.2 million related to the accelerated amortization of discounts and unamortized deferred financing fees on the portion of the facility that was repaid.</w:t>
      </w:r>
    </w:p>
    <w:p>
      <w:pPr>
        <w:spacing w:after="0" w:line="142"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Secured Notes</w:t>
      </w:r>
      <w:r>
        <w:rPr>
          <w:rFonts w:ascii="Arial" w:cs="Arial" w:eastAsia="Arial" w:hAnsi="Arial"/>
          <w:sz w:val="18"/>
          <w:szCs w:val="18"/>
          <w:color w:val="auto"/>
        </w:rPr>
        <w:t>—In January 2011, the Company redeemed the $312.3 million remaining principal balance of its 10% 2014 secured exchange notes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recorded a gain on early extinguishment of debt of $109.0 million primarily related to the recognition of deferred gain premiums that resulted from a previous debt exchange.</w:t>
      </w:r>
    </w:p>
    <w:p>
      <w:pPr>
        <w:spacing w:after="0" w:line="17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7"/>
          <w:szCs w:val="17"/>
          <w:b w:val="1"/>
          <w:bCs w:val="1"/>
          <w:color w:val="auto"/>
        </w:rPr>
        <w:t>Unsecured Notes</w:t>
      </w:r>
      <w:r>
        <w:rPr>
          <w:rFonts w:ascii="Arial" w:cs="Arial" w:eastAsia="Arial" w:hAnsi="Arial"/>
          <w:sz w:val="17"/>
          <w:szCs w:val="17"/>
          <w:color w:val="auto"/>
        </w:rPr>
        <w:t>—In November 2013, the Company issued $200.0 million aggregate principal of 1.50% convertible senior unsecured notes due</w:t>
      </w:r>
      <w:r>
        <w:rPr>
          <w:rFonts w:ascii="Arial" w:cs="Arial" w:eastAsia="Arial" w:hAnsi="Arial"/>
          <w:sz w:val="17"/>
          <w:szCs w:val="17"/>
          <w:b w:val="1"/>
          <w:bCs w:val="1"/>
          <w:color w:val="auto"/>
        </w:rPr>
        <w:t xml:space="preserve"> </w:t>
      </w:r>
      <w:r>
        <w:rPr>
          <w:rFonts w:ascii="Arial" w:cs="Arial" w:eastAsia="Arial" w:hAnsi="Arial"/>
          <w:sz w:val="17"/>
          <w:szCs w:val="17"/>
          <w:color w:val="auto"/>
        </w:rPr>
        <w:t>November 2016. Proceeds from the transaction, together with cash on hand, was used to fully repay the remaining $200.6 million of outstanding 5.70% senior unsecured notes due March 2014. In connection with the repayment of the 5.70% senior unsecured notes, the Company incurred $2.8 million of losses related to a prepayment penalty and the accelerated amortization of discounts, which was recorded in "Gain (loss) on early extinguishment of debt, net" on the Company's Consolidated Statements of Operations for the year ended December 31, 2013.</w:t>
      </w:r>
    </w:p>
    <w:p>
      <w:pPr>
        <w:spacing w:after="0" w:line="17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May 2013, the Company issued $265.0 million aggregate principal of 3.875% senior unsecured notes due July 2016 and issued $300.0 million aggregate principal of 4.875% senior unsecured notes due July 2018. Net proceeds from these transactions, together with cash on hand, were used to fully repay the remaining $96.8 million of outstanding 8.625% senior unsecured notes due June 2013 and the remaining $448.5 million of outstanding 5.95% senior unsecured notes due in October 2013. In connection with the repayment of the 5.95% senior unsecured notes, the Company incurred $9.5 million of losses related to a prepayment penalty and the accelerated amortization of discounts, which was recorded in "Gain (loss) on early extinguishment of debt, net" on the Company's Consolidated Statements of Operations for the year ended December 31, 2013.</w:t>
      </w:r>
    </w:p>
    <w:p>
      <w:pPr>
        <w:spacing w:after="0" w:line="17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November 2012, the Company issued $300.0 million aggregate principal of 7.125% senior unsecured notes due February 2018 and issued $200.0 million aggregate principal of 3.00% convertible senior unsecured notes due November 2016. Proceeds from these transactions were used to fully repay $67.1 million of the 6.5% senior unsecured notes due December 2013 and partially repay $404.9 million of the 8.625% senior unsecured notes due June 2013. In connection with these repurchases, the Company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paid a $14.9 million prepayment penalty which was reflected in "Gain (loss) on early extinguishment of debt, net" on the Company's Consolidated Statements of Operations for the year ended December 31, 2012.</w:t>
      </w:r>
    </w:p>
    <w:p>
      <w:pPr>
        <w:spacing w:after="0" w:line="17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In May 2012, the Company issued $275.0 million aggregate principal of 9.0% senior unsecured notes due June 2017 that were sold at 98.012% of their principal amount.</w:t>
      </w:r>
    </w:p>
    <w:p>
      <w:pPr>
        <w:spacing w:after="0" w:line="1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year ended December 31, 2012, the Company repaid, upon maturity, the $460.7 million outstanding principal balance of its LIBOR + 0.50% senior unsecured convertible notes, the $169.7 million outstanding principal balance of its 5.15% senior unsecured notes and the $90.3 million outstanding principal balance of its 5.50% senior unsecured notes. In addition, the Company repurchased $420.4 million par value of senior unsecured notes with various maturities ranging from March 2012 to October 2012. In connection with these repurchases, the Company recorded aggregate gains on early extinguishment of debt of $3.2 million, for the year ended December 31, 2012.</w:t>
      </w:r>
    </w:p>
    <w:p>
      <w:pPr>
        <w:spacing w:after="0" w:line="184" w:lineRule="exact"/>
        <w:rPr>
          <w:sz w:val="20"/>
          <w:szCs w:val="20"/>
          <w:color w:val="auto"/>
        </w:rPr>
      </w:pPr>
    </w:p>
    <w:p>
      <w:pPr>
        <w:jc w:val="both"/>
        <w:ind w:right="20" w:firstLine="432"/>
        <w:spacing w:after="0" w:line="282" w:lineRule="auto"/>
        <w:rPr>
          <w:sz w:val="20"/>
          <w:szCs w:val="20"/>
          <w:color w:val="auto"/>
        </w:rPr>
      </w:pPr>
      <w:r>
        <w:rPr>
          <w:rFonts w:ascii="Arial" w:cs="Arial" w:eastAsia="Arial" w:hAnsi="Arial"/>
          <w:sz w:val="18"/>
          <w:szCs w:val="18"/>
          <w:b w:val="1"/>
          <w:bCs w:val="1"/>
          <w:color w:val="auto"/>
        </w:rPr>
        <w:t>Encumbered/Unencumbered Assets</w:t>
      </w:r>
      <w:r>
        <w:rPr>
          <w:rFonts w:ascii="Arial" w:cs="Arial" w:eastAsia="Arial" w:hAnsi="Arial"/>
          <w:sz w:val="18"/>
          <w:szCs w:val="18"/>
          <w:color w:val="auto"/>
        </w:rPr>
        <w:t>—As of December 31, 2013, the carrying value of the Company's encumbered and unencumbered assets by asset</w:t>
      </w:r>
      <w:r>
        <w:rPr>
          <w:rFonts w:ascii="Arial" w:cs="Arial" w:eastAsia="Arial" w:hAnsi="Arial"/>
          <w:sz w:val="18"/>
          <w:szCs w:val="18"/>
          <w:b w:val="1"/>
          <w:bCs w:val="1"/>
          <w:color w:val="auto"/>
        </w:rPr>
        <w:t xml:space="preserve"> </w:t>
      </w:r>
      <w:r>
        <w:rPr>
          <w:rFonts w:ascii="Arial" w:cs="Arial" w:eastAsia="Arial" w:hAnsi="Arial"/>
          <w:sz w:val="18"/>
          <w:szCs w:val="18"/>
          <w:color w:val="auto"/>
        </w:rPr>
        <w:t>type are as follows ($ in thousands):</w:t>
      </w:r>
    </w:p>
    <w:p>
      <w:pPr>
        <w:spacing w:after="0" w:line="171"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As of December 31,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4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w w:val="96"/>
              </w:rPr>
              <w:t>2013</w:t>
            </w:r>
          </w:p>
        </w:tc>
        <w:tc>
          <w:tcPr>
            <w:tcW w:w="10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2012</w:t>
            </w: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4"/>
              </w:rPr>
              <w:t>Encumbered</w:t>
            </w:r>
          </w:p>
        </w:tc>
        <w:tc>
          <w:tcPr>
            <w:tcW w:w="120" w:type="dxa"/>
            <w:vAlign w:val="bottom"/>
          </w:tcPr>
          <w:p>
            <w:pPr>
              <w:spacing w:after="0"/>
              <w:rPr>
                <w:sz w:val="13"/>
                <w:szCs w:val="13"/>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9"/>
              </w:rPr>
              <w:t>Unencumbered Assets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54"/>
              <w:spacing w:after="0" w:line="153" w:lineRule="exact"/>
              <w:rPr>
                <w:sz w:val="20"/>
                <w:szCs w:val="20"/>
                <w:color w:val="auto"/>
              </w:rPr>
            </w:pPr>
            <w:r>
              <w:rPr>
                <w:rFonts w:ascii="Arial" w:cs="Arial" w:eastAsia="Arial" w:hAnsi="Arial"/>
                <w:sz w:val="14"/>
                <w:szCs w:val="14"/>
                <w:b w:val="1"/>
                <w:bCs w:val="1"/>
                <w:color w:val="auto"/>
                <w:w w:val="94"/>
              </w:rPr>
              <w:t>Encumbered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114"/>
              <w:spacing w:after="0" w:line="153" w:lineRule="exact"/>
              <w:rPr>
                <w:sz w:val="20"/>
                <w:szCs w:val="20"/>
                <w:color w:val="auto"/>
              </w:rPr>
            </w:pPr>
            <w:r>
              <w:rPr>
                <w:rFonts w:ascii="Arial" w:cs="Arial" w:eastAsia="Arial" w:hAnsi="Arial"/>
                <w:sz w:val="14"/>
                <w:szCs w:val="14"/>
                <w:b w:val="1"/>
                <w:bCs w:val="1"/>
                <w:color w:val="auto"/>
                <w:w w:val="90"/>
              </w:rPr>
              <w:t>Unencumbered</w:t>
            </w:r>
          </w:p>
        </w:tc>
        <w:tc>
          <w:tcPr>
            <w:tcW w:w="0" w:type="dxa"/>
            <w:vAlign w:val="bottom"/>
          </w:tcPr>
          <w:p>
            <w:pPr>
              <w:spacing w:after="0"/>
              <w:rPr>
                <w:sz w:val="1"/>
                <w:szCs w:val="1"/>
                <w:color w:val="auto"/>
              </w:rPr>
            </w:pPr>
          </w:p>
        </w:tc>
      </w:tr>
      <w:tr>
        <w:trPr>
          <w:trHeight w:val="192"/>
        </w:trPr>
        <w:tc>
          <w:tcPr>
            <w:tcW w:w="54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Assets</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1,644,463</w:t>
            </w:r>
          </w:p>
        </w:tc>
        <w:tc>
          <w:tcPr>
            <w:tcW w:w="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1,151,718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1,640,005</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1,099,094</w:t>
            </w:r>
          </w:p>
        </w:tc>
        <w:tc>
          <w:tcPr>
            <w:tcW w:w="0" w:type="dxa"/>
            <w:vAlign w:val="bottom"/>
          </w:tcPr>
          <w:p>
            <w:pPr>
              <w:spacing w:after="0"/>
              <w:rPr>
                <w:sz w:val="1"/>
                <w:szCs w:val="1"/>
                <w:color w:val="auto"/>
              </w:rPr>
            </w:pP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Real estate available and held for sale</w:t>
            </w:r>
          </w:p>
        </w:tc>
        <w:tc>
          <w:tcPr>
            <w:tcW w:w="16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152,604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207,913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263,842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372,023</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Loans receivable, net(1)</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860,557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538,752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1,197,403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665,682</w:t>
            </w:r>
          </w:p>
        </w:tc>
        <w:tc>
          <w:tcPr>
            <w:tcW w:w="0" w:type="dxa"/>
            <w:vAlign w:val="bottom"/>
          </w:tcPr>
          <w:p>
            <w:pPr>
              <w:spacing w:after="0"/>
              <w:rPr>
                <w:sz w:val="1"/>
                <w:szCs w:val="1"/>
                <w:color w:val="auto"/>
              </w:rPr>
            </w:pP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Other investments</w:t>
            </w:r>
          </w:p>
        </w:tc>
        <w:tc>
          <w:tcPr>
            <w:tcW w:w="16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24,093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183,116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43,545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355,298</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907,995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556,207</w:t>
            </w:r>
          </w:p>
        </w:tc>
        <w:tc>
          <w:tcPr>
            <w:tcW w:w="0" w:type="dxa"/>
            <w:vAlign w:val="bottom"/>
          </w:tcPr>
          <w:p>
            <w:pPr>
              <w:spacing w:after="0"/>
              <w:rPr>
                <w:sz w:val="1"/>
                <w:szCs w:val="1"/>
                <w:color w:val="auto"/>
              </w:rPr>
            </w:pPr>
          </w:p>
        </w:tc>
      </w:tr>
      <w:tr>
        <w:trPr>
          <w:trHeight w:val="257"/>
        </w:trPr>
        <w:tc>
          <w:tcPr>
            <w:tcW w:w="5460" w:type="dxa"/>
            <w:vAlign w:val="bottom"/>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2,681,717</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2,989,494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3,144,795</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3,048,304</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As of December 31, 2013 and 2012, the amounts presented exclude general reserves for loan losses of $29.2 million and $33.1 million,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outstanding unsecured debt securities contain corporate level covenants that include a covenant to maintain a ratio of unencumbered assets to unsecured indebtedness of at least 1.2x and a restriction on debt incurrence based upon the effect of the debt incurrence on the Company's fixed charge coverage ratio. If any of the Company's covenants are breached and not cured within applicable cure periods, the breach could result in acceleration of its debt securities unless a waiver or modification is agreed upon with the requisite percentage of the bondholders. While the Company expects that its ability to incur new indebtedness under the fixed charge coverage ratio will be limited for the foreseeable future, which may put limitations on its ability to make new investments, it will continue to be permitted to incur indebtedness for the purpose of refinancing existing indebtedness and for other permitted purposes under the indentures.</w:t>
      </w:r>
    </w:p>
    <w:p>
      <w:pPr>
        <w:spacing w:after="0" w:line="18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March 2012 Secured Credit Facilities and February 2013 Secured Credit Facility are collectively defined as the "Secured Credit Facilities." The Company's Secured Credit Facilities contain certain covenants, including covenants relating to collateral coverage, dividend payments, restrictions on fundamental changes, transactions with affiliates, matters relating to the liens granted to the lenders and the delivery of information to the lenders. In particular, the Company is required to maintain collateral coverage of 1.25x outstanding borrowings. In addition, for so long as the Company maintains its qualification as a REIT, the Secured Credit Facilities permit the Company to distribute 100% of its REIT taxable income on an annual basis and the February 2013 Secured Credit Facility permits the Company to distribute to its shareholders real estate assets, or interests therein, having an aggregate equity value not to exceed $200 million, so long as such assets are not collateral for the February 2013 Secured Credit Facility. The Company may not pay common dividends if it ceases to qualify as a REIT (except that the February 2013 Secured Credit Facility permits the Company to distribute certain real estate assets as described in the preceding sentence).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Company's Secured Credit Facilities contain cross default provisions that would allow the lenders to declare an event of default and accelerate the Company's indebtedness to them if the Company fails to pay amounts due in respect of its other recourse indebtedness in excess of specified thresholds or if the lenders under such other indebtedness are otherwise permitted to accelerate such indebtedness for any reason. The indentures governing the Company's unsecured public debt securities permit the bondholders to declare an event of default and accelerate the Company's indebtedness to them if the Company's other recourse indebtedness in excess of specified thresholds is not paid at final maturity or if such indebtedness is accelerated.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9—Commitments and Contingencies</w:t>
      </w:r>
    </w:p>
    <w:p>
      <w:pPr>
        <w:spacing w:after="0" w:line="22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b w:val="1"/>
          <w:bCs w:val="1"/>
          <w:color w:val="auto"/>
        </w:rPr>
        <w:t>Unfunded Commitments</w:t>
      </w:r>
      <w:r>
        <w:rPr>
          <w:rFonts w:ascii="Arial" w:cs="Arial" w:eastAsia="Arial" w:hAnsi="Arial"/>
          <w:sz w:val="16"/>
          <w:szCs w:val="16"/>
          <w:color w:val="auto"/>
        </w:rPr>
        <w:t>—The Company generally funds construction and development loans and build-outs of space in net lease assets over a period</w:t>
      </w:r>
      <w:r>
        <w:rPr>
          <w:rFonts w:ascii="Arial" w:cs="Arial" w:eastAsia="Arial" w:hAnsi="Arial"/>
          <w:sz w:val="16"/>
          <w:szCs w:val="16"/>
          <w:b w:val="1"/>
          <w:bCs w:val="1"/>
          <w:color w:val="auto"/>
        </w:rPr>
        <w:t xml:space="preserve"> </w:t>
      </w:r>
      <w:r>
        <w:rPr>
          <w:rFonts w:ascii="Arial" w:cs="Arial" w:eastAsia="Arial" w:hAnsi="Arial"/>
          <w:sz w:val="16"/>
          <w:szCs w:val="16"/>
          <w:color w:val="auto"/>
        </w:rPr>
        <w:t>of time if and when the borrowers and tenants meet established milestones and other performance criteria. The Company refers to these arrangements as Performance-Based Commitments. In addition, the Company sometimes establishes a maximum amount of additional funding which it will make available to a borrower or tenant for an expansion or addition to a project if it approves of the expansion or addition in its sole discretion. The Company refers to these arrangements as Discretionary Fundings. Finally, the Company has committed to invest capital in several real estate funds and other ventures. These arrangements are referred to as Strategic Investments. As of December 31, 2013, the maximum amount of fundings the Company may be required to make under each category, assuming all performance hurdles and milestones are met under the Performance-Based Commitments, that it approves all Discretionary Fundings and that 100% of its capital committed to Strategic Investments is drawn down, are as follows ($ in thousands):</w:t>
      </w:r>
    </w:p>
    <w:p>
      <w:pPr>
        <w:spacing w:after="0" w:line="89"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840" w:type="dxa"/>
            <w:vAlign w:val="bottom"/>
            <w:gridSpan w:val="3"/>
          </w:tcPr>
          <w:p>
            <w:pPr>
              <w:ind w:left="80"/>
              <w:spacing w:after="0"/>
              <w:rPr>
                <w:sz w:val="20"/>
                <w:szCs w:val="20"/>
                <w:color w:val="auto"/>
              </w:rPr>
            </w:pPr>
            <w:r>
              <w:rPr>
                <w:rFonts w:ascii="Arial" w:cs="Arial" w:eastAsia="Arial" w:hAnsi="Arial"/>
                <w:sz w:val="14"/>
                <w:szCs w:val="14"/>
                <w:b w:val="1"/>
                <w:bCs w:val="1"/>
                <w:color w:val="auto"/>
              </w:rPr>
              <w:t>Loans and Other Lending</w:t>
            </w:r>
          </w:p>
        </w:tc>
        <w:tc>
          <w:tcPr>
            <w:tcW w:w="320" w:type="dxa"/>
            <w:vAlign w:val="bottom"/>
          </w:tcPr>
          <w:p>
            <w:pPr>
              <w:spacing w:after="0"/>
              <w:rPr>
                <w:sz w:val="14"/>
                <w:szCs w:val="14"/>
                <w:color w:val="auto"/>
              </w:rPr>
            </w:pPr>
          </w:p>
        </w:tc>
        <w:tc>
          <w:tcPr>
            <w:tcW w:w="14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Real Estate</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ind w:left="300"/>
              <w:spacing w:after="0"/>
              <w:rPr>
                <w:sz w:val="20"/>
                <w:szCs w:val="20"/>
                <w:color w:val="auto"/>
              </w:rPr>
            </w:pPr>
            <w:r>
              <w:rPr>
                <w:rFonts w:ascii="Arial" w:cs="Arial" w:eastAsia="Arial" w:hAnsi="Arial"/>
                <w:sz w:val="14"/>
                <w:szCs w:val="14"/>
                <w:b w:val="1"/>
                <w:bCs w:val="1"/>
                <w:color w:val="auto"/>
              </w:rPr>
              <w:t>Strategic</w:t>
            </w:r>
          </w:p>
        </w:tc>
        <w:tc>
          <w:tcPr>
            <w:tcW w:w="420" w:type="dxa"/>
            <w:vAlign w:val="bottom"/>
          </w:tcPr>
          <w:p>
            <w:pPr>
              <w:spacing w:after="0"/>
              <w:rPr>
                <w:sz w:val="14"/>
                <w:szCs w:val="14"/>
                <w:color w:val="auto"/>
              </w:rPr>
            </w:pPr>
          </w:p>
        </w:tc>
        <w:tc>
          <w:tcPr>
            <w:tcW w:w="1320" w:type="dxa"/>
            <w:vAlign w:val="bottom"/>
            <w:vMerge w:val="restart"/>
          </w:tcPr>
          <w:p>
            <w:pPr>
              <w:jc w:val="right"/>
              <w:ind w:right="6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Performance-Based Commitments</w:t>
            </w: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53,164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72,600</w:t>
            </w: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Discretionary Fundings</w:t>
            </w:r>
          </w:p>
        </w:tc>
        <w:tc>
          <w:tcPr>
            <w:tcW w:w="30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Strategic Investments</w:t>
            </w: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46,591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46,591</w:t>
            </w:r>
          </w:p>
        </w:tc>
        <w:tc>
          <w:tcPr>
            <w:tcW w:w="0" w:type="dxa"/>
            <w:vAlign w:val="bottom"/>
          </w:tcPr>
          <w:p>
            <w:pPr>
              <w:spacing w:after="0"/>
              <w:rPr>
                <w:sz w:val="1"/>
                <w:szCs w:val="1"/>
                <w:color w:val="auto"/>
              </w:rPr>
            </w:pPr>
          </w:p>
        </w:tc>
      </w:tr>
      <w:tr>
        <w:trPr>
          <w:trHeight w:val="257"/>
        </w:trPr>
        <w:tc>
          <w:tcPr>
            <w:tcW w:w="3580" w:type="dxa"/>
            <w:vAlign w:val="bottom"/>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19,436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53,164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46,591</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119,191</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Other Commitments</w:t>
      </w:r>
      <w:r>
        <w:rPr>
          <w:rFonts w:ascii="Arial" w:cs="Arial" w:eastAsia="Arial" w:hAnsi="Arial"/>
          <w:sz w:val="18"/>
          <w:szCs w:val="18"/>
          <w:color w:val="auto"/>
        </w:rPr>
        <w:t>—Total operating lease expense for the years ended December 31, 2013, 2012 and 2011 were $6.1 million, $6.5 million and $7.2</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respectively. Future minimum lease obligations under non-cancelable operating leases are as follows ($ in thousands):</w:t>
      </w:r>
    </w:p>
    <w:p>
      <w:pPr>
        <w:spacing w:after="0" w:line="234" w:lineRule="exact"/>
        <w:rPr>
          <w:sz w:val="20"/>
          <w:szCs w:val="20"/>
          <w:color w:val="auto"/>
        </w:rPr>
      </w:pPr>
    </w:p>
    <w:tbl>
      <w:tblPr>
        <w:tblLayout w:type="fixed"/>
        <w:tblInd w:w="3040" w:type="dxa"/>
        <w:tblCellMar>
          <w:top w:w="0" w:type="dxa"/>
          <w:left w:w="0" w:type="dxa"/>
          <w:bottom w:w="0" w:type="dxa"/>
          <w:right w:w="0" w:type="dxa"/>
        </w:tblCellMar>
      </w:tblPr>
      <w:tr>
        <w:trPr>
          <w:trHeight w:val="270"/>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208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5,797</w:t>
            </w:r>
          </w:p>
        </w:tc>
      </w:tr>
      <w:tr>
        <w:trPr>
          <w:trHeight w:val="243"/>
        </w:trPr>
        <w:tc>
          <w:tcPr>
            <w:tcW w:w="2040" w:type="dxa"/>
            <w:vAlign w:val="bottom"/>
          </w:tcPr>
          <w:p>
            <w:pPr>
              <w:ind w:left="20"/>
              <w:spacing w:after="0"/>
              <w:rPr>
                <w:sz w:val="20"/>
                <w:szCs w:val="20"/>
                <w:color w:val="auto"/>
              </w:rPr>
            </w:pPr>
            <w:r>
              <w:rPr>
                <w:rFonts w:ascii="Arial" w:cs="Arial" w:eastAsia="Arial" w:hAnsi="Arial"/>
                <w:sz w:val="18"/>
                <w:szCs w:val="18"/>
                <w:color w:val="auto"/>
              </w:rPr>
              <w:t>2015</w:t>
            </w:r>
          </w:p>
        </w:tc>
        <w:tc>
          <w:tcPr>
            <w:tcW w:w="208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5,287</w:t>
            </w:r>
          </w:p>
        </w:tc>
      </w:tr>
      <w:tr>
        <w:trPr>
          <w:trHeight w:val="27"/>
        </w:trPr>
        <w:tc>
          <w:tcPr>
            <w:tcW w:w="20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208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5,408</w:t>
            </w:r>
          </w:p>
        </w:tc>
      </w:tr>
      <w:tr>
        <w:trPr>
          <w:trHeight w:val="243"/>
        </w:trPr>
        <w:tc>
          <w:tcPr>
            <w:tcW w:w="2040" w:type="dxa"/>
            <w:vAlign w:val="bottom"/>
          </w:tcPr>
          <w:p>
            <w:pPr>
              <w:ind w:left="20"/>
              <w:spacing w:after="0"/>
              <w:rPr>
                <w:sz w:val="20"/>
                <w:szCs w:val="20"/>
                <w:color w:val="auto"/>
              </w:rPr>
            </w:pPr>
            <w:r>
              <w:rPr>
                <w:rFonts w:ascii="Arial" w:cs="Arial" w:eastAsia="Arial" w:hAnsi="Arial"/>
                <w:sz w:val="18"/>
                <w:szCs w:val="18"/>
                <w:color w:val="auto"/>
              </w:rPr>
              <w:t>2017</w:t>
            </w:r>
          </w:p>
        </w:tc>
        <w:tc>
          <w:tcPr>
            <w:tcW w:w="208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5,023</w:t>
            </w:r>
          </w:p>
        </w:tc>
      </w:tr>
      <w:tr>
        <w:trPr>
          <w:trHeight w:val="27"/>
        </w:trPr>
        <w:tc>
          <w:tcPr>
            <w:tcW w:w="20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08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r>
      <w:tr>
        <w:trPr>
          <w:trHeight w:val="243"/>
        </w:trPr>
        <w:tc>
          <w:tcPr>
            <w:tcW w:w="20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08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11,709</w:t>
            </w: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also has issued letters of credit totaling $3.7 million in connection with its investments.</w:t>
      </w:r>
    </w:p>
    <w:p>
      <w:pPr>
        <w:spacing w:after="0" w:line="140"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Legal Proceedings</w:t>
      </w:r>
      <w:r>
        <w:rPr>
          <w:rFonts w:ascii="Arial" w:cs="Arial" w:eastAsia="Arial" w:hAnsi="Arial"/>
          <w:sz w:val="18"/>
          <w:szCs w:val="18"/>
          <w:color w:val="auto"/>
        </w:rPr>
        <w:t>—The Company and/or one or more of its subsidiaries is party to various pending litigation matters that are considered 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routine litigation incidental to the Company's business as a finance and investment company focused on the commercial real estate industry, including loan foreclosure and foreclosure-related proceedings.</w:t>
      </w:r>
    </w:p>
    <w:p>
      <w:pPr>
        <w:spacing w:after="0" w:line="18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On June 4, 2012, the Company reached an agreement in principle with the plaintiffs' Court-appointed representatives in the previously reported Citiline class action to settle the litigation. Settlement payments will be primarily funded by the Company's insurance carriers, with the Company contributing $2.0 million to the settlement, which was included in "Other expense" on the Consolidated Statement of Operations for the year ended December 31, 2012. On April 5, 2013, the Court approved the settlement, entered a Final Judgment and Order of Dismissal With Prejudice and the Citiline Action was concluded.</w:t>
      </w:r>
    </w:p>
    <w:p>
      <w:pPr>
        <w:spacing w:after="0" w:line="15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evaluates, on a quarterly basis, developments in legal proceedings that could require a liability to be accrued and/or disclosed. Based on its current knowledge, and after consultation with legal counsel, the Company believes it is not a party to, nor are any of its properties the subject of, any pending legal proceeding that would have a material adverse effect on the Company's consolidated financial condition.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10—Risk Management and Derivatives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8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 the normal course of its on-going business operations, the Company encounters economic risk. There are three main components of economic risk: interest rate risk, credit risk and market risk. The Company is subject to interest rate risk to the degree that its interest-bearing liabilities mature or reprice at different points in time and potentially at different bases, than its interest-earning assets. Credit risk is the risk of default on the Company's lending investments or leases that result from a borrower's or tenant's inability or unwillingness to make contractually required payments. Market risk reflects changes in the value of loans and other lending investments due to changes in interest rates or other market factors, including the rate of prepayments of principal and the value of the collateral underlying loans, the valuation of real estate assets by the Company as well as changes in foreign currency exchange rates.</w:t>
      </w:r>
    </w:p>
    <w:p>
      <w:pPr>
        <w:spacing w:after="0" w:line="215"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Risk concentrations</w:t>
      </w:r>
      <w:r>
        <w:rPr>
          <w:rFonts w:ascii="Arial" w:cs="Arial" w:eastAsia="Arial" w:hAnsi="Arial"/>
          <w:sz w:val="18"/>
          <w:szCs w:val="18"/>
          <w:color w:val="auto"/>
        </w:rPr>
        <w:t>—Concentrations of credit risks arise when a number of borrowers or tenants related to the Company's investments are engaged in</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business activities, or activities in the same geographic region, or have similar economic features that would cause their ability to meet contractual obligations, including those to the Company, to be similarly affected by changes in economic conditions.</w:t>
      </w:r>
    </w:p>
    <w:p>
      <w:pPr>
        <w:spacing w:after="0" w:line="23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Substantially all of the Company's real estate as well as assets collateralizing its loans receivable are located in the United States. As of December 31, 2013, the only state with a concentration greater than 10.0% was California with 15.1%. As of December 31, 2013, the Company's portfolio contains concentrations in the following asset types: land 21.6%, office 15.2%, industrial/R&amp;D 13.5% and entertainment/leisure 10.7%.</w:t>
      </w:r>
    </w:p>
    <w:p>
      <w:pPr>
        <w:spacing w:after="0" w:line="22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underwrites the credit of prospective borrowers and tenants and often requires them to provide some form of credit support such as corporate guarantees, letters of credit and/or cash security deposits. Although the Company's loans and real estate assets are geographically diverse and the borrowers and tenants operate in a variety of industries, to the extent the Company has a significant concentration of interest or operating lease revenues from any single borrower or tenant, the inability of that borrower or tenant to make its payment could have an adverse effect on the Company. As of December 31, 2013, the Company's five largest borrowers or tenants collectively accounted for approximately $99.8 million of the Company's aggregate annualized interest and operating lease revenue, of which no single customer accounts for more than 8%.</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use of derivative financial instruments is primarily limited to the utilization of interest rate swaps, interest rate caps and foreign exchange contracts. The principal objective of such financial instruments is to minimize the risks and/or costs associated with the Company's operating and financial structure and to manage its exposure to interest rates and foreign exchange rates. Derivatives not designated as hedges are not speculative and are used to manage the Company's exposure to interest rate movements, foreign exchange rate movements, and other identified risks, but may not meet the strict hedge accounting requirements.</w:t>
      </w:r>
    </w:p>
    <w:p>
      <w:pPr>
        <w:spacing w:after="0" w:line="14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table below presents the fair value of the Company's derivative financial instruments as well as their classification on the Consolidated Balance Sheets as of December 31, 2013 and 2012 ($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4040" w:type="dxa"/>
            <w:vAlign w:val="bottom"/>
            <w:tcBorders>
              <w:bottom w:val="single" w:sz="8" w:color="auto"/>
            </w:tcBorders>
            <w:gridSpan w:val="7"/>
          </w:tcPr>
          <w:p>
            <w:pPr>
              <w:ind w:left="1340"/>
              <w:spacing w:after="0"/>
              <w:rPr>
                <w:sz w:val="20"/>
                <w:szCs w:val="20"/>
                <w:color w:val="auto"/>
              </w:rPr>
            </w:pPr>
            <w:r>
              <w:rPr>
                <w:rFonts w:ascii="Arial" w:cs="Arial" w:eastAsia="Arial" w:hAnsi="Arial"/>
                <w:sz w:val="14"/>
                <w:szCs w:val="14"/>
                <w:b w:val="1"/>
                <w:bCs w:val="1"/>
                <w:color w:val="auto"/>
              </w:rPr>
              <w:t>Derivative Assets as of December 31,</w:t>
            </w: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960" w:type="dxa"/>
            <w:vAlign w:val="bottom"/>
            <w:tcBorders>
              <w:bottom w:val="single" w:sz="8" w:color="auto"/>
            </w:tcBorders>
            <w:gridSpan w:val="7"/>
          </w:tcPr>
          <w:p>
            <w:pPr>
              <w:ind w:left="1180"/>
              <w:spacing w:after="0"/>
              <w:rPr>
                <w:sz w:val="20"/>
                <w:szCs w:val="20"/>
                <w:color w:val="auto"/>
              </w:rPr>
            </w:pPr>
            <w:r>
              <w:rPr>
                <w:rFonts w:ascii="Arial" w:cs="Arial" w:eastAsia="Arial" w:hAnsi="Arial"/>
                <w:sz w:val="14"/>
                <w:szCs w:val="14"/>
                <w:b w:val="1"/>
                <w:bCs w:val="1"/>
                <w:color w:val="auto"/>
              </w:rPr>
              <w:t>Derivative Liabilities as of December 31,</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2"/>
                <w:szCs w:val="22"/>
                <w:color w:val="auto"/>
              </w:rPr>
            </w:pPr>
          </w:p>
        </w:tc>
        <w:tc>
          <w:tcPr>
            <w:tcW w:w="1380" w:type="dxa"/>
            <w:vAlign w:val="bottom"/>
          </w:tcPr>
          <w:p>
            <w:pPr>
              <w:ind w:left="1080"/>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w:t>
            </w:r>
          </w:p>
        </w:tc>
        <w:tc>
          <w:tcPr>
            <w:tcW w:w="1500" w:type="dxa"/>
            <w:vAlign w:val="bottom"/>
            <w:tcBorders>
              <w:top w:val="single" w:sz="8" w:color="auto"/>
            </w:tcBorders>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56"/>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480" w:type="dxa"/>
            <w:vAlign w:val="bottom"/>
            <w:tcBorders>
              <w:top w:val="single" w:sz="8" w:color="auto"/>
            </w:tcBorders>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2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ind w:left="40"/>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480" w:type="dxa"/>
            <w:vAlign w:val="bottom"/>
            <w:tcBorders>
              <w:top w:val="single" w:sz="8" w:color="auto"/>
            </w:tcBorders>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7"/>
              </w:rPr>
              <w:t>Balance Sheet</w:t>
            </w: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36"/>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480" w:type="dxa"/>
            <w:vAlign w:val="bottom"/>
            <w:tcBorders>
              <w:top w:val="single" w:sz="8" w:color="auto"/>
            </w:tcBorders>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36"/>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1500" w:type="dxa"/>
            <w:vAlign w:val="bottom"/>
            <w:vMerge w:val="continue"/>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200" w:type="dxa"/>
            <w:vAlign w:val="bottom"/>
          </w:tcPr>
          <w:p>
            <w:pPr>
              <w:spacing w:after="0"/>
              <w:rPr>
                <w:sz w:val="16"/>
                <w:szCs w:val="16"/>
                <w:color w:val="auto"/>
              </w:rPr>
            </w:pPr>
          </w:p>
        </w:tc>
        <w:tc>
          <w:tcPr>
            <w:tcW w:w="740" w:type="dxa"/>
            <w:vAlign w:val="bottom"/>
          </w:tcPr>
          <w:p>
            <w:pPr>
              <w:jc w:val="right"/>
              <w:ind w:right="216"/>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Location</w:t>
            </w:r>
          </w:p>
        </w:tc>
        <w:tc>
          <w:tcPr>
            <w:tcW w:w="28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Location</w:t>
            </w:r>
          </w:p>
        </w:tc>
        <w:tc>
          <w:tcPr>
            <w:tcW w:w="180" w:type="dxa"/>
            <w:vAlign w:val="bottom"/>
          </w:tcPr>
          <w:p>
            <w:pPr>
              <w:spacing w:after="0"/>
              <w:rPr>
                <w:sz w:val="16"/>
                <w:szCs w:val="16"/>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Location</w:t>
            </w:r>
          </w:p>
        </w:tc>
        <w:tc>
          <w:tcPr>
            <w:tcW w:w="200" w:type="dxa"/>
            <w:vAlign w:val="bottom"/>
          </w:tcPr>
          <w:p>
            <w:pPr>
              <w:spacing w:after="0"/>
              <w:rPr>
                <w:sz w:val="16"/>
                <w:szCs w:val="16"/>
                <w:color w:val="auto"/>
              </w:rPr>
            </w:pPr>
          </w:p>
        </w:tc>
        <w:tc>
          <w:tcPr>
            <w:tcW w:w="700" w:type="dxa"/>
            <w:vAlign w:val="bottom"/>
          </w:tcPr>
          <w:p>
            <w:pPr>
              <w:jc w:val="right"/>
              <w:ind w:right="19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5"/>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Foreign exchange</w:t>
            </w: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contracts</w:t>
            </w:r>
          </w:p>
        </w:tc>
        <w:tc>
          <w:tcPr>
            <w:tcW w:w="1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1,418</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1,653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2,855</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1"/>
                <w:szCs w:val="21"/>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21"/>
                <w:szCs w:val="21"/>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1"/>
                <w:szCs w:val="21"/>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cap</w:t>
            </w:r>
          </w:p>
        </w:tc>
        <w:tc>
          <w:tcPr>
            <w:tcW w:w="1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9,107</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2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500" w:type="dxa"/>
            <w:vAlign w:val="bottom"/>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11,175</w:t>
            </w: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tables below present the effect of the Company's derivative financial instruments on the Consolidated Statements of Operations for the years ended</w:t>
      </w:r>
    </w:p>
    <w:p>
      <w:pPr>
        <w:spacing w:after="0" w:line="46" w:lineRule="exact"/>
        <w:rPr>
          <w:sz w:val="20"/>
          <w:szCs w:val="20"/>
          <w:color w:val="auto"/>
        </w:rPr>
      </w:pPr>
    </w:p>
    <w:p>
      <w:pPr>
        <w:ind w:left="80"/>
        <w:spacing w:after="0"/>
        <w:rPr>
          <w:sz w:val="20"/>
          <w:szCs w:val="20"/>
          <w:color w:val="auto"/>
        </w:rPr>
      </w:pPr>
      <w:r>
        <w:rPr>
          <w:rFonts w:ascii="Arial" w:cs="Arial" w:eastAsia="Arial" w:hAnsi="Arial"/>
          <w:sz w:val="18"/>
          <w:szCs w:val="18"/>
          <w:color w:val="auto"/>
        </w:rPr>
        <w:t>December 31, 2013 and 2012 ($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Amount of Gain (Loss)</w:t>
            </w:r>
          </w:p>
        </w:tc>
        <w:tc>
          <w:tcPr>
            <w:tcW w:w="160" w:type="dxa"/>
            <w:vAlign w:val="bottom"/>
          </w:tcPr>
          <w:p>
            <w:pPr>
              <w:spacing w:after="0"/>
              <w:rPr>
                <w:sz w:val="14"/>
                <w:szCs w:val="14"/>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 of Gain (Loss)</w:t>
            </w:r>
          </w:p>
        </w:tc>
        <w:tc>
          <w:tcPr>
            <w:tcW w:w="1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Amount of Gain (Loss)</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60" w:type="dxa"/>
            <w:vAlign w:val="bottom"/>
          </w:tcPr>
          <w:p>
            <w:pPr>
              <w:spacing w:after="0"/>
              <w:rPr>
                <w:sz w:val="12"/>
                <w:szCs w:val="12"/>
                <w:color w:val="auto"/>
              </w:rPr>
            </w:pPr>
          </w:p>
        </w:tc>
        <w:tc>
          <w:tcPr>
            <w:tcW w:w="1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Location of Gain (Loss)</w:t>
            </w:r>
          </w:p>
        </w:tc>
        <w:tc>
          <w:tcPr>
            <w:tcW w:w="120" w:type="dxa"/>
            <w:vAlign w:val="bottom"/>
          </w:tcPr>
          <w:p>
            <w:pPr>
              <w:spacing w:after="0"/>
              <w:rPr>
                <w:sz w:val="12"/>
                <w:szCs w:val="12"/>
                <w:color w:val="auto"/>
              </w:rPr>
            </w:pPr>
          </w:p>
        </w:tc>
        <w:tc>
          <w:tcPr>
            <w:tcW w:w="1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12"/>
                <w:szCs w:val="12"/>
                <w:color w:val="auto"/>
              </w:rPr>
            </w:pPr>
          </w:p>
        </w:tc>
        <w:tc>
          <w:tcPr>
            <w:tcW w:w="1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4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Designated in Hedging Relationships</w:t>
            </w:r>
          </w:p>
        </w:tc>
        <w:tc>
          <w:tcPr>
            <w:tcW w:w="120" w:type="dxa"/>
            <w:vAlign w:val="bottom"/>
            <w:vMerge w:val="restart"/>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 Income</w:t>
            </w:r>
          </w:p>
        </w:tc>
        <w:tc>
          <w:tcPr>
            <w:tcW w:w="19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9"/>
              </w:rPr>
              <w:t>Comprehensive Income into</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Earnings (Ineffective</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8"/>
              </w:rPr>
              <w:t>Recognized in Income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4"/>
              </w:rPr>
              <w:t>(Effective Portion)</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Earnings (Effective Portion)</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Portion)</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December 31, 2013</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Interest rate cap</w:t>
            </w: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(1,517)</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Foreign exchange contracts</w:t>
            </w: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Other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9"/>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December 31, 2012</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Interest rate swap</w:t>
            </w: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December 31, 2011</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Interest rate swap</w:t>
            </w: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(1,553)</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405"/>
        <w:spacing w:after="0" w:line="281" w:lineRule="auto"/>
        <w:rPr>
          <w:sz w:val="20"/>
          <w:szCs w:val="20"/>
          <w:color w:val="auto"/>
        </w:rPr>
      </w:pPr>
      <w:r>
        <w:rPr>
          <w:rFonts w:ascii="Arial" w:cs="Arial" w:eastAsia="Arial" w:hAnsi="Arial"/>
          <w:sz w:val="17"/>
          <w:szCs w:val="17"/>
          <w:b w:val="1"/>
          <w:bCs w:val="1"/>
          <w:color w:val="auto"/>
        </w:rPr>
        <w:t>Foreign exchange contracts</w:t>
      </w:r>
      <w:r>
        <w:rPr>
          <w:rFonts w:ascii="Arial" w:cs="Arial" w:eastAsia="Arial" w:hAnsi="Arial"/>
          <w:sz w:val="17"/>
          <w:szCs w:val="17"/>
          <w:color w:val="auto"/>
        </w:rPr>
        <w:t>—The Company is exposed to fluctuations in foreign exchange rates on investments it holds in foreign entities.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uses foreign exchange contracts to hedge its exposure to changes in foreign exchange rates on its foreign investments. Foreign exchange contracts involve fixing the USD to the respective foreign currency exchange rate for delivery of a specified amount of foreign currency on a specified date. The foreign exchange contracts are typically cash settled in US dollars for their fair value at or close to their settlement date.</w:t>
      </w:r>
    </w:p>
    <w:p>
      <w:pPr>
        <w:spacing w:after="0" w:line="12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For derivatives designated as net investment hedges, the effective portion of changes in the fair value of the derivatives are reported in Accumulated Other Comprehensive Income as part of the cumulative translation adjustment. The ineffective portion of the change in fair value of the derivatives is recognized directly in earnings. Amounts are reclassified out of Accumulated Other Comprehensive Income into earnings when the hedged net investment is either sold or substantially liquidated. In June 2013, the Company entered into a foreign exchange contract to hedge its exposure in a subsidiary whose functional currency is INR. As of December 31, 2013, the Company had the following outstanding foreign currency derivatives that were used to hedge its net investments in foreign operations that were designated ($ in thousands):</w:t>
      </w: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Type</w:t>
            </w:r>
          </w:p>
        </w:tc>
        <w:tc>
          <w:tcPr>
            <w:tcW w:w="120" w:type="dxa"/>
            <w:vAlign w:val="bottom"/>
            <w:vMerge w:val="restart"/>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Notional</w:t>
            </w:r>
          </w:p>
        </w:tc>
        <w:tc>
          <w:tcPr>
            <w:tcW w:w="240" w:type="dxa"/>
            <w:vAlign w:val="bottom"/>
          </w:tcPr>
          <w:p>
            <w:pPr>
              <w:spacing w:after="0"/>
              <w:rPr>
                <w:sz w:val="14"/>
                <w:szCs w:val="14"/>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Notional</w:t>
            </w:r>
          </w:p>
        </w:tc>
        <w:tc>
          <w:tcPr>
            <w:tcW w:w="13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6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5"/>
              </w:rPr>
              <w:t>(USD Equivalent)</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Sells INR/Buys USD Forward</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456,000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7,379</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7"/>
              </w:rPr>
              <w:t>January 2014</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derivatives not designated as net investment hedges, the changes in the fair value of the derivatives are reported in the Consolidated Statements of Operations within other expense. As of December 31, 2013, the Company had the following outstanding foreign currency derivatives that were used to hedge its net investments in foreign operations that were not designated ($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Type</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516"/>
              <w:spacing w:after="0"/>
              <w:rPr>
                <w:sz w:val="20"/>
                <w:szCs w:val="20"/>
                <w:color w:val="auto"/>
              </w:rPr>
            </w:pPr>
            <w:r>
              <w:rPr>
                <w:rFonts w:ascii="Arial" w:cs="Arial" w:eastAsia="Arial" w:hAnsi="Arial"/>
                <w:sz w:val="14"/>
                <w:szCs w:val="14"/>
                <w:b w:val="1"/>
                <w:bCs w:val="1"/>
                <w:color w:val="auto"/>
              </w:rPr>
              <w:t>Notional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Notional</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Maturity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5"/>
              </w:rPr>
              <w:t>(USD Equivalent)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Sells EUR/Buys USD Forward</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80,500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110,696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87"/>
              </w:rPr>
              <w:t>January 2014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Sells GBP/Buys USD Forward</w:t>
            </w:r>
          </w:p>
        </w:tc>
        <w:tc>
          <w:tcPr>
            <w:tcW w:w="1960" w:type="dxa"/>
            <w:vAlign w:val="bottom"/>
            <w:gridSpan w:val="4"/>
          </w:tcPr>
          <w:p>
            <w:pPr>
              <w:ind w:left="1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3,800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6,295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120"/>
              <w:spacing w:after="0"/>
              <w:rPr>
                <w:sz w:val="20"/>
                <w:szCs w:val="20"/>
                <w:color w:val="auto"/>
              </w:rPr>
            </w:pPr>
            <w:r>
              <w:rPr>
                <w:rFonts w:ascii="Arial" w:cs="Arial" w:eastAsia="Arial" w:hAnsi="Arial"/>
                <w:sz w:val="18"/>
                <w:szCs w:val="18"/>
                <w:color w:val="auto"/>
                <w:w w:val="87"/>
              </w:rPr>
              <w:t>January 2014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Sells CAD/Buys USD Forward</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41,500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39,036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87"/>
              </w:rPr>
              <w:t>January 2014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3"/>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Amount of Gain or (Loss)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0"/>
              </w:rPr>
              <w:t>Recognized in Income</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5"/>
              </w:rPr>
              <w:t>Location of Gain or</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0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w w:val="92"/>
              </w:rPr>
              <w:t>For the Years Ended December 31,</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68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1960" w:type="dxa"/>
            <w:vAlign w:val="bottom"/>
            <w:gridSpan w:val="4"/>
            <w:vMerge w:val="restart"/>
          </w:tcPr>
          <w:p>
            <w:pPr>
              <w:jc w:val="center"/>
              <w:ind w:right="140"/>
              <w:spacing w:after="0" w:line="139" w:lineRule="exact"/>
              <w:rPr>
                <w:sz w:val="20"/>
                <w:szCs w:val="20"/>
                <w:color w:val="auto"/>
              </w:rPr>
            </w:pPr>
            <w:r>
              <w:rPr>
                <w:rFonts w:ascii="Arial" w:cs="Arial" w:eastAsia="Arial" w:hAnsi="Arial"/>
                <w:sz w:val="14"/>
                <w:szCs w:val="14"/>
                <w:b w:val="1"/>
                <w:bCs w:val="1"/>
                <w:color w:val="auto"/>
                <w:w w:val="89"/>
              </w:rPr>
              <w:t>(Loss) Recognized in</w:t>
            </w: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Derivatives not Designated in Hedging Relationships</w:t>
            </w:r>
          </w:p>
        </w:tc>
        <w:tc>
          <w:tcPr>
            <w:tcW w:w="120" w:type="dxa"/>
            <w:vAlign w:val="bottom"/>
            <w:vMerge w:val="continue"/>
          </w:tcPr>
          <w:p>
            <w:pPr>
              <w:spacing w:after="0"/>
              <w:rPr>
                <w:sz w:val="5"/>
                <w:szCs w:val="5"/>
                <w:color w:val="auto"/>
              </w:rPr>
            </w:pPr>
          </w:p>
        </w:tc>
        <w:tc>
          <w:tcPr>
            <w:tcW w:w="196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vMerge w:val="restart"/>
          </w:tcPr>
          <w:p>
            <w:pPr>
              <w:jc w:val="center"/>
              <w:ind w:right="176"/>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4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880</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35"/>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80" w:type="dxa"/>
            <w:vAlign w:val="bottom"/>
            <w:gridSpan w:val="2"/>
          </w:tcPr>
          <w:p>
            <w:pPr>
              <w:jc w:val="center"/>
              <w:ind w:left="450"/>
              <w:spacing w:after="0"/>
              <w:rPr>
                <w:sz w:val="20"/>
                <w:szCs w:val="20"/>
                <w:color w:val="auto"/>
              </w:rPr>
            </w:pPr>
            <w:r>
              <w:rPr>
                <w:rFonts w:ascii="Arial" w:cs="Arial" w:eastAsia="Arial" w:hAnsi="Arial"/>
                <w:sz w:val="18"/>
                <w:szCs w:val="18"/>
                <w:color w:val="auto"/>
                <w:w w:val="89"/>
              </w:rPr>
              <w:t>79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marks its foreign investments to market each quarter based on current exchange rates and records the gain or loss through “Other expense” on its Consolidated Statements of Operations for loan investments or “Accumulated other comprehensive income (loss),” on its Consolidated Balance Sheets for net investments in foreign subsidiaries. During the years ended December 31, 2013, 2012 and 2011, the Company recorded net losses related to foreign investments of $2.0 million, $0.7 million and $2.3 million, in its Consolidated Statements of Operations.</w:t>
      </w:r>
    </w:p>
    <w:p>
      <w:pPr>
        <w:spacing w:after="0" w:line="127"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b w:val="1"/>
          <w:bCs w:val="1"/>
          <w:color w:val="auto"/>
        </w:rPr>
        <w:t>Qualifying cash flow hedges</w:t>
      </w:r>
      <w:r>
        <w:rPr>
          <w:rFonts w:ascii="Arial" w:cs="Arial" w:eastAsia="Arial" w:hAnsi="Arial"/>
          <w:sz w:val="18"/>
          <w:szCs w:val="18"/>
          <w:color w:val="auto"/>
        </w:rPr>
        <w:t>—In August 2013, the Company entered into an interest rate cap agreement to reduce exposure to expected increases in</w:t>
      </w:r>
      <w:r>
        <w:rPr>
          <w:rFonts w:ascii="Arial" w:cs="Arial" w:eastAsia="Arial" w:hAnsi="Arial"/>
          <w:sz w:val="18"/>
          <w:szCs w:val="18"/>
          <w:b w:val="1"/>
          <w:bCs w:val="1"/>
          <w:color w:val="auto"/>
        </w:rPr>
        <w:t xml:space="preserve"> </w:t>
      </w:r>
      <w:r>
        <w:rPr>
          <w:rFonts w:ascii="Arial" w:cs="Arial" w:eastAsia="Arial" w:hAnsi="Arial"/>
          <w:sz w:val="18"/>
          <w:szCs w:val="18"/>
          <w:color w:val="auto"/>
        </w:rPr>
        <w:t>future interest rates and the resulting payments associated with variable interest rate debt. In October 2012, the Company entered into an interest rate swap to convert its variable rate debt to fixed rate on a $28.0 million secured term loan maturing in 2019. The following table presents the Company's qualifying cash flow hedges outstanding as of year ended December 31, 2013 ($ in thousands).</w:t>
      </w:r>
    </w:p>
    <w:p>
      <w:pPr>
        <w:spacing w:after="0" w:line="27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Type</w:t>
            </w:r>
          </w:p>
        </w:tc>
        <w:tc>
          <w:tcPr>
            <w:tcW w:w="14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Notional</w:t>
            </w: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Variable Rate</w:t>
            </w:r>
          </w:p>
        </w:tc>
        <w:tc>
          <w:tcPr>
            <w:tcW w:w="100" w:type="dxa"/>
            <w:vAlign w:val="bottom"/>
            <w:vMerge w:val="restart"/>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Fixed Rate</w:t>
            </w:r>
          </w:p>
        </w:tc>
        <w:tc>
          <w:tcPr>
            <w:tcW w:w="100" w:type="dxa"/>
            <w:vAlign w:val="bottom"/>
            <w:vMerge w:val="restart"/>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Effective Date</w:t>
            </w:r>
          </w:p>
        </w:tc>
        <w:tc>
          <w:tcPr>
            <w:tcW w:w="120" w:type="dxa"/>
            <w:vAlign w:val="bottom"/>
            <w:vMerge w:val="restart"/>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19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Rate Cap</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LIBOR</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July 2014</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July 2017</w:t>
            </w:r>
          </w:p>
        </w:tc>
        <w:tc>
          <w:tcPr>
            <w:tcW w:w="0" w:type="dxa"/>
            <w:vAlign w:val="bottom"/>
          </w:tcPr>
          <w:p>
            <w:pPr>
              <w:spacing w:after="0"/>
              <w:rPr>
                <w:sz w:val="1"/>
                <w:szCs w:val="1"/>
                <w:color w:val="auto"/>
              </w:rPr>
            </w:pPr>
          </w:p>
        </w:tc>
      </w:tr>
      <w:tr>
        <w:trPr>
          <w:trHeight w:val="243"/>
        </w:trPr>
        <w:tc>
          <w:tcPr>
            <w:tcW w:w="2080" w:type="dxa"/>
            <w:vAlign w:val="bottom"/>
            <w:gridSpan w:val="2"/>
          </w:tcPr>
          <w:p>
            <w:pPr>
              <w:ind w:left="20"/>
              <w:spacing w:after="0"/>
              <w:rPr>
                <w:sz w:val="20"/>
                <w:szCs w:val="20"/>
                <w:color w:val="auto"/>
              </w:rPr>
            </w:pPr>
            <w:r>
              <w:rPr>
                <w:rFonts w:ascii="Arial" w:cs="Arial" w:eastAsia="Arial" w:hAnsi="Arial"/>
                <w:sz w:val="18"/>
                <w:szCs w:val="18"/>
                <w:color w:val="auto"/>
              </w:rPr>
              <w:t>Interest Rate Swap</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27,958</w:t>
            </w:r>
          </w:p>
        </w:tc>
        <w:tc>
          <w:tcPr>
            <w:tcW w:w="120" w:type="dxa"/>
            <w:vAlign w:val="bottom"/>
          </w:tcPr>
          <w:p>
            <w:pPr>
              <w:spacing w:after="0"/>
              <w:rPr>
                <w:sz w:val="21"/>
                <w:szCs w:val="21"/>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LIBOR + 2.00%</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3.47%</w:t>
            </w:r>
          </w:p>
        </w:tc>
        <w:tc>
          <w:tcPr>
            <w:tcW w:w="100" w:type="dxa"/>
            <w:vAlign w:val="bottom"/>
          </w:tcPr>
          <w:p>
            <w:pPr>
              <w:spacing w:after="0"/>
              <w:rPr>
                <w:sz w:val="21"/>
                <w:szCs w:val="21"/>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October 2012</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November 2019</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year ended December 31, 2012, the Company terminated its previously outstanding interest rate swaps in conjunction with the early repayment of its secured term loans (see also Note 8).</w:t>
      </w:r>
    </w:p>
    <w:p>
      <w:pPr>
        <w:spacing w:after="0" w:line="17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Over the next 12 months, the Company expects that $0.4 million will be reclassified to interest expense from cash flow hedges and $0.4 million will be reclassified to income related to terminated cash flow hedges from "Accumulated other comprehensive income (loss)" into earnings.</w:t>
      </w:r>
    </w:p>
    <w:p>
      <w:pPr>
        <w:spacing w:after="0" w:line="143"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Credit risk-related contingent features</w:t>
      </w:r>
      <w:r>
        <w:rPr>
          <w:rFonts w:ascii="Arial" w:cs="Arial" w:eastAsia="Arial" w:hAnsi="Arial"/>
          <w:sz w:val="18"/>
          <w:szCs w:val="18"/>
          <w:color w:val="auto"/>
        </w:rPr>
        <w:t>—The Company has agreements with each of its derivative counterparties that contain a provision where if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either defaults or is capable of being declared in default on any of its indebtedness, then the Company could also be declared in default on its derivative obligations.</w:t>
      </w:r>
    </w:p>
    <w:p>
      <w:pPr>
        <w:spacing w:after="0" w:line="18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connection with its foreign currency derivatives, as of December 31, 2013 and December 31, 2012, the Company has posted collateral of $7.2 million and $9.6 million, respectively, which is included in "Restricted cash" on the Company's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11—Equity</w:t>
      </w:r>
    </w:p>
    <w:p>
      <w:pPr>
        <w:spacing w:after="0" w:line="148"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Company's charter provides for the issuance of up to 200.0 million shares of Common Stock, par value $0.001 per share and 30.0 million shares of preferred stock. As of December 31, 2013, 144.3 million common shares were issued and 83.7 million common shares were outstanding.</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Preferred Stock</w:t>
      </w:r>
      <w:r>
        <w:rPr>
          <w:rFonts w:ascii="Arial" w:cs="Arial" w:eastAsia="Arial" w:hAnsi="Arial"/>
          <w:sz w:val="18"/>
          <w:szCs w:val="18"/>
          <w:color w:val="auto"/>
        </w:rPr>
        <w:t>—The Company had the following series of Cumulative Redeemable Preferred Stock outstanding: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 Ended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23495</wp:posOffset>
            </wp:positionV>
            <wp:extent cx="62687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23"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Cumulative Preferential Cash</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Dividends(1)(2)</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Shares Issued and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center"/>
              <w:ind w:right="156"/>
              <w:spacing w:after="0" w:line="153" w:lineRule="exact"/>
              <w:rPr>
                <w:sz w:val="20"/>
                <w:szCs w:val="20"/>
                <w:color w:val="auto"/>
              </w:rPr>
            </w:pPr>
            <w:r>
              <w:rPr>
                <w:rFonts w:ascii="Arial" w:cs="Arial" w:eastAsia="Arial" w:hAnsi="Arial"/>
                <w:sz w:val="14"/>
                <w:szCs w:val="14"/>
                <w:b w:val="1"/>
                <w:bCs w:val="1"/>
                <w:color w:val="auto"/>
                <w:w w:val="93"/>
              </w:rPr>
              <w:t>Equivalent to</w:t>
            </w:r>
          </w:p>
        </w:tc>
        <w:tc>
          <w:tcPr>
            <w:tcW w:w="0" w:type="dxa"/>
            <w:vAlign w:val="bottom"/>
          </w:tcPr>
          <w:p>
            <w:pPr>
              <w:spacing w:after="0"/>
              <w:rPr>
                <w:sz w:val="1"/>
                <w:szCs w:val="1"/>
                <w:color w:val="auto"/>
              </w:rPr>
            </w:pPr>
          </w:p>
        </w:tc>
      </w:tr>
      <w:tr>
        <w:trPr>
          <w:trHeight w:val="149"/>
        </w:trPr>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Series</w:t>
            </w:r>
          </w:p>
        </w:tc>
        <w:tc>
          <w:tcPr>
            <w:tcW w:w="120" w:type="dxa"/>
            <w:vAlign w:val="bottom"/>
            <w:vMerge w:val="restart"/>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Par Value</w:t>
            </w:r>
          </w:p>
        </w:tc>
        <w:tc>
          <w:tcPr>
            <w:tcW w:w="120" w:type="dxa"/>
            <w:vAlign w:val="bottom"/>
            <w:vMerge w:val="restart"/>
          </w:tcPr>
          <w:p>
            <w:pPr>
              <w:spacing w:after="0"/>
              <w:rPr>
                <w:sz w:val="12"/>
                <w:szCs w:val="12"/>
                <w:color w:val="auto"/>
              </w:rPr>
            </w:pPr>
          </w:p>
        </w:tc>
        <w:tc>
          <w:tcPr>
            <w:tcW w:w="164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Liquidation Preference</w:t>
            </w:r>
          </w:p>
        </w:tc>
        <w:tc>
          <w:tcPr>
            <w:tcW w:w="1760" w:type="dxa"/>
            <w:vAlign w:val="bottom"/>
            <w:vMerge w:val="restart"/>
          </w:tcPr>
          <w:p>
            <w:pPr>
              <w:jc w:val="center"/>
              <w:ind w:left="36"/>
              <w:spacing w:after="0"/>
              <w:rPr>
                <w:sz w:val="20"/>
                <w:szCs w:val="20"/>
                <w:color w:val="auto"/>
              </w:rPr>
            </w:pPr>
            <w:r>
              <w:rPr>
                <w:rFonts w:ascii="Arial" w:cs="Arial" w:eastAsia="Arial" w:hAnsi="Arial"/>
                <w:sz w:val="14"/>
                <w:szCs w:val="14"/>
                <w:b w:val="1"/>
                <w:bCs w:val="1"/>
                <w:color w:val="auto"/>
                <w:w w:val="96"/>
              </w:rPr>
              <w:t>Rate per Annum</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5"/>
              </w:rPr>
              <w:t>Fixed Annual</w:t>
            </w:r>
          </w:p>
        </w:tc>
        <w:tc>
          <w:tcPr>
            <w:tcW w:w="0" w:type="dxa"/>
            <w:vAlign w:val="bottom"/>
          </w:tcPr>
          <w:p>
            <w:pPr>
              <w:spacing w:after="0"/>
              <w:rPr>
                <w:sz w:val="1"/>
                <w:szCs w:val="1"/>
                <w:color w:val="auto"/>
              </w:rPr>
            </w:pPr>
          </w:p>
        </w:tc>
      </w:tr>
      <w:tr>
        <w:trPr>
          <w:trHeight w:val="192"/>
        </w:trPr>
        <w:tc>
          <w:tcPr>
            <w:tcW w:w="1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3"/>
              </w:rPr>
              <w:t>Rate (per share)</w:t>
            </w:r>
          </w:p>
        </w:tc>
        <w:tc>
          <w:tcPr>
            <w:tcW w:w="0" w:type="dxa"/>
            <w:vAlign w:val="bottom"/>
          </w:tcPr>
          <w:p>
            <w:pPr>
              <w:spacing w:after="0"/>
              <w:rPr>
                <w:sz w:val="1"/>
                <w:szCs w:val="1"/>
                <w:color w:val="auto"/>
              </w:rPr>
            </w:pPr>
          </w:p>
        </w:tc>
      </w:tr>
      <w:tr>
        <w:trPr>
          <w:trHeight w:val="250"/>
        </w:trPr>
        <w:tc>
          <w:tcPr>
            <w:tcW w:w="1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D</w:t>
            </w: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0.001</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E</w:t>
            </w: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5,600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0.001</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$25.00</w:t>
            </w:r>
          </w:p>
        </w:tc>
        <w:tc>
          <w:tcPr>
            <w:tcW w:w="1760" w:type="dxa"/>
            <w:vAlign w:val="bottom"/>
          </w:tcPr>
          <w:p>
            <w:pPr>
              <w:jc w:val="right"/>
              <w:spacing w:after="0"/>
              <w:rPr>
                <w:sz w:val="20"/>
                <w:szCs w:val="20"/>
                <w:color w:val="auto"/>
              </w:rPr>
            </w:pPr>
            <w:r>
              <w:rPr>
                <w:rFonts w:ascii="Arial" w:cs="Arial" w:eastAsia="Arial" w:hAnsi="Arial"/>
                <w:sz w:val="18"/>
                <w:szCs w:val="18"/>
                <w:color w:val="auto"/>
              </w:rPr>
              <w:t>7.875%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F</w:t>
            </w: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0.001</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G</w:t>
            </w: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3,200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0.001</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$25.00</w:t>
            </w:r>
          </w:p>
        </w:tc>
        <w:tc>
          <w:tcPr>
            <w:tcW w:w="1760" w:type="dxa"/>
            <w:vAlign w:val="bottom"/>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I</w:t>
            </w: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0.001</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J</w:t>
            </w: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4,000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0.001</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$50.00</w:t>
            </w:r>
          </w:p>
        </w:tc>
        <w:tc>
          <w:tcPr>
            <w:tcW w:w="176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1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25,800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ind w:right="1212"/>
              <w:spacing w:after="0"/>
              <w:rPr>
                <w:sz w:val="20"/>
                <w:szCs w:val="20"/>
                <w:color w:val="auto"/>
              </w:rPr>
            </w:pPr>
            <w:r>
              <w:rPr>
                <w:rFonts w:ascii="Arial" w:cs="Arial" w:eastAsia="Arial" w:hAnsi="Arial"/>
                <w:sz w:val="18"/>
                <w:szCs w:val="18"/>
                <w:color w:val="auto"/>
              </w:rPr>
              <w:t>80</w:t>
            </w:r>
          </w:p>
        </w:tc>
        <w:tc>
          <w:tcPr>
            <w:tcW w:w="1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 Ended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23495</wp:posOffset>
            </wp:positionV>
            <wp:extent cx="62687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23"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Cumulative Preferential Cash</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Dividends(1)(2)</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Shares Issued and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93"/>
              </w:rPr>
              <w:t>Equivalent to</w:t>
            </w:r>
          </w:p>
        </w:tc>
        <w:tc>
          <w:tcPr>
            <w:tcW w:w="0" w:type="dxa"/>
            <w:vAlign w:val="bottom"/>
          </w:tcPr>
          <w:p>
            <w:pPr>
              <w:spacing w:after="0"/>
              <w:rPr>
                <w:sz w:val="1"/>
                <w:szCs w:val="1"/>
                <w:color w:val="auto"/>
              </w:rPr>
            </w:pPr>
          </w:p>
        </w:tc>
      </w:tr>
      <w:tr>
        <w:trPr>
          <w:trHeight w:val="149"/>
        </w:trPr>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Series</w:t>
            </w:r>
          </w:p>
        </w:tc>
        <w:tc>
          <w:tcPr>
            <w:tcW w:w="120" w:type="dxa"/>
            <w:vAlign w:val="bottom"/>
            <w:vMerge w:val="restart"/>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Par Value</w:t>
            </w:r>
          </w:p>
        </w:tc>
        <w:tc>
          <w:tcPr>
            <w:tcW w:w="120" w:type="dxa"/>
            <w:vAlign w:val="bottom"/>
            <w:vMerge w:val="restart"/>
          </w:tcPr>
          <w:p>
            <w:pPr>
              <w:spacing w:after="0"/>
              <w:rPr>
                <w:sz w:val="12"/>
                <w:szCs w:val="12"/>
                <w:color w:val="auto"/>
              </w:rPr>
            </w:pPr>
          </w:p>
        </w:tc>
        <w:tc>
          <w:tcPr>
            <w:tcW w:w="164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Liquidation Preference</w:t>
            </w:r>
          </w:p>
        </w:tc>
        <w:tc>
          <w:tcPr>
            <w:tcW w:w="1760" w:type="dxa"/>
            <w:vAlign w:val="bottom"/>
            <w:vMerge w:val="restart"/>
          </w:tcPr>
          <w:p>
            <w:pPr>
              <w:jc w:val="center"/>
              <w:ind w:left="37"/>
              <w:spacing w:after="0"/>
              <w:rPr>
                <w:sz w:val="20"/>
                <w:szCs w:val="20"/>
                <w:color w:val="auto"/>
              </w:rPr>
            </w:pPr>
            <w:r>
              <w:rPr>
                <w:rFonts w:ascii="Arial" w:cs="Arial" w:eastAsia="Arial" w:hAnsi="Arial"/>
                <w:sz w:val="14"/>
                <w:szCs w:val="14"/>
                <w:b w:val="1"/>
                <w:bCs w:val="1"/>
                <w:color w:val="auto"/>
                <w:w w:val="96"/>
              </w:rPr>
              <w:t>Rate per Annum</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5"/>
              </w:rPr>
              <w:t>Fixed Annual</w:t>
            </w:r>
          </w:p>
        </w:tc>
        <w:tc>
          <w:tcPr>
            <w:tcW w:w="0" w:type="dxa"/>
            <w:vAlign w:val="bottom"/>
          </w:tcPr>
          <w:p>
            <w:pPr>
              <w:spacing w:after="0"/>
              <w:rPr>
                <w:sz w:val="1"/>
                <w:szCs w:val="1"/>
                <w:color w:val="auto"/>
              </w:rPr>
            </w:pPr>
          </w:p>
        </w:tc>
      </w:tr>
      <w:tr>
        <w:trPr>
          <w:trHeight w:val="192"/>
        </w:trPr>
        <w:tc>
          <w:tcPr>
            <w:tcW w:w="1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Rate (per share)</w:t>
            </w:r>
          </w:p>
        </w:tc>
        <w:tc>
          <w:tcPr>
            <w:tcW w:w="0" w:type="dxa"/>
            <w:vAlign w:val="bottom"/>
          </w:tcPr>
          <w:p>
            <w:pPr>
              <w:spacing w:after="0"/>
              <w:rPr>
                <w:sz w:val="1"/>
                <w:szCs w:val="1"/>
                <w:color w:val="auto"/>
              </w:rPr>
            </w:pPr>
          </w:p>
        </w:tc>
      </w:tr>
      <w:tr>
        <w:trPr>
          <w:trHeight w:val="250"/>
        </w:trPr>
        <w:tc>
          <w:tcPr>
            <w:tcW w:w="1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D</w:t>
            </w:r>
          </w:p>
        </w:tc>
        <w:tc>
          <w:tcPr>
            <w:tcW w:w="1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0.001</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E</w:t>
            </w:r>
          </w:p>
        </w:tc>
        <w:tc>
          <w:tcPr>
            <w:tcW w:w="1740" w:type="dxa"/>
            <w:vAlign w:val="bottom"/>
          </w:tcPr>
          <w:p>
            <w:pPr>
              <w:jc w:val="right"/>
              <w:ind w:right="16"/>
              <w:spacing w:after="0"/>
              <w:rPr>
                <w:sz w:val="20"/>
                <w:szCs w:val="20"/>
                <w:color w:val="auto"/>
              </w:rPr>
            </w:pPr>
            <w:r>
              <w:rPr>
                <w:rFonts w:ascii="Arial" w:cs="Arial" w:eastAsia="Arial" w:hAnsi="Arial"/>
                <w:sz w:val="18"/>
                <w:szCs w:val="18"/>
                <w:color w:val="auto"/>
              </w:rPr>
              <w:t>5,600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0.001</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$25.00</w:t>
            </w:r>
          </w:p>
        </w:tc>
        <w:tc>
          <w:tcPr>
            <w:tcW w:w="1760" w:type="dxa"/>
            <w:vAlign w:val="bottom"/>
          </w:tcPr>
          <w:p>
            <w:pPr>
              <w:jc w:val="right"/>
              <w:spacing w:after="0"/>
              <w:rPr>
                <w:sz w:val="20"/>
                <w:szCs w:val="20"/>
                <w:color w:val="auto"/>
              </w:rPr>
            </w:pPr>
            <w:r>
              <w:rPr>
                <w:rFonts w:ascii="Arial" w:cs="Arial" w:eastAsia="Arial" w:hAnsi="Arial"/>
                <w:sz w:val="18"/>
                <w:szCs w:val="18"/>
                <w:color w:val="auto"/>
              </w:rPr>
              <w:t>7.875%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F</w:t>
            </w:r>
          </w:p>
        </w:tc>
        <w:tc>
          <w:tcPr>
            <w:tcW w:w="1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0.001</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G</w:t>
            </w:r>
          </w:p>
        </w:tc>
        <w:tc>
          <w:tcPr>
            <w:tcW w:w="1740" w:type="dxa"/>
            <w:vAlign w:val="bottom"/>
          </w:tcPr>
          <w:p>
            <w:pPr>
              <w:jc w:val="right"/>
              <w:ind w:right="16"/>
              <w:spacing w:after="0"/>
              <w:rPr>
                <w:sz w:val="20"/>
                <w:szCs w:val="20"/>
                <w:color w:val="auto"/>
              </w:rPr>
            </w:pPr>
            <w:r>
              <w:rPr>
                <w:rFonts w:ascii="Arial" w:cs="Arial" w:eastAsia="Arial" w:hAnsi="Arial"/>
                <w:sz w:val="18"/>
                <w:szCs w:val="18"/>
                <w:color w:val="auto"/>
              </w:rPr>
              <w:t>3,200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0.001</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$25.00</w:t>
            </w:r>
          </w:p>
        </w:tc>
        <w:tc>
          <w:tcPr>
            <w:tcW w:w="1760" w:type="dxa"/>
            <w:vAlign w:val="bottom"/>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I</w:t>
            </w:r>
          </w:p>
        </w:tc>
        <w:tc>
          <w:tcPr>
            <w:tcW w:w="1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0.001</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7"/>
        </w:trPr>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21,800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660" w:hanging="652"/>
        <w:spacing w:after="0" w:line="244" w:lineRule="auto"/>
        <w:tabs>
          <w:tab w:leader="none" w:pos="6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Holders of shares of the Series D, E, F, G, I and J preferred stock are entitled to receive dividends, when and as declared by the Board of Directors, out of funds legally available for the payment of dividends. Dividends are cumulative from the date of original issue and are payable quarterly in arrears on or before the 15th day of each March, June, September and December or, if not a business day, the next succeeding business day. Any dividend payable on the preferred stock for any partial dividend period will be computed on the basis of a 360-day year consisting of twelve 30-day months. Dividends will be payable to holders of record as of the close of business on the first day of the calendar month in which the applicable dividend payment date falls or on another date designated by the Board of Directors of the Company for the payment of dividends that is not more than 30 nor less than 10 days prior to the dividend payment date.</w:t>
      </w:r>
    </w:p>
    <w:p>
      <w:pPr>
        <w:spacing w:after="0" w:line="2" w:lineRule="exact"/>
        <w:rPr>
          <w:rFonts w:ascii="Arial" w:cs="Arial" w:eastAsia="Arial" w:hAnsi="Arial"/>
          <w:sz w:val="14"/>
          <w:szCs w:val="14"/>
          <w:color w:val="auto"/>
        </w:rPr>
      </w:pPr>
    </w:p>
    <w:p>
      <w:pPr>
        <w:jc w:val="both"/>
        <w:ind w:left="660" w:hanging="652"/>
        <w:spacing w:after="0" w:line="276" w:lineRule="auto"/>
        <w:tabs>
          <w:tab w:leader="none" w:pos="6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Company declared and paid dividends of $8.0 million, $11.0 million, $7.8 million, $6.1 million and $9.4 million on its Series D, E, F, G and I preferred stock, respectively, during each of the years ended December 31, 2013 and 2012. The Company also declared and paid dividends of $6.7 million on its Series J preferred stock during the year ended December 31, 2013. All of the dividends qualified as return of capital for tax reporting purposes. There are no dividend arrearages on any of the preferred shares currently outstanding.</w:t>
      </w:r>
    </w:p>
    <w:p>
      <w:pPr>
        <w:spacing w:after="0" w:line="1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March 2013, the Company completed a public offering of $200.0 million of its 4.5% Series J Cumulative Convertible Perpetual Preferred Stock, having a liquidation preference of $50.00 per share. Each share of the Series J Preferred Stock is convertible at the holder's option at any time, initially into 3.9087 shares of the Company's common stock (equal to an initial conversion price of approximately $12.79 per share), subject to specified adjustments. The Company may not redeem the Series J Preferred Stock prior to March 15, 2018. On or after March 15, 2018, the Company may, at its option, redeem the Series J Preferred Stock, in whole or in part, at any time and from time to time, for cash at a redemption price equal to 100% of the liquidation preference of $50.00 per share, plus accrued and unpaid dividends, if any, to the redemption date.</w:t>
      </w:r>
    </w:p>
    <w:p>
      <w:pPr>
        <w:spacing w:after="0" w:line="13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Series D, E, F, G and I Cumulative Redeemable Preferred Stock are redeemable without premium at the option of the Company at their respective liquidation preferences.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Performance Unit Program</w:t>
      </w:r>
    </w:p>
    <w:p>
      <w:pPr>
        <w:spacing w:after="0" w:line="28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 May 2002, the Company's shareholders approved the iStar Financial High Performance Unit ("HPU") Program. The program entitled employee participants ("HPU Holders") to receive distributions if the total rate of return on the Company's Common Stock (share price appreciation plus dividends) exceeded certain performance thresholds over a specified valuation period. The Company established seven HPU plans that had valuation periods ending between 2002 and 2008 and the Company has not established any new HPU plans since 2005. HPU Holders purchased interests in the High Performance Common Stock for an aggregate initial purchase price of $9.8 million. The remaining four plans that had valuation periods which ended in 2005, 2006, 2007 and 2008, did not meet their required performance thresholds, none of the plans were funded and the Company redeemed the participants' units.</w:t>
      </w:r>
    </w:p>
    <w:p>
      <w:pPr>
        <w:spacing w:after="0" w:line="21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2002, 2003 and 2004 plans all exceeded their performance thresholds and are entitled to receive distributions equivalent to the amount of dividends payable on 819,254 shares, 987,149 shares and 1,031,875 shares, respectively, of the Company's Common Stock as and when such dividends are paid on the Company's Common Stock. Each of these three plans has 5,000 shares of High Performance Common Stock associated with it, which is recorded as a separate class of stock within shareholders' equity on the Company's Consolidated Balance Sheets. High Performance Common Stock carries 0.25 votes per share. Net income allocable to common shareholders is reduced by the HPU holders' share of earnings.</w:t>
      </w:r>
    </w:p>
    <w:p>
      <w:pPr>
        <w:spacing w:after="0" w:line="87" w:lineRule="exact"/>
        <w:rPr>
          <w:sz w:val="20"/>
          <w:szCs w:val="20"/>
          <w:color w:val="auto"/>
        </w:rPr>
      </w:pPr>
    </w:p>
    <w:p>
      <w:pPr>
        <w:jc w:val="both"/>
        <w:ind w:right="20" w:firstLine="432"/>
        <w:spacing w:after="0" w:line="282" w:lineRule="auto"/>
        <w:rPr>
          <w:sz w:val="20"/>
          <w:szCs w:val="20"/>
          <w:color w:val="auto"/>
        </w:rPr>
      </w:pPr>
      <w:r>
        <w:rPr>
          <w:rFonts w:ascii="Arial" w:cs="Arial" w:eastAsia="Arial" w:hAnsi="Arial"/>
          <w:sz w:val="18"/>
          <w:szCs w:val="18"/>
          <w:b w:val="1"/>
          <w:bCs w:val="1"/>
          <w:color w:val="auto"/>
        </w:rPr>
        <w:t>Dividends</w:t>
      </w:r>
      <w:r>
        <w:rPr>
          <w:rFonts w:ascii="Arial" w:cs="Arial" w:eastAsia="Arial" w:hAnsi="Arial"/>
          <w:sz w:val="18"/>
          <w:szCs w:val="18"/>
          <w:color w:val="auto"/>
        </w:rPr>
        <w:t>—In order to maintain its election to qualify as a REIT, the Company must currently distribute, at a minimum, an amount equal to 90% of its</w:t>
      </w:r>
      <w:r>
        <w:rPr>
          <w:rFonts w:ascii="Arial" w:cs="Arial" w:eastAsia="Arial" w:hAnsi="Arial"/>
          <w:sz w:val="18"/>
          <w:szCs w:val="18"/>
          <w:b w:val="1"/>
          <w:bCs w:val="1"/>
          <w:color w:val="auto"/>
        </w:rPr>
        <w:t xml:space="preserve"> </w:t>
      </w:r>
      <w:r>
        <w:rPr>
          <w:rFonts w:ascii="Arial" w:cs="Arial" w:eastAsia="Arial" w:hAnsi="Arial"/>
          <w:sz w:val="18"/>
          <w:szCs w:val="18"/>
          <w:color w:val="auto"/>
        </w:rPr>
        <w:t>taxable income, excluding net capital gains, and must distribute 100% of its taxable income (including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net capital gains) to avoid paying corporate federal income taxes. The Company has recorded net operating losses and may record net operating losses in the future, which may reduce its taxable income in future periods and lower or eliminate entirely the Company's obligation to pay dividends for such periods in order to maintain its REIT qualification. As of December 31, 2012, the Company had $634.2 million of net operating loss carryforwards at the corporate REIT level that can generally be used to offset both ordinary and capital taxable income in future years and will expire through 2032 if unused. The amount net of operating loss carryforwards as of December 31, 2013 will be subject to finalization of the 2013 tax returns. Because taxable income differs from cash flow from operations due to non-cash revenues and expenses (such as depreciation and certain asset impairments), in certain circumstances, the Company may generate operating cash flow in excess of its dividends or, alternatively, may need to make dividend payments in excess of operating cash flows. The Company's 2013 and 2012 Secured Credit Facilities permit the Company to distribute 100% of its REIT taxable income on an annual basis, for so long as the Company maintains its qualification as a REIT. The 2013 and 2012 Secured Credit Facilities restrict the Company from paying any common dividends if it ceases to qualify as a REIT. The Company did not declare or pay any Common Stock dividends for the years ended December 31, 2013 and 2012.</w:t>
      </w:r>
    </w:p>
    <w:p>
      <w:pPr>
        <w:spacing w:after="0" w:line="165"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b w:val="1"/>
          <w:bCs w:val="1"/>
          <w:color w:val="auto"/>
        </w:rPr>
        <w:t>Stock Repurchase Programs</w:t>
      </w:r>
      <w:r>
        <w:rPr>
          <w:rFonts w:ascii="Arial" w:cs="Arial" w:eastAsia="Arial" w:hAnsi="Arial"/>
          <w:sz w:val="18"/>
          <w:szCs w:val="18"/>
          <w:color w:val="auto"/>
        </w:rPr>
        <w:t>—On May 15, 2012, the Company's Board of Directors approved a stock repurchase program that authorized the</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 of up to $20.0 million of its Common Stock from time to time in open market and privately negotiated purchases, including pursuant to one or more trading plans. In September 2013, the Company's Board of Directors approved an increase in the repurchase limit to $50.0 million from the $16.0 million that remained from the previously approved program.</w:t>
      </w:r>
    </w:p>
    <w:p>
      <w:pPr>
        <w:spacing w:after="0" w:line="18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the year ended December 31, 2013, the Company repurchased 1.7 million shares of its outstanding Common Stock for approximately $21.0 million, at an average cost of $12.35 per share. During the year ended December 31, 2012, the Company repurchased 0.8 million shares of its outstanding Common Stock for approximately $4.6 million, at an average cost of $5.69 per share. As of December 31, 2013, the Company had remaining authorization to repurchase up to $29.0 million of Common Stock out of the $50.0 million authorized by its Board in 2013.</w:t>
      </w:r>
    </w:p>
    <w:p>
      <w:pPr>
        <w:spacing w:after="0" w:line="167" w:lineRule="exact"/>
        <w:rPr>
          <w:sz w:val="20"/>
          <w:szCs w:val="20"/>
          <w:color w:val="auto"/>
        </w:rPr>
      </w:pPr>
    </w:p>
    <w:p>
      <w:pPr>
        <w:jc w:val="both"/>
        <w:ind w:right="20" w:firstLine="432"/>
        <w:spacing w:after="0" w:line="282" w:lineRule="auto"/>
        <w:rPr>
          <w:sz w:val="20"/>
          <w:szCs w:val="20"/>
          <w:color w:val="auto"/>
        </w:rPr>
      </w:pPr>
      <w:r>
        <w:rPr>
          <w:rFonts w:ascii="Arial" w:cs="Arial" w:eastAsia="Arial" w:hAnsi="Arial"/>
          <w:sz w:val="18"/>
          <w:szCs w:val="18"/>
          <w:b w:val="1"/>
          <w:bCs w:val="1"/>
          <w:color w:val="auto"/>
        </w:rPr>
        <w:t>Accumulated Other Comprehensive Income (Loss)</w:t>
      </w:r>
      <w:r>
        <w:rPr>
          <w:rFonts w:ascii="Arial" w:cs="Arial" w:eastAsia="Arial" w:hAnsi="Arial"/>
          <w:sz w:val="18"/>
          <w:szCs w:val="18"/>
          <w:color w:val="auto"/>
        </w:rPr>
        <w:t>—"Accumulated other comprehensive income (loss)" reflected in the Company's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equity is comprised of the following ($ in thousands):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As of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8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2012</w:t>
            </w: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gains (losses) on available-for-sale securities</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867</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Unrealized gains on cash flow hedges</w:t>
            </w:r>
          </w:p>
        </w:tc>
        <w:tc>
          <w:tcPr>
            <w:tcW w:w="1080" w:type="dxa"/>
            <w:vAlign w:val="bottom"/>
          </w:tcPr>
          <w:p>
            <w:pPr>
              <w:spacing w:after="0"/>
              <w:rPr>
                <w:sz w:val="21"/>
                <w:szCs w:val="21"/>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607</w:t>
            </w: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losses on cumulative translation adjustment</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(4,644)</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(2,659)</w:t>
            </w:r>
          </w:p>
        </w:tc>
      </w:tr>
      <w:tr>
        <w:trPr>
          <w:trHeight w:val="257"/>
        </w:trPr>
        <w:tc>
          <w:tcPr>
            <w:tcW w:w="7860" w:type="dxa"/>
            <w:vAlign w:val="bottom"/>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(4,276)</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w:t>
            </w:r>
          </w:p>
        </w:tc>
      </w:tr>
      <w:tr>
        <w:trPr>
          <w:trHeight w:val="20"/>
        </w:trPr>
        <w:tc>
          <w:tcPr>
            <w:tcW w:w="78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12—Stock-Based Compensation Plans and Employee Benefits</w:t>
      </w:r>
    </w:p>
    <w:p>
      <w:pPr>
        <w:spacing w:after="0" w:line="14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May 27, 2009, the Company's shareholders approved the Company's 2009 Long-Term Incentive Plan (the "2009 LTIP") which is designed to provide incentive compensation for officers, key employees, directors and advisors of the Company. The 2009 LTIP provides for awards of stock options, shares of restricted stock, phantom shares, restricted stock units, dividend equivalent rights and other share-based performance awards. A maximum of 8,000,000 shares of Common Stock may be awarded under the 2009 LTIP, plus up to an additional 500,000 shares to the extent that a corresponding number of equity awards previously granted under the Company's 1996 Long-Term Incentive Plan expire or are canceled or forfeited. All awards under the 2009 LTIP are made at the discretion of the Board of Directors or a committee of the Board of Directors.</w:t>
      </w:r>
    </w:p>
    <w:p>
      <w:pPr>
        <w:spacing w:after="0" w:line="23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2006 Long-Term Incentive Plan (the "2006 LTIP") is designed to provide equity-based incentive compensation for officers, key employees, directors, consultants and advisors of the Company. The 2006 LTIP provides for awards of stock options, shares of restricted stock, phantom shares, dividend equivalent rights and other share-based performance awards. A maximum of 4,550,000 shares of Common Stock may be subject to awards under the 2006 LTIP provided that the number of shares of Common Stock reserved for grants of options designated as incentive stock options is 1.0 million, subject to certain anti-dilution provisions in the 2006 LTIP. All awards under this Plan are at the discretion of the Board of Directors or a committee of the Board of Directors.</w:t>
      </w:r>
    </w:p>
    <w:p>
      <w:pPr>
        <w:spacing w:after="0" w:line="24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2007 Incentive Compensation Plan ("Incentive Plan") was approved and adopted by the Board of Directors in 2007 in order to establish performance goals for selected officers and other key employees and to determine bonuses that will be awarded to those officers and other key employees based on the extent to which they achieve those performance goals. Equity-based awards may be made under the Incentive Plan, subject to the terms of the Company's equity incentive plans.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of December 31, 2013, an aggregate of 4.0 million shares remain available for issuance pursuant to future awards under the Company's 2006 and 2009 Long-Term Incentive Plans.</w:t>
      </w:r>
    </w:p>
    <w:p>
      <w:pPr>
        <w:spacing w:after="0" w:line="166"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6"/>
          <w:szCs w:val="16"/>
          <w:b w:val="1"/>
          <w:bCs w:val="1"/>
          <w:color w:val="auto"/>
        </w:rPr>
        <w:t>Stock-based Compensation</w:t>
      </w:r>
      <w:r>
        <w:rPr>
          <w:rFonts w:ascii="Arial" w:cs="Arial" w:eastAsia="Arial" w:hAnsi="Arial"/>
          <w:sz w:val="16"/>
          <w:szCs w:val="16"/>
          <w:color w:val="auto"/>
        </w:rPr>
        <w:t>—The Company recorded stock-based compensation expense of $19.3 million, $15.3 million and $29.7 million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years ended December 31, 2013, 2012 and 2011, respectively, in "General and administrative" on the Company's Consolidated Statements of Operations. As of December 31, 2013, there was $4.3 million of total unrecognized compensation cost related to all unvested restricted stock units that are expected to be recognized over a weighted average remaining vesting/service period of 0.34 years. As of December 31, 2013, approximately $5.2 million of stock-based compensation was included in "Accounts payable, accrued expenses and other liabilities" on the Company's Consolidated Balance Sheets.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Changes in non-vested restricted stock units during the year ended December 31, 2013 were as follows ($ in thousands, except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4"/>
                <w:szCs w:val="14"/>
                <w:color w:val="auto"/>
              </w:rPr>
            </w:pPr>
          </w:p>
        </w:tc>
        <w:tc>
          <w:tcPr>
            <w:tcW w:w="1040" w:type="dxa"/>
            <w:vAlign w:val="bottom"/>
            <w:vMerge w:val="restart"/>
          </w:tcPr>
          <w:p>
            <w:pPr>
              <w:jc w:val="center"/>
              <w:ind w:right="141"/>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26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1460" w:type="dxa"/>
            <w:vAlign w:val="bottom"/>
          </w:tcPr>
          <w:p>
            <w:pPr>
              <w:jc w:val="center"/>
              <w:ind w:left="528"/>
              <w:spacing w:after="0" w:line="149" w:lineRule="exact"/>
              <w:rPr>
                <w:sz w:val="20"/>
                <w:szCs w:val="20"/>
                <w:color w:val="auto"/>
              </w:rPr>
            </w:pPr>
            <w:r>
              <w:rPr>
                <w:rFonts w:ascii="Arial" w:cs="Arial" w:eastAsia="Arial" w:hAnsi="Arial"/>
                <w:sz w:val="14"/>
                <w:szCs w:val="14"/>
                <w:b w:val="1"/>
                <w:bCs w:val="1"/>
                <w:color w:val="auto"/>
                <w:w w:val="97"/>
              </w:rPr>
              <w:t>Grant Date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ind w:left="528"/>
              <w:spacing w:after="0" w:line="149" w:lineRule="exact"/>
              <w:rPr>
                <w:sz w:val="20"/>
                <w:szCs w:val="20"/>
                <w:color w:val="auto"/>
              </w:rPr>
            </w:pPr>
            <w:r>
              <w:rPr>
                <w:rFonts w:ascii="Arial" w:cs="Arial" w:eastAsia="Arial" w:hAnsi="Arial"/>
                <w:sz w:val="14"/>
                <w:szCs w:val="14"/>
                <w:b w:val="1"/>
                <w:bCs w:val="1"/>
                <w:color w:val="auto"/>
                <w:w w:val="98"/>
              </w:rPr>
              <w:t>Fair Value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92"/>
        </w:trPr>
        <w:tc>
          <w:tcPr>
            <w:tcW w:w="66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of Shares</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b w:val="1"/>
                <w:bCs w:val="1"/>
                <w:color w:val="auto"/>
                <w:w w:val="94"/>
              </w:rPr>
              <w:t>Per Share</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December 31, 2012</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5,276</w:t>
            </w:r>
          </w:p>
        </w:tc>
        <w:tc>
          <w:tcPr>
            <w:tcW w:w="1560" w:type="dxa"/>
            <w:vAlign w:val="bottom"/>
            <w:tcBorders>
              <w:bottom w:val="single" w:sz="8" w:color="CCEEFF"/>
            </w:tcBorders>
            <w:gridSpan w:val="2"/>
            <w:shd w:val="clear" w:color="auto" w:fill="CCEEFF"/>
          </w:tcPr>
          <w:p>
            <w:pPr>
              <w:jc w:val="right"/>
              <w:ind w:right="1268"/>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43,000</w:t>
            </w:r>
          </w:p>
        </w:tc>
        <w:tc>
          <w:tcPr>
            <w:tcW w:w="0" w:type="dxa"/>
            <w:vAlign w:val="bottom"/>
          </w:tcPr>
          <w:p>
            <w:pPr>
              <w:spacing w:after="0"/>
              <w:rPr>
                <w:sz w:val="1"/>
                <w:szCs w:val="1"/>
                <w:color w:val="auto"/>
              </w:rPr>
            </w:pP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795</w:t>
            </w:r>
          </w:p>
        </w:tc>
        <w:tc>
          <w:tcPr>
            <w:tcW w:w="1560" w:type="dxa"/>
            <w:vAlign w:val="bottom"/>
            <w:gridSpan w:val="2"/>
          </w:tcPr>
          <w:p>
            <w:pPr>
              <w:jc w:val="right"/>
              <w:ind w:right="1268"/>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(3,271)</w:t>
            </w:r>
          </w:p>
        </w:tc>
        <w:tc>
          <w:tcPr>
            <w:tcW w:w="1560" w:type="dxa"/>
            <w:vAlign w:val="bottom"/>
            <w:tcBorders>
              <w:bottom w:val="single" w:sz="8" w:color="CCEEFF"/>
            </w:tcBorders>
            <w:gridSpan w:val="2"/>
            <w:shd w:val="clear" w:color="auto" w:fill="CCEEFF"/>
          </w:tcPr>
          <w:p>
            <w:pPr>
              <w:jc w:val="right"/>
              <w:ind w:right="1268"/>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c>
          <w:tcPr>
            <w:tcW w:w="1560" w:type="dxa"/>
            <w:vAlign w:val="bottom"/>
            <w:gridSpan w:val="2"/>
          </w:tcPr>
          <w:p>
            <w:pPr>
              <w:jc w:val="right"/>
              <w:ind w:right="1268"/>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December 31, 2013</w:t>
            </w:r>
          </w:p>
        </w:tc>
        <w:tc>
          <w:tcPr>
            <w:tcW w:w="1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2,779</w:t>
            </w:r>
          </w:p>
        </w:tc>
        <w:tc>
          <w:tcPr>
            <w:tcW w:w="1560" w:type="dxa"/>
            <w:vAlign w:val="bottom"/>
            <w:tcBorders>
              <w:bottom w:val="single" w:sz="8" w:color="CCEEFF"/>
            </w:tcBorders>
            <w:gridSpan w:val="2"/>
            <w:shd w:val="clear" w:color="auto" w:fill="CCEEFF"/>
          </w:tcPr>
          <w:p>
            <w:pPr>
              <w:jc w:val="right"/>
              <w:ind w:right="1268"/>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39,659</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total fair value of restricted stock units vested during the years ended December 31, 2013, 2012 and 2011 was $31.6 million, $29.1 million and $15.5 million, respectively.</w:t>
      </w:r>
    </w:p>
    <w:p>
      <w:pPr>
        <w:spacing w:after="0" w:line="8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b w:val="1"/>
          <w:bCs w:val="1"/>
          <w:i w:val="1"/>
          <w:iCs w:val="1"/>
          <w:color w:val="auto"/>
        </w:rPr>
        <w:t>2013 Activity</w:t>
      </w:r>
      <w:r>
        <w:rPr>
          <w:rFonts w:ascii="Arial" w:cs="Arial" w:eastAsia="Arial" w:hAnsi="Arial"/>
          <w:sz w:val="17"/>
          <w:szCs w:val="17"/>
          <w:color w:val="auto"/>
        </w:rPr>
        <w:t>—During the year ended December 31, 2013, 3,271,272 restricted stock units vested, resulting in the issuance of 1,678,961 shares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Stock to employees, net of statutory minimum required tax withholdings. These vested restricted stock units were primarily comprised of (a) 1,719,304 Amended Units which vested in January 2013 (see below), (b) 185,720 service-based restricted stock units granted to employees in February 2011 that cliff vested in February 2013, (c) 164,685 of annual incentive restricted shares granted to employees and vested in February 2013 (see below), (d) 313,334 service-based restricted stock units granted to employees in March 2011 that cliff vested in March 2013, (e) 600,000 service-based restricted stock units granted to the Company's Chairman and Chief Executive Officer in October 2011 that vested in June 2013, and (f) 195,588 performance based restricted stock units granted to employees in February 2013 that vested in December 2013 (see below).</w:t>
      </w:r>
    </w:p>
    <w:p>
      <w:pPr>
        <w:spacing w:after="0" w:line="17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year ended December 31, 2013, the Company made stock-based compensation awards to certain employees in the form of annual incentive awards and long-term incentive awards:</w:t>
      </w:r>
    </w:p>
    <w:p>
      <w:pPr>
        <w:spacing w:after="0" w:line="13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Effective February 1, 2013, the Company granted 164,685 shares of our Common Stock in connection with annual incentive awards. The shares are fully-vested and were issued to certain employees, net of statutory minimum required tax withholdings. The employees are restricted from selling these shares for up to two years from the date of grant.</w:t>
      </w:r>
    </w:p>
    <w:p>
      <w:pPr>
        <w:spacing w:after="0" w:line="14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Effective February 1, 2013, the Company also granted service-based restricted stock units, or Units, representing the right to receive an equivalent number of shares of our Common Stock (after deducting shares for minimum required statutory withholdings) if and when the Units vest. The Units will cliff vest in one installment three years from the grant date, if the employee remains employed by the Company on the vesting date, subject to certain accelerated vesting rights. Dividends will accrue but will not be paid unless and until the Units vest and are settled. As of December 31, 2013, 196,902 units were outstanding.</w:t>
      </w:r>
    </w:p>
    <w:p>
      <w:pPr>
        <w:spacing w:after="0" w:line="14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Effective February 1, 2013, the Company also granted performance-based Units based on the Company's total shareholder return, or TSR, measured over the one-year and two-year performance periods ending on the vesting dates, respectively. Vesting will range from 0% to 200% of the target amount of the awards, depending on the Company's TSR performance relative to the NAREIT All REITs Index (one-half of the target amount of the award) and the Russell 2000 Index (one-half of the target amount of the award). The Company and any companies not included in the index at the beginning and end of the performance period are excluded from calculation of the performance of such index. To the extent Units vest based on the Company's TSR performance, holders will receive an equivalent number of shares of our Common Stock (after deducting shares for minimum required statutory withholdings), if the employee remains employed by the Company on the vesting date, subject to certain accelerated vesting rights.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2" w:right="23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Dividends will accrue but will not be paid unless and until the Units vest and are settled. The fair values of the performance-based Units, were determined by utilizing a Monte Carlo model to simulate a range of possible future stock prices for the Company's Common Stock. The assumptions used to estimate the fair value of these performance-based awards were 0.26% for risk-free interest rate and 50.44% for expected stock price volatility. As of December 31, 2013, 195,547 units measured over the two-year performance period with a vesting date on December 31, 2014 were outstanding. The units measured over the one-year performance period vested, and met the 200% target amount of the original awards, and 195,588 shares were issued.</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2013, the Company had the following additional restricted stock awards outstanding:</w:t>
      </w:r>
    </w:p>
    <w:p>
      <w:pPr>
        <w:spacing w:after="0" w:line="225" w:lineRule="exact"/>
        <w:rPr>
          <w:sz w:val="20"/>
          <w:szCs w:val="20"/>
          <w:color w:val="auto"/>
        </w:rPr>
      </w:pPr>
    </w:p>
    <w:p>
      <w:pPr>
        <w:jc w:val="both"/>
        <w:ind w:left="660" w:hanging="247"/>
        <w:spacing w:after="0" w:line="259"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600,000 service-based restricted stock units granted to the Company's Chairman and Chief Executive Officer that will vest on June 15, 2014. Upon vesting of these units, the holder will receive shares of the Company's Common Stock in the amount of the vested units, net of statutory minimum required tax withholdings. These awards carry dividend equivalent rights that entitle the holder to receive dividend payments prior to vesting, if and when dividends are paid on shares of the Company's Common Stock.</w:t>
      </w:r>
    </w:p>
    <w:p>
      <w:pPr>
        <w:spacing w:after="0" w:line="146" w:lineRule="exact"/>
        <w:rPr>
          <w:rFonts w:ascii="Arial" w:cs="Arial" w:eastAsia="Arial" w:hAnsi="Arial"/>
          <w:sz w:val="18"/>
          <w:szCs w:val="18"/>
          <w:color w:val="auto"/>
        </w:rPr>
      </w:pPr>
    </w:p>
    <w:p>
      <w:pPr>
        <w:jc w:val="both"/>
        <w:ind w:left="660" w:hanging="247"/>
        <w:spacing w:after="0" w:line="269"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1,696,053 restricted stock units originally granted to executives and other officers of the Company on December 19, 2008 (the "Original Units") and subsequently modified in July 2011 (the "Amended Units"). The number of Amended Units is equal to 75% of the Original Units granted to an employee </w:t>
      </w:r>
      <w:r>
        <w:rPr>
          <w:rFonts w:ascii="Arial" w:cs="Arial" w:eastAsia="Arial" w:hAnsi="Arial"/>
          <w:sz w:val="17"/>
          <w:szCs w:val="17"/>
          <w:i w:val="1"/>
          <w:iCs w:val="1"/>
          <w:color w:val="auto"/>
        </w:rPr>
        <w:t>less</w:t>
      </w:r>
      <w:r>
        <w:rPr>
          <w:rFonts w:ascii="Arial" w:cs="Arial" w:eastAsia="Arial" w:hAnsi="Arial"/>
          <w:sz w:val="17"/>
          <w:szCs w:val="17"/>
          <w:color w:val="auto"/>
        </w:rPr>
        <w:t>, in the case of each executive level employee, the number of restricted stock units granted to the executive in March 2011. The remaining Amended Units will vest on January 1, 2014, so long as the employee remains employed by the Company on the vesting dates, subject to certain accelerated vesting rights in the event of termination of employment without cause. Upon vesting of these units, holders will receive shares of the Company's Common Stock in the amount of the vested units, net of statutory minimum required tax withholdings. These awards carry dividend equivalent rights that entitle the holders to receive dividend payments prior to vesting, if and when dividends are paid on shares of the Company's Common Stock. The fair values of the market-condition based restricted stock units, were determined by utilizing a Monte Carlo model to simulate a range of possible future stock prices for the Company's Common Stock. The assumptions used to estimate the fair value of these market-condition based awards were 0.092% for risk-free interest rate and 57.75% for expected stock price volatility. The modified December 19, 2008 market-condition based restricted stock units were measured on July 1, 2011, the date the Company's Board of Directors' approved the modification of the award.</w:t>
      </w:r>
    </w:p>
    <w:p>
      <w:pPr>
        <w:spacing w:after="0" w:line="139" w:lineRule="exact"/>
        <w:rPr>
          <w:rFonts w:ascii="Arial" w:cs="Arial" w:eastAsia="Arial" w:hAnsi="Arial"/>
          <w:sz w:val="17"/>
          <w:szCs w:val="17"/>
          <w:color w:val="auto"/>
        </w:rPr>
      </w:pPr>
    </w:p>
    <w:p>
      <w:pPr>
        <w:jc w:val="both"/>
        <w:ind w:left="660" w:right="20" w:hanging="247"/>
        <w:spacing w:after="0" w:line="259"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90,666 service-based restricted stock units granted to employees with an original vesting term of three years. Upon vesting of these units, holders will receive shares of the Company's Common Stock in the amount of the vested units, net of statutory minimum required tax withholdings. These awards carry dividend equivalent rights that entitle the holders to receive dividend payments prior to vesting, if and when dividends are paid on shares of the Company's Common Stock.</w:t>
      </w:r>
    </w:p>
    <w:p>
      <w:pPr>
        <w:spacing w:after="0" w:line="142"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b w:val="1"/>
          <w:bCs w:val="1"/>
          <w:color w:val="auto"/>
        </w:rPr>
        <w:t>Directors' Awards</w:t>
      </w:r>
      <w:r>
        <w:rPr>
          <w:rFonts w:ascii="Arial" w:cs="Arial" w:eastAsia="Arial" w:hAnsi="Arial"/>
          <w:sz w:val="18"/>
          <w:szCs w:val="18"/>
          <w:color w:val="auto"/>
        </w:rPr>
        <w:t>—Non-employee directors are awarded common stock equivalents ("CSEs") or restricted shares at the time of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meeting in consideration for their services on the Company's Board of Directors. The CSEs and restricted shares generally vest at the time of the next annual shareholders meeting and pay dividends in an amount equal to the dividends paid on an equivalent number of shares of the Company's Common Stock from the date of grant, as and when dividends are paid on the Common Stock.</w:t>
      </w:r>
    </w:p>
    <w:p>
      <w:pPr>
        <w:spacing w:after="0" w:line="18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the year ended December 31, 2013, the Company awarded to Directors 33,474 CSEs and restricted shares at a fair value per share of $12.30 at the time of grant. These CSEs and restricted shares have a one year vesting period and pay dividends in an amount equal to the dividends paid on the equivalent number of shares of the Company's Common Stock from the date of grant, as and when dividends are paid on Common Stock. In addition, during the year ended December 31, 2013, the Company issued 51,091 shares to a former director in settlement of previously vested CSE awards. As of December 31, 2013, there were 367,134 CSEs and restricted shares granted to members of the Company's Board of Directors that remained outstanding with an aggregate intrinsic value of $5.2 million.</w:t>
      </w:r>
    </w:p>
    <w:p>
      <w:pPr>
        <w:spacing w:after="0" w:line="189"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7"/>
          <w:szCs w:val="17"/>
          <w:b w:val="1"/>
          <w:bCs w:val="1"/>
          <w:color w:val="auto"/>
        </w:rPr>
        <w:t>401(k) Plan</w:t>
      </w:r>
      <w:r>
        <w:rPr>
          <w:rFonts w:ascii="Arial" w:cs="Arial" w:eastAsia="Arial" w:hAnsi="Arial"/>
          <w:sz w:val="17"/>
          <w:szCs w:val="17"/>
          <w:color w:val="auto"/>
        </w:rPr>
        <w:t>—The Company has a savings and retirement plan (the "401(k) Plan"), which is a voluntary, defined contribution plan. All employees are</w:t>
      </w:r>
      <w:r>
        <w:rPr>
          <w:rFonts w:ascii="Arial" w:cs="Arial" w:eastAsia="Arial" w:hAnsi="Arial"/>
          <w:sz w:val="17"/>
          <w:szCs w:val="17"/>
          <w:b w:val="1"/>
          <w:bCs w:val="1"/>
          <w:color w:val="auto"/>
        </w:rPr>
        <w:t xml:space="preserve"> </w:t>
      </w:r>
      <w:r>
        <w:rPr>
          <w:rFonts w:ascii="Arial" w:cs="Arial" w:eastAsia="Arial" w:hAnsi="Arial"/>
          <w:sz w:val="17"/>
          <w:szCs w:val="17"/>
          <w:color w:val="auto"/>
        </w:rPr>
        <w:t>eligible to participate in the 401(k) Plan following completion of three months of continuous service with the Company. Each participant may contribute on a pretax basis up to the maximum percentage of compensation and dollar amount permissible under Section 402(g) of the Internal Revenue Code not to exceed the limits of Code Sections 401(k), 404 and 415. At the discretion of the Board of Directors, the Company may make matching contributions on the participant's behalf of up to 50% of the first 10% of the participant's annual compensation. The Company made gross contributions of approximately $0.9 million, $0.9 million and $0.9 million for each of the years ended December 31, 2013, 2012 and 2011, respectively.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13—Earnings Per Share</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EPS is calculated using the two-class method, which allocates earnings among common stock and participating securities to calculate EPS when an entity's capital structure includes either two or more classes of common stock or common stock and participating securities. HPU holders are current and former Company employees who purchased high performance common stock units under the Company's High Performance Unit (HPU) Program (see Note 11). These HPU units are treated as a separate class of common stock.</w:t>
      </w:r>
    </w:p>
    <w:p>
      <w:pPr>
        <w:spacing w:after="0" w:line="14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presents a reconciliation of income (loss) from continuing operations used in the basic and diluted earnings per share calculations ($ in thousands, except for per share data):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center"/>
              <w:ind w:left="554"/>
              <w:spacing w:after="0"/>
              <w:rPr>
                <w:sz w:val="20"/>
                <w:szCs w:val="20"/>
                <w:color w:val="auto"/>
              </w:rPr>
            </w:pPr>
            <w:r>
              <w:rPr>
                <w:rFonts w:ascii="Arial" w:cs="Arial" w:eastAsia="Arial" w:hAnsi="Arial"/>
                <w:sz w:val="14"/>
                <w:szCs w:val="14"/>
                <w:b w:val="1"/>
                <w:bCs w:val="1"/>
                <w:color w:val="auto"/>
                <w:w w:val="92"/>
              </w:rPr>
              <w:t>For the Years Ended 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(220,768)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(314,678)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(51,010)</w:t>
            </w:r>
          </w:p>
        </w:tc>
        <w:tc>
          <w:tcPr>
            <w:tcW w:w="0" w:type="dxa"/>
            <w:vAlign w:val="bottom"/>
          </w:tcPr>
          <w:p>
            <w:pPr>
              <w:spacing w:after="0"/>
              <w:rPr>
                <w:sz w:val="1"/>
                <w:szCs w:val="1"/>
                <w:color w:val="auto"/>
              </w:rPr>
            </w:pPr>
          </w:p>
        </w:tc>
      </w:tr>
      <w:tr>
        <w:trPr>
          <w:trHeight w:val="243"/>
        </w:trPr>
        <w:tc>
          <w:tcPr>
            <w:tcW w:w="7100" w:type="dxa"/>
            <w:vAlign w:val="bottom"/>
            <w:gridSpan w:val="3"/>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3,629</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sales of residential property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86,658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63,472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5,721</w:t>
            </w:r>
          </w:p>
        </w:tc>
        <w:tc>
          <w:tcPr>
            <w:tcW w:w="0" w:type="dxa"/>
            <w:vAlign w:val="bottom"/>
          </w:tcPr>
          <w:p>
            <w:pPr>
              <w:spacing w:after="0"/>
              <w:rPr>
                <w:sz w:val="1"/>
                <w:szCs w:val="1"/>
                <w:color w:val="auto"/>
              </w:rPr>
            </w:pPr>
          </w:p>
        </w:tc>
      </w:tr>
      <w:tr>
        <w:trPr>
          <w:trHeight w:val="243"/>
        </w:trPr>
        <w:tc>
          <w:tcPr>
            <w:tcW w:w="7100" w:type="dxa"/>
            <w:vAlign w:val="bottom"/>
            <w:gridSpan w:val="3"/>
          </w:tcPr>
          <w:p>
            <w:pPr>
              <w:ind w:left="40"/>
              <w:spacing w:after="0"/>
              <w:rPr>
                <w:sz w:val="20"/>
                <w:szCs w:val="20"/>
                <w:color w:val="auto"/>
              </w:rPr>
            </w:pPr>
            <w:r>
              <w:rPr>
                <w:rFonts w:ascii="Arial" w:cs="Arial" w:eastAsia="Arial" w:hAnsi="Arial"/>
                <w:sz w:val="18"/>
                <w:szCs w:val="18"/>
                <w:color w:val="auto"/>
              </w:rPr>
              <w:t>Preferred dividends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(42,320)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(42,320)</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7"/>
              </w:rPr>
              <w:t>Income (loss) from continuing operations attributable to iStar Financial Inc. and allocable to</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(183,848)</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(292,026)</w:t>
            </w:r>
          </w:p>
        </w:tc>
        <w:tc>
          <w:tcPr>
            <w:tcW w:w="120" w:type="dxa"/>
            <w:vAlign w:val="bottom"/>
            <w:shd w:val="clear" w:color="auto" w:fill="CCEEFF"/>
          </w:tcPr>
          <w:p>
            <w:pPr>
              <w:spacing w:after="0"/>
              <w:rPr>
                <w:sz w:val="18"/>
                <w:szCs w:val="18"/>
                <w:color w:val="auto"/>
              </w:rPr>
            </w:pP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(83,980)</w:t>
            </w:r>
          </w:p>
        </w:tc>
        <w:tc>
          <w:tcPr>
            <w:tcW w:w="0" w:type="dxa"/>
            <w:vAlign w:val="bottom"/>
          </w:tcPr>
          <w:p>
            <w:pPr>
              <w:spacing w:after="0"/>
              <w:rPr>
                <w:sz w:val="1"/>
                <w:szCs w:val="1"/>
                <w:color w:val="auto"/>
              </w:rPr>
            </w:pPr>
          </w:p>
        </w:tc>
      </w:tr>
      <w:tr>
        <w:trPr>
          <w:trHeight w:val="237"/>
        </w:trPr>
        <w:tc>
          <w:tcPr>
            <w:tcW w:w="7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common shareholders, HPU holders and Participating Security Holders</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center"/>
              <w:ind w:left="554"/>
              <w:spacing w:after="0"/>
              <w:rPr>
                <w:sz w:val="20"/>
                <w:szCs w:val="20"/>
                <w:color w:val="auto"/>
              </w:rPr>
            </w:pPr>
            <w:r>
              <w:rPr>
                <w:rFonts w:ascii="Arial" w:cs="Arial" w:eastAsia="Arial" w:hAnsi="Arial"/>
                <w:sz w:val="14"/>
                <w:szCs w:val="14"/>
                <w:b w:val="1"/>
                <w:bCs w:val="1"/>
                <w:color w:val="auto"/>
                <w:w w:val="92"/>
              </w:rPr>
              <w:t>For the Years Ended 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Earnings allocable to common shares: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gridSpan w:val="3"/>
          </w:tcPr>
          <w:p>
            <w:pPr>
              <w:ind w:left="40"/>
              <w:spacing w:after="0"/>
              <w:rPr>
                <w:sz w:val="20"/>
                <w:szCs w:val="20"/>
                <w:color w:val="auto"/>
              </w:rPr>
            </w:pPr>
            <w:r>
              <w:rPr>
                <w:rFonts w:ascii="Arial" w:cs="Arial" w:eastAsia="Arial" w:hAnsi="Arial"/>
                <w:sz w:val="18"/>
                <w:szCs w:val="18"/>
                <w:i w:val="1"/>
                <w:iCs w:val="1"/>
                <w:color w:val="auto"/>
              </w:rPr>
              <w:t>Numerator for basic and diluted earnings per share: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5"/>
              </w:rPr>
              <w:t>Income (loss) from continuing operations attributable to iStar Financial Inc. and allocable to</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1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common shareholders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(177,907)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(282,452)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(81,375)</w:t>
            </w:r>
          </w:p>
        </w:tc>
        <w:tc>
          <w:tcPr>
            <w:tcW w:w="0" w:type="dxa"/>
            <w:vAlign w:val="bottom"/>
          </w:tcPr>
          <w:p>
            <w:pPr>
              <w:spacing w:after="0"/>
              <w:rPr>
                <w:sz w:val="1"/>
                <w:szCs w:val="1"/>
                <w:color w:val="auto"/>
              </w:rPr>
            </w:pPr>
          </w:p>
        </w:tc>
      </w:tr>
      <w:tr>
        <w:trPr>
          <w:trHeight w:val="243"/>
        </w:trPr>
        <w:tc>
          <w:tcPr>
            <w:tcW w:w="7100" w:type="dxa"/>
            <w:vAlign w:val="bottom"/>
            <w:gridSpan w:val="3"/>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3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(16,908)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(5,343)</w:t>
            </w:r>
          </w:p>
        </w:tc>
        <w:tc>
          <w:tcPr>
            <w:tcW w:w="0" w:type="dxa"/>
            <w:vAlign w:val="bottom"/>
          </w:tcPr>
          <w:p>
            <w:pPr>
              <w:spacing w:after="0"/>
              <w:rPr>
                <w:sz w:val="1"/>
                <w:szCs w:val="1"/>
                <w:color w:val="auto"/>
              </w:rPr>
            </w:pPr>
          </w:p>
        </w:tc>
      </w:tr>
      <w:tr>
        <w:trPr>
          <w:trHeight w:val="27"/>
        </w:trPr>
        <w:tc>
          <w:tcPr>
            <w:tcW w:w="70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Gain from discontinued operations</w:t>
            </w: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21,515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26,363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24,331</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w w:val="95"/>
              </w:rPr>
              <w:t>Net income (loss) attributable to iStar Financial Inc. and allocable to common shareholders</w:t>
            </w:r>
          </w:p>
        </w:tc>
        <w:tc>
          <w:tcPr>
            <w:tcW w:w="2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(155,769)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(272,997)</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(62,387)</w:t>
            </w:r>
          </w:p>
        </w:tc>
        <w:tc>
          <w:tcPr>
            <w:tcW w:w="0" w:type="dxa"/>
            <w:vAlign w:val="bottom"/>
          </w:tcPr>
          <w:p>
            <w:pPr>
              <w:spacing w:after="0"/>
              <w:rPr>
                <w:sz w:val="1"/>
                <w:szCs w:val="1"/>
                <w:color w:val="auto"/>
              </w:rPr>
            </w:pPr>
          </w:p>
        </w:tc>
      </w:tr>
      <w:tr>
        <w:trPr>
          <w:trHeight w:val="237"/>
        </w:trPr>
        <w:tc>
          <w:tcPr>
            <w:tcW w:w="7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Denominator for basic and diluted earnings per share:</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00" w:type="dxa"/>
            <w:vAlign w:val="bottom"/>
            <w:gridSpan w:val="3"/>
          </w:tcPr>
          <w:p>
            <w:pPr>
              <w:ind w:left="180"/>
              <w:spacing w:after="0"/>
              <w:rPr>
                <w:sz w:val="20"/>
                <w:szCs w:val="20"/>
                <w:color w:val="auto"/>
              </w:rPr>
            </w:pPr>
            <w:r>
              <w:rPr>
                <w:rFonts w:ascii="Arial" w:cs="Arial" w:eastAsia="Arial" w:hAnsi="Arial"/>
                <w:sz w:val="18"/>
                <w:szCs w:val="18"/>
                <w:color w:val="auto"/>
                <w:w w:val="95"/>
              </w:rPr>
              <w:t>Weighted average common shares outstanding for basic and diluted earnings per common</w:t>
            </w:r>
          </w:p>
        </w:tc>
        <w:tc>
          <w:tcPr>
            <w:tcW w:w="320" w:type="dxa"/>
            <w:vAlign w:val="bottom"/>
          </w:tcPr>
          <w:p>
            <w:pPr>
              <w:spacing w:after="0"/>
              <w:rPr>
                <w:sz w:val="19"/>
                <w:szCs w:val="19"/>
                <w:color w:val="auto"/>
              </w:rPr>
            </w:pPr>
          </w:p>
        </w:tc>
        <w:tc>
          <w:tcPr>
            <w:tcW w:w="1060" w:type="dxa"/>
            <w:vAlign w:val="bottom"/>
            <w:vMerge w:val="restart"/>
          </w:tcPr>
          <w:p>
            <w:pPr>
              <w:jc w:val="right"/>
              <w:ind w:right="34"/>
              <w:spacing w:after="0"/>
              <w:rPr>
                <w:sz w:val="20"/>
                <w:szCs w:val="20"/>
                <w:color w:val="auto"/>
              </w:rPr>
            </w:pPr>
            <w:r>
              <w:rPr>
                <w:rFonts w:ascii="Arial" w:cs="Arial" w:eastAsia="Arial" w:hAnsi="Arial"/>
                <w:sz w:val="18"/>
                <w:szCs w:val="18"/>
                <w:color w:val="auto"/>
              </w:rPr>
              <w:t>84,990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vMerge w:val="restart"/>
          </w:tcPr>
          <w:p>
            <w:pPr>
              <w:jc w:val="right"/>
              <w:ind w:right="12"/>
              <w:spacing w:after="0"/>
              <w:rPr>
                <w:sz w:val="20"/>
                <w:szCs w:val="20"/>
                <w:color w:val="auto"/>
              </w:rPr>
            </w:pPr>
            <w:r>
              <w:rPr>
                <w:rFonts w:ascii="Arial" w:cs="Arial" w:eastAsia="Arial" w:hAnsi="Arial"/>
                <w:sz w:val="18"/>
                <w:szCs w:val="18"/>
                <w:color w:val="auto"/>
              </w:rPr>
              <w:t>83,742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vMerge w:val="restart"/>
          </w:tcPr>
          <w:p>
            <w:pPr>
              <w:jc w:val="right"/>
              <w:ind w:right="12"/>
              <w:spacing w:after="0"/>
              <w:rPr>
                <w:sz w:val="20"/>
                <w:szCs w:val="20"/>
                <w:color w:val="auto"/>
              </w:rPr>
            </w:pPr>
            <w:r>
              <w:rPr>
                <w:rFonts w:ascii="Arial" w:cs="Arial" w:eastAsia="Arial" w:hAnsi="Arial"/>
                <w:sz w:val="18"/>
                <w:szCs w:val="18"/>
                <w:color w:val="auto"/>
              </w:rPr>
              <w:t>88,688</w:t>
            </w:r>
          </w:p>
        </w:tc>
        <w:tc>
          <w:tcPr>
            <w:tcW w:w="0" w:type="dxa"/>
            <w:vAlign w:val="bottom"/>
          </w:tcPr>
          <w:p>
            <w:pPr>
              <w:spacing w:after="0"/>
              <w:rPr>
                <w:sz w:val="1"/>
                <w:szCs w:val="1"/>
                <w:color w:val="auto"/>
              </w:rPr>
            </w:pPr>
          </w:p>
        </w:tc>
      </w:tr>
      <w:tr>
        <w:trPr>
          <w:trHeight w:val="277"/>
        </w:trPr>
        <w:tc>
          <w:tcPr>
            <w:tcW w:w="7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share</w:t>
            </w: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earnings per common share:</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00" w:type="dxa"/>
            <w:vAlign w:val="bottom"/>
            <w:gridSpan w:val="3"/>
          </w:tcPr>
          <w:p>
            <w:pPr>
              <w:ind w:left="180"/>
              <w:spacing w:after="0"/>
              <w:rPr>
                <w:sz w:val="20"/>
                <w:szCs w:val="20"/>
                <w:color w:val="auto"/>
              </w:rPr>
            </w:pPr>
            <w:r>
              <w:rPr>
                <w:rFonts w:ascii="Arial" w:cs="Arial" w:eastAsia="Arial" w:hAnsi="Arial"/>
                <w:sz w:val="18"/>
                <w:szCs w:val="18"/>
                <w:color w:val="auto"/>
                <w:w w:val="95"/>
              </w:rPr>
              <w:t>Income (loss) from continuing operations attributable to iStar Financial Inc. and allocable to</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gridSpan w:val="3"/>
          </w:tcPr>
          <w:p>
            <w:pPr>
              <w:ind w:left="180"/>
              <w:spacing w:after="0"/>
              <w:rPr>
                <w:sz w:val="20"/>
                <w:szCs w:val="20"/>
                <w:color w:val="auto"/>
              </w:rPr>
            </w:pPr>
            <w:r>
              <w:rPr>
                <w:rFonts w:ascii="Arial" w:cs="Arial" w:eastAsia="Arial" w:hAnsi="Arial"/>
                <w:sz w:val="18"/>
                <w:szCs w:val="18"/>
                <w:color w:val="auto"/>
              </w:rPr>
              <w:t>common shareholders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7"/>
        </w:trPr>
        <w:tc>
          <w:tcPr>
            <w:tcW w:w="70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43"/>
        </w:trPr>
        <w:tc>
          <w:tcPr>
            <w:tcW w:w="7100" w:type="dxa"/>
            <w:vAlign w:val="bottom"/>
            <w:gridSpan w:val="3"/>
          </w:tcPr>
          <w:p>
            <w:pPr>
              <w:ind w:left="180"/>
              <w:spacing w:after="0"/>
              <w:rPr>
                <w:sz w:val="20"/>
                <w:szCs w:val="20"/>
                <w:color w:val="auto"/>
              </w:rPr>
            </w:pPr>
            <w:r>
              <w:rPr>
                <w:rFonts w:ascii="Arial" w:cs="Arial" w:eastAsia="Arial" w:hAnsi="Arial"/>
                <w:sz w:val="18"/>
                <w:szCs w:val="18"/>
                <w:color w:val="auto"/>
              </w:rPr>
              <w:t>Gain from discontinued operations</w:t>
            </w:r>
          </w:p>
        </w:tc>
        <w:tc>
          <w:tcPr>
            <w:tcW w:w="3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w w:val="95"/>
              </w:rPr>
              <w:t>Net income (loss) attributable to iStar Financial Inc. and allocable to common shareholders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675"/>
        </w:trPr>
        <w:tc>
          <w:tcPr>
            <w:tcW w:w="6980" w:type="dxa"/>
            <w:vAlign w:val="bottom"/>
          </w:tcPr>
          <w:p>
            <w:pPr>
              <w:ind w:left="562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23495</wp:posOffset>
            </wp:positionV>
            <wp:extent cx="27527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allocable to High Performance Units: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i w:val="1"/>
                <w:iCs w:val="1"/>
                <w:color w:val="auto"/>
              </w:rPr>
              <w:t>Numerator for basic and diluted earnings per HPU share:</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Income (loss) from continuing operations attributable to iStar Financial Inc. and allocable to</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HPU holders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(2,605)</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from discontinued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779</w:t>
            </w:r>
          </w:p>
        </w:tc>
      </w:tr>
      <w:tr>
        <w:trPr>
          <w:trHeight w:val="297"/>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(loss) attributable to iStar Financial Inc. and allocable to HPU holders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(5,202)</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(1,997)</w:t>
            </w: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Denominator for basic and diluted earnings per HPU share:</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304"/>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w w:val="90"/>
              </w:rPr>
              <w:t>Weighted average High Performance Units outstanding for basic and diluted earnings per share</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w:t>
            </w: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earnings per HPU share:</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29"/>
        </w:trPr>
        <w:tc>
          <w:tcPr>
            <w:tcW w:w="7080" w:type="dxa"/>
            <w:vAlign w:val="bottom"/>
          </w:tcPr>
          <w:p>
            <w:pPr>
              <w:ind w:left="180"/>
              <w:spacing w:after="0"/>
              <w:rPr>
                <w:sz w:val="20"/>
                <w:szCs w:val="20"/>
                <w:color w:val="auto"/>
              </w:rPr>
            </w:pPr>
            <w:r>
              <w:rPr>
                <w:rFonts w:ascii="Arial" w:cs="Arial" w:eastAsia="Arial" w:hAnsi="Arial"/>
                <w:sz w:val="18"/>
                <w:szCs w:val="18"/>
                <w:color w:val="auto"/>
                <w:w w:val="95"/>
              </w:rPr>
              <w:t>Income (loss) from continuing operations attributable to iStar Financial Inc. and allocable to</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080" w:type="dxa"/>
            <w:vAlign w:val="bottom"/>
          </w:tcPr>
          <w:p>
            <w:pPr>
              <w:ind w:left="180"/>
              <w:spacing w:after="0"/>
              <w:rPr>
                <w:sz w:val="20"/>
                <w:szCs w:val="20"/>
                <w:color w:val="auto"/>
              </w:rPr>
            </w:pPr>
            <w:r>
              <w:rPr>
                <w:rFonts w:ascii="Arial" w:cs="Arial" w:eastAsia="Arial" w:hAnsi="Arial"/>
                <w:sz w:val="18"/>
                <w:szCs w:val="18"/>
                <w:color w:val="auto"/>
              </w:rPr>
              <w:t>HPU holders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(396.07)</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(638.27)</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(173.66)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Gain from discontinued operations</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47.87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59.60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51.93</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iStar Financial Inc. and allocable to HPU holders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(133.13)</w:t>
            </w:r>
          </w:p>
        </w:tc>
      </w:tr>
      <w:tr>
        <w:trPr>
          <w:trHeight w:val="27"/>
        </w:trPr>
        <w:tc>
          <w:tcPr>
            <w:tcW w:w="7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years ended December 31, 2013, 2012 and 2011 the following shares were anti-dilutive ($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0" w:type="dxa"/>
            <w:vAlign w:val="bottom"/>
            <w:tcBorders>
              <w:bottom w:val="single" w:sz="8" w:color="auto"/>
            </w:tcBorders>
            <w:gridSpan w:val="5"/>
          </w:tcPr>
          <w:p>
            <w:pPr>
              <w:ind w:left="1120"/>
              <w:spacing w:after="0"/>
              <w:rPr>
                <w:sz w:val="20"/>
                <w:szCs w:val="20"/>
                <w:color w:val="auto"/>
              </w:rPr>
            </w:pPr>
            <w:r>
              <w:rPr>
                <w:rFonts w:ascii="Arial" w:cs="Arial" w:eastAsia="Arial" w:hAnsi="Arial"/>
                <w:sz w:val="14"/>
                <w:szCs w:val="14"/>
                <w:b w:val="1"/>
                <w:bCs w:val="1"/>
                <w:color w:val="auto"/>
                <w:w w:val="97"/>
              </w:rPr>
              <w:t>For the 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Joint venture shares</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44</w:t>
            </w:r>
          </w:p>
        </w:tc>
      </w:tr>
      <w:tr>
        <w:trPr>
          <w:trHeight w:val="27"/>
        </w:trPr>
        <w:tc>
          <w:tcPr>
            <w:tcW w:w="7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3.00% convertible senior unsecured notes</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16,992</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Series J convertible perpetual preferred stock</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15,635</w:t>
            </w:r>
          </w:p>
        </w:tc>
        <w:tc>
          <w:tcPr>
            <w:tcW w:w="120" w:type="dxa"/>
            <w:vAlign w:val="bottom"/>
          </w:tcPr>
          <w:p>
            <w:pPr>
              <w:spacing w:after="0"/>
              <w:rPr>
                <w:sz w:val="21"/>
                <w:szCs w:val="21"/>
                <w:color w:val="auto"/>
              </w:rPr>
            </w:pPr>
          </w:p>
        </w:tc>
        <w:tc>
          <w:tcPr>
            <w:tcW w:w="19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1.50% convertible senior unsecured notes</w:t>
            </w:r>
          </w:p>
        </w:tc>
        <w:tc>
          <w:tcPr>
            <w:tcW w:w="13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11,567</w:t>
            </w:r>
          </w:p>
        </w:tc>
        <w:tc>
          <w:tcPr>
            <w:tcW w:w="120" w:type="dxa"/>
            <w:vAlign w:val="bottom"/>
            <w:shd w:val="clear" w:color="auto" w:fill="CCEEFF"/>
          </w:tcPr>
          <w:p>
            <w:pPr>
              <w:spacing w:after="0"/>
              <w:rPr>
                <w:sz w:val="21"/>
                <w:szCs w:val="21"/>
                <w:color w:val="auto"/>
              </w:rPr>
            </w:pPr>
          </w:p>
        </w:tc>
        <w:tc>
          <w:tcPr>
            <w:tcW w:w="19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14—Fair Values</w:t>
      </w:r>
    </w:p>
    <w:p>
      <w:pPr>
        <w:spacing w:after="0" w:line="189"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Fair value represents the price that would be received to sell an asset or paid to transfer a liability in an orderly transaction between market participants at the measurement date. The following fair value hierarchy prioritizes the inputs to be used in valuation techniques to measure fair value:</w:t>
      </w:r>
    </w:p>
    <w:p>
      <w:pPr>
        <w:spacing w:after="0" w:line="106"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Unadjusted quoted prices in active markets that are accessible at the measurement date for identical, unrestricted assets or liabilities;</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and</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Certain of the Company's assets and liabilities are recorded at fair value either on a recurring or non-recurring basis. Assets required to be marked-to-market and reported at fair value every reporting period are classified as being valued on a recurring basis. Assets not required to be recorded at fair value every period may be recorded at fair value if a specific provision or other impairment is recorded within the period to mark the carrying value of the asset to market as of the reporting date. Such assets are classified as being valued on a non-recurring basis.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0"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following fair value hierarchy table summarizes the Company's assets and liabilities recorded at fair value on a recurring and non-recurring basis by the above categories ($ in thousands):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Fair Value Using</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Quoted market</w:t>
            </w:r>
          </w:p>
        </w:tc>
        <w:tc>
          <w:tcPr>
            <w:tcW w:w="180" w:type="dxa"/>
            <w:vAlign w:val="bottom"/>
          </w:tcPr>
          <w:p>
            <w:pPr>
              <w:spacing w:after="0"/>
              <w:rPr>
                <w:sz w:val="13"/>
                <w:szCs w:val="13"/>
                <w:color w:val="auto"/>
              </w:rPr>
            </w:pPr>
          </w:p>
        </w:tc>
        <w:tc>
          <w:tcPr>
            <w:tcW w:w="14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Significant other</w:t>
            </w:r>
          </w:p>
        </w:tc>
        <w:tc>
          <w:tcPr>
            <w:tcW w:w="220" w:type="dxa"/>
            <w:vAlign w:val="bottom"/>
          </w:tcPr>
          <w:p>
            <w:pPr>
              <w:spacing w:after="0"/>
              <w:rPr>
                <w:sz w:val="13"/>
                <w:szCs w:val="13"/>
                <w:color w:val="auto"/>
              </w:rPr>
            </w:pPr>
          </w:p>
        </w:tc>
        <w:tc>
          <w:tcPr>
            <w:tcW w:w="126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prices in</w:t>
            </w:r>
          </w:p>
        </w:tc>
        <w:tc>
          <w:tcPr>
            <w:tcW w:w="18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2"/>
                <w:szCs w:val="12"/>
                <w:color w:val="auto"/>
              </w:rPr>
            </w:pPr>
          </w:p>
        </w:tc>
        <w:tc>
          <w:tcPr>
            <w:tcW w:w="126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active markets</w:t>
            </w:r>
          </w:p>
        </w:tc>
        <w:tc>
          <w:tcPr>
            <w:tcW w:w="18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2"/>
                <w:szCs w:val="12"/>
                <w:color w:val="auto"/>
              </w:rPr>
            </w:pPr>
          </w:p>
        </w:tc>
        <w:tc>
          <w:tcPr>
            <w:tcW w:w="126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2013</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Recurring basis: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Derivative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11,175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20" w:type="dxa"/>
            <w:vAlign w:val="bottom"/>
          </w:tcPr>
          <w:p>
            <w:pPr>
              <w:ind w:left="120"/>
              <w:spacing w:after="0"/>
              <w:rPr>
                <w:sz w:val="20"/>
                <w:szCs w:val="20"/>
                <w:color w:val="auto"/>
              </w:rPr>
            </w:pPr>
            <w:r>
              <w:rPr>
                <w:rFonts w:ascii="Arial" w:cs="Arial" w:eastAsia="Arial" w:hAnsi="Arial"/>
                <w:sz w:val="18"/>
                <w:szCs w:val="18"/>
                <w:color w:val="auto"/>
              </w:rPr>
              <w:t>Derivative liabilities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Non-recurring basis: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Impaired loans(1)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115,423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115,423</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Impaired real estate(2)</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35,680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29,936</w:t>
            </w: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As of December 31, 2012</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Recurring basis: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Derivative liabilities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3,435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3,435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Non-recurring basis: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Impaired loans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57,201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57,201</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Impaired real estate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31,597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7,649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23,948</w:t>
            </w:r>
          </w:p>
        </w:tc>
        <w:tc>
          <w:tcPr>
            <w:tcW w:w="0" w:type="dxa"/>
            <w:vAlign w:val="bottom"/>
          </w:tcPr>
          <w:p>
            <w:pPr>
              <w:spacing w:after="0"/>
              <w:rPr>
                <w:sz w:val="1"/>
                <w:szCs w:val="1"/>
                <w:color w:val="auto"/>
              </w:rPr>
            </w:pPr>
          </w:p>
        </w:tc>
      </w:tr>
      <w:tr>
        <w:trPr>
          <w:trHeight w:val="27"/>
        </w:trPr>
        <w:tc>
          <w:tcPr>
            <w:tcW w:w="5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660" w:hanging="652"/>
        <w:spacing w:after="0" w:line="257" w:lineRule="auto"/>
        <w:tabs>
          <w:tab w:leader="none" w:pos="6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Company recorded a recovery of loan losses on one loan with a fair value of $55.5 million based on the loan's remaining loan term of 2.6 years and interest rate of 4.7% using discounted cash flow analysis. In addition, the Company recorded a recovery of loan losses on one loan with a fair value of $53.6 million based upon a letter of intent executed by the borrower as well as recorded an impairment on one loan with a fair value of $6.3 million based upon a settlement agreement executed by the borrower.</w:t>
      </w:r>
    </w:p>
    <w:p>
      <w:pPr>
        <w:spacing w:after="0" w:line="23" w:lineRule="exact"/>
        <w:rPr>
          <w:rFonts w:ascii="Arial" w:cs="Arial" w:eastAsia="Arial" w:hAnsi="Arial"/>
          <w:sz w:val="14"/>
          <w:szCs w:val="14"/>
          <w:color w:val="auto"/>
        </w:rPr>
      </w:pPr>
    </w:p>
    <w:p>
      <w:pPr>
        <w:ind w:left="660" w:hanging="652"/>
        <w:spacing w:after="0" w:line="273" w:lineRule="auto"/>
        <w:tabs>
          <w:tab w:leader="none" w:pos="6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Company recorded the fair value of two impaired real estate assets with a total fair value of $29.9 million based on a discount rate of 13.0%, average annual rent growth of 4.0% and remaining inventory sell out period with a range of 3.5 to 4.6 years using discounted cash flows.</w:t>
      </w:r>
    </w:p>
    <w:p>
      <w:pPr>
        <w:spacing w:after="0" w:line="174" w:lineRule="exact"/>
        <w:rPr>
          <w:sz w:val="20"/>
          <w:szCs w:val="20"/>
          <w:color w:val="auto"/>
        </w:rPr>
      </w:pPr>
    </w:p>
    <w:p>
      <w:pPr>
        <w:jc w:val="both"/>
        <w:ind w:firstLine="405"/>
        <w:spacing w:after="0" w:line="295" w:lineRule="auto"/>
        <w:rPr>
          <w:sz w:val="20"/>
          <w:szCs w:val="20"/>
          <w:color w:val="auto"/>
        </w:rPr>
      </w:pPr>
      <w:r>
        <w:rPr>
          <w:rFonts w:ascii="Arial" w:cs="Arial" w:eastAsia="Arial" w:hAnsi="Arial"/>
          <w:sz w:val="16"/>
          <w:szCs w:val="16"/>
          <w:b w:val="1"/>
          <w:bCs w:val="1"/>
          <w:color w:val="auto"/>
        </w:rPr>
        <w:t>Fair values of financial instruments—</w:t>
      </w:r>
      <w:r>
        <w:rPr>
          <w:rFonts w:ascii="Arial" w:cs="Arial" w:eastAsia="Arial" w:hAnsi="Arial"/>
          <w:sz w:val="16"/>
          <w:szCs w:val="16"/>
          <w:color w:val="auto"/>
        </w:rPr>
        <w:t>The Company's estimated fair values of its loans receivable and other lending investments and debt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were $1.4 billion and $4.5 billion, respectively, as of December 31, 2013 and $1.9 billion and $4.9 billion, respectively, as of December 31, 2012. The Company determined that the significant inputs used to value its loans receivable and other lending investments and debt obligations fall within Level 3 of the fair value hierarchy. The carrying value of other financial instruments including cash and cash equivalents, restricted cash, accrued interest receivable and accounts payable, approximate the fair values of the instruments. Cash and cash equivalents and restricted cash values are considered Level 1 on the fair value hierarchy. The fair value of other financial instruments, including derivative assets and liabilities, are included in the fair value hierarchy table above.</w:t>
      </w:r>
    </w:p>
    <w:p>
      <w:pPr>
        <w:spacing w:after="0" w:line="11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Given the nature of certain assets and liabilities, clearly determinable market based valuation inputs are often not available, therefore, these assets and liabilities are valued using internal valuation techniques. Subjectivity exists with respect to these internal valuation techniques, therefore, the fair values disclosed may not ultimately be realized by the Company if the assets were sold or the liabilities were settled with third parties. The methods the Company used to estimate the fair values presented in the three tables above are described more fully below for each type of asset and liability.</w:t>
      </w:r>
    </w:p>
    <w:p>
      <w:pPr>
        <w:spacing w:after="0" w:line="12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b w:val="1"/>
          <w:bCs w:val="1"/>
          <w:color w:val="auto"/>
        </w:rPr>
        <w:t>Derivatives</w:t>
      </w:r>
      <w:r>
        <w:rPr>
          <w:rFonts w:ascii="Arial" w:cs="Arial" w:eastAsia="Arial" w:hAnsi="Arial"/>
          <w:sz w:val="17"/>
          <w:szCs w:val="17"/>
          <w:color w:val="auto"/>
        </w:rPr>
        <w:t>—The Company uses interest rate swaps, interest rate caps and foreign exchange contracts to manage its interest rate and foreign currency</w:t>
      </w:r>
      <w:r>
        <w:rPr>
          <w:rFonts w:ascii="Arial" w:cs="Arial" w:eastAsia="Arial" w:hAnsi="Arial"/>
          <w:sz w:val="17"/>
          <w:szCs w:val="17"/>
          <w:b w:val="1"/>
          <w:bCs w:val="1"/>
          <w:color w:val="auto"/>
        </w:rPr>
        <w:t xml:space="preserve"> </w:t>
      </w:r>
      <w:r>
        <w:rPr>
          <w:rFonts w:ascii="Arial" w:cs="Arial" w:eastAsia="Arial" w:hAnsi="Arial"/>
          <w:sz w:val="17"/>
          <w:szCs w:val="17"/>
          <w:color w:val="auto"/>
        </w:rPr>
        <w:t>risk. The valuation of these instruments is determined using discounted cash flow analysis on the expected cash flows of each derivative. This analysis reflects the contractual terms of the derivatives, including the period to maturity, and uses observable market-based inputs, including interest rate curves, foreign exchange rates, and implied volatilities. 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 In addition, upon adoption of ASU 2011-04, the Company made an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2" w:right="23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accounting policy election to measure derivative financial instruments subject to master netting agreements on a net basis. The Company has determined that the significant inputs used to value its derivatives fall within Level 2 of the fair value hierarchy.</w:t>
      </w:r>
    </w:p>
    <w:p>
      <w:pPr>
        <w:spacing w:after="0" w:line="12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b w:val="1"/>
          <w:bCs w:val="1"/>
          <w:color w:val="auto"/>
        </w:rPr>
        <w:t>Impaired loans</w:t>
      </w:r>
      <w:r>
        <w:rPr>
          <w:rFonts w:ascii="Arial" w:cs="Arial" w:eastAsia="Arial" w:hAnsi="Arial"/>
          <w:sz w:val="17"/>
          <w:szCs w:val="17"/>
          <w:color w:val="auto"/>
        </w:rPr>
        <w:t>—The Company's loans identified as being impaired are nearly all collateral dependent loans and are evaluated for impairment by</w:t>
      </w:r>
      <w:r>
        <w:rPr>
          <w:rFonts w:ascii="Arial" w:cs="Arial" w:eastAsia="Arial" w:hAnsi="Arial"/>
          <w:sz w:val="17"/>
          <w:szCs w:val="17"/>
          <w:b w:val="1"/>
          <w:bCs w:val="1"/>
          <w:color w:val="auto"/>
        </w:rPr>
        <w:t xml:space="preserve"> </w:t>
      </w:r>
      <w:r>
        <w:rPr>
          <w:rFonts w:ascii="Arial" w:cs="Arial" w:eastAsia="Arial" w:hAnsi="Arial"/>
          <w:sz w:val="17"/>
          <w:szCs w:val="17"/>
          <w:color w:val="auto"/>
        </w:rPr>
        <w:t>comparing the estimated fair value of the underlying collateral, less costs to sell, to the carrying value of each loan. Due to the nature of the individual properties collateralizing the Company's loans, the Company generally uses a discounted cash flow methodology through internally developed valuation models to estimate the fair value of the collateral. This approach requires the Company to make judgments in respect to significant unobservable inputs, which may include discount rates, capitalization rates and the timing and amounts of estimated future cash flows. For income producing properties, cash flows generally include property revenues, operating costs and capital expenditures that are based on current observable market rates and estimates for market rate growth and occupancy levels. For other real estate, cash flows may include lot and unit sales that are based on current observable market rates and estimates for annual revenue growth, operating costs and costs of completion and the remaining inventory sell out periods. The Company will also consider market comparables if available. In more limited cases, the Company obtains external "as is" appraisals for loan collateral, generally when third party participations exist, and appraised values may be discounted when real estate markets rapidly deteriorate. The Company has determined that significant inputs used in its internal valuation models and appraisals fall within Level 3 of the fair value hierarchy.</w:t>
      </w:r>
    </w:p>
    <w:p>
      <w:pPr>
        <w:spacing w:after="0" w:line="13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b w:val="1"/>
          <w:bCs w:val="1"/>
          <w:color w:val="auto"/>
        </w:rPr>
        <w:t>Impaired real estate</w:t>
      </w:r>
      <w:r>
        <w:rPr>
          <w:rFonts w:ascii="Arial" w:cs="Arial" w:eastAsia="Arial" w:hAnsi="Arial"/>
          <w:sz w:val="17"/>
          <w:szCs w:val="17"/>
          <w:color w:val="auto"/>
        </w:rPr>
        <w:t>—If the Company determines a real estate asset available and held for sale is impaired, it records an impairment charge to adjust</w:t>
      </w:r>
      <w:r>
        <w:rPr>
          <w:rFonts w:ascii="Arial" w:cs="Arial" w:eastAsia="Arial" w:hAnsi="Arial"/>
          <w:sz w:val="17"/>
          <w:szCs w:val="17"/>
          <w:b w:val="1"/>
          <w:bCs w:val="1"/>
          <w:color w:val="auto"/>
        </w:rPr>
        <w:t xml:space="preserve"> </w:t>
      </w:r>
      <w:r>
        <w:rPr>
          <w:rFonts w:ascii="Arial" w:cs="Arial" w:eastAsia="Arial" w:hAnsi="Arial"/>
          <w:sz w:val="17"/>
          <w:szCs w:val="17"/>
          <w:color w:val="auto"/>
        </w:rPr>
        <w:t>the asset to its estimated fair market value less costs to sell. Due to the nature of individual real estate properties, the Company generally uses a discounted cash flow methodology through internally developed valuation models to estimate the fair value of the assets. This approach requires the Company to make judgments with respect to significant unobservable inputs, which may include discount rates, capitalization rates and the timing and amounts of estimated future cash flows. For income producing properties, cash flows generally include property revenues, operating costs and capital expenditures that are based on current observable market rates and estimates for market rate growth and occupancy levels. For other real estate, cash flows may include lot and unit sales that are based on current observable market rates and estimates for annual market rate growth, operating costs and costs of completion and the remaining inventory sell out periods. The Company will also consider market comparables if available. In more limited cases, the Company obtains external "as is" appraisals for real estate assets and appraised values may be discounted when real estate markets rapidly deteriorate. The Company has determined that significant inputs used in its internal valuation models and appraisals fall within Level 3 of the fair value hierarchy. Additionally, in certain cases, if the Company is under contract to sell an asset, it will mark the asset to the contracted sales price less costs to sell. The Company considers this to be a Level 2 input under the fair value hierarchy.</w:t>
      </w:r>
    </w:p>
    <w:p>
      <w:pPr>
        <w:spacing w:after="0" w:line="13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7"/>
          <w:szCs w:val="17"/>
          <w:b w:val="1"/>
          <w:bCs w:val="1"/>
          <w:color w:val="auto"/>
        </w:rPr>
        <w:t>Loans receivable and other lending investments</w:t>
      </w:r>
      <w:r>
        <w:rPr>
          <w:rFonts w:ascii="Arial" w:cs="Arial" w:eastAsia="Arial" w:hAnsi="Arial"/>
          <w:sz w:val="17"/>
          <w:szCs w:val="17"/>
          <w:color w:val="auto"/>
        </w:rPr>
        <w:t>—The Company estimates the fair value of its performing loans and other lending investments using</w:t>
      </w:r>
      <w:r>
        <w:rPr>
          <w:rFonts w:ascii="Arial" w:cs="Arial" w:eastAsia="Arial" w:hAnsi="Arial"/>
          <w:sz w:val="17"/>
          <w:szCs w:val="17"/>
          <w:b w:val="1"/>
          <w:bCs w:val="1"/>
          <w:color w:val="auto"/>
        </w:rPr>
        <w:t xml:space="preserve"> </w:t>
      </w:r>
      <w:r>
        <w:rPr>
          <w:rFonts w:ascii="Arial" w:cs="Arial" w:eastAsia="Arial" w:hAnsi="Arial"/>
          <w:sz w:val="17"/>
          <w:szCs w:val="17"/>
          <w:color w:val="auto"/>
        </w:rPr>
        <w:t>a discounted cash flow methodology. This method discounts estimated future cash flows using rates management determines best reflect current market interest rates that would be offered for loans with similar characteristics and credit quality. The Company determined that the significant inputs used to value its loans and other lending investments fall within Level 3 of the fair value hierarchy. For certain lending investments, the Company uses market quotes, to the extent they are available, or broker quotes that fall within Level 2 of the fair value hierarchy.</w:t>
      </w:r>
    </w:p>
    <w:p>
      <w:pPr>
        <w:spacing w:after="0" w:line="128"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b w:val="1"/>
          <w:bCs w:val="1"/>
          <w:color w:val="auto"/>
        </w:rPr>
        <w:t>Debt obligations, net</w:t>
      </w:r>
      <w:r>
        <w:rPr>
          <w:rFonts w:ascii="Arial" w:cs="Arial" w:eastAsia="Arial" w:hAnsi="Arial"/>
          <w:sz w:val="18"/>
          <w:szCs w:val="18"/>
          <w:color w:val="auto"/>
        </w:rPr>
        <w:t>—For debt obligations traded in secondary markets, the Company uses market quotes, to the extent they are available, to</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fair value. For debt obligations not traded in secondary markets, the Company determines fair value using a discounted cash flow methodology, whereby contractual cash flows are discounted at rates that management determines best reflect current market interest rates that would be charged for debt with similar characteristics and credit quality. The Company has determined that the inputs used to value its debt obligations under the discounted cash flow methodology fall within Level 3 of the fair value hierarchy.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15—Segment Reporting</w:t>
      </w:r>
    </w:p>
    <w:p>
      <w:pPr>
        <w:spacing w:after="0" w:line="229" w:lineRule="exact"/>
        <w:rPr>
          <w:sz w:val="20"/>
          <w:szCs w:val="20"/>
          <w:color w:val="auto"/>
        </w:rPr>
      </w:pPr>
    </w:p>
    <w:p>
      <w:pPr>
        <w:ind w:right="160" w:firstLine="405"/>
        <w:spacing w:after="0" w:line="297" w:lineRule="auto"/>
        <w:rPr>
          <w:sz w:val="20"/>
          <w:szCs w:val="20"/>
          <w:color w:val="auto"/>
        </w:rPr>
      </w:pPr>
      <w:r>
        <w:rPr>
          <w:rFonts w:ascii="Arial" w:cs="Arial" w:eastAsia="Arial" w:hAnsi="Arial"/>
          <w:sz w:val="16"/>
          <w:szCs w:val="16"/>
          <w:color w:val="auto"/>
        </w:rPr>
        <w:t>The Company has determined that it has four reportable segments based on how management reviews and manages its business. These reportable segments include: Real Estate Finance, Net Lease, Operating Properties and Land. The Real Estate Finance segment includes all of the Company's activities related to senior and mezzanine real estate loans and real estate related securities. The Net Lease segment includes all of the Company's activities related to the ownership and leasing of corporate facilities. The Operating Properties segment includes all of the Company's activities and operations related to its commercial and residential properties. The Land segment includes the Company's activities related to its developable land portfolio.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0"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Company evaluates performance based on the following financial measures for each segment. The Company's segment information is as follows ($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4"/>
                <w:szCs w:val="14"/>
                <w:color w:val="auto"/>
              </w:rPr>
            </w:pPr>
          </w:p>
        </w:tc>
        <w:tc>
          <w:tcPr>
            <w:tcW w:w="10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9"/>
              </w:rPr>
              <w:t>Net Lease</w:t>
            </w: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w:t>
            </w:r>
          </w:p>
        </w:tc>
        <w:tc>
          <w:tcPr>
            <w:tcW w:w="30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Land</w:t>
            </w:r>
          </w:p>
        </w:tc>
        <w:tc>
          <w:tcPr>
            <w:tcW w:w="14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Corporate/Other(1)</w:t>
            </w:r>
          </w:p>
        </w:tc>
        <w:tc>
          <w:tcPr>
            <w:tcW w:w="120" w:type="dxa"/>
            <w:vAlign w:val="bottom"/>
          </w:tcPr>
          <w:p>
            <w:pPr>
              <w:spacing w:after="0"/>
              <w:rPr>
                <w:sz w:val="14"/>
                <w:szCs w:val="14"/>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Company Total</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Finance</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Properties</w:t>
            </w:r>
          </w:p>
        </w:tc>
        <w:tc>
          <w:tcPr>
            <w:tcW w:w="3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0" w:type="dxa"/>
            <w:vAlign w:val="bottom"/>
            <w:tcBorders>
              <w:right w:val="single" w:sz="8" w:color="auto"/>
            </w:tcBorders>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December 31, 2013</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Operating lease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147,313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86,352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234,567</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108,015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108,015</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4,748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38,164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3,572</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48,208</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112,763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147,563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124,516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3,572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390,790</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w w:val="95"/>
              </w:rPr>
              <w:t>Earnings (loss) from equity method investments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5,546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38,606</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41,520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sales of residential property</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82,603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86,658</w:t>
            </w:r>
          </w:p>
        </w:tc>
        <w:tc>
          <w:tcPr>
            <w:tcW w:w="0" w:type="dxa"/>
            <w:vAlign w:val="bottom"/>
          </w:tcPr>
          <w:p>
            <w:pPr>
              <w:spacing w:after="0"/>
              <w:rPr>
                <w:sz w:val="1"/>
                <w:szCs w:val="1"/>
                <w:color w:val="auto"/>
              </w:rPr>
            </w:pPr>
          </w:p>
        </w:tc>
      </w:tr>
      <w:tr>
        <w:trPr>
          <w:trHeight w:val="229"/>
        </w:trPr>
        <w:tc>
          <w:tcPr>
            <w:tcW w:w="3700" w:type="dxa"/>
            <w:vAlign w:val="bottom"/>
          </w:tcPr>
          <w:p>
            <w:pPr>
              <w:ind w:left="40"/>
              <w:spacing w:after="0"/>
              <w:rPr>
                <w:sz w:val="20"/>
                <w:szCs w:val="20"/>
                <w:color w:val="auto"/>
              </w:rPr>
            </w:pPr>
            <w:r>
              <w:rPr>
                <w:rFonts w:ascii="Arial" w:cs="Arial" w:eastAsia="Arial" w:hAnsi="Arial"/>
                <w:sz w:val="18"/>
                <w:szCs w:val="18"/>
                <w:color w:val="auto"/>
              </w:rPr>
              <w:t>Net operating income from discontinued</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40"/>
              <w:spacing w:after="0"/>
              <w:rPr>
                <w:sz w:val="20"/>
                <w:szCs w:val="20"/>
                <w:color w:val="auto"/>
              </w:rPr>
            </w:pPr>
            <w:r>
              <w:rPr>
                <w:rFonts w:ascii="Arial" w:cs="Arial" w:eastAsia="Arial" w:hAnsi="Arial"/>
                <w:sz w:val="18"/>
                <w:szCs w:val="18"/>
                <w:color w:val="auto"/>
              </w:rPr>
              <w:t>operations(2)</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22,233</w:t>
            </w:r>
          </w:p>
        </w:tc>
        <w:tc>
          <w:tcPr>
            <w:tcW w:w="0" w:type="dxa"/>
            <w:vAlign w:val="bottom"/>
          </w:tcPr>
          <w:p>
            <w:pPr>
              <w:spacing w:after="0"/>
              <w:rPr>
                <w:sz w:val="1"/>
                <w:szCs w:val="1"/>
                <w:color w:val="auto"/>
              </w:rPr>
            </w:pPr>
          </w:p>
        </w:tc>
      </w:tr>
      <w:tr>
        <w:trPr>
          <w:trHeight w:val="237"/>
        </w:trPr>
        <w:tc>
          <w:tcPr>
            <w:tcW w:w="3700" w:type="dxa"/>
            <w:vAlign w:val="bottom"/>
          </w:tcPr>
          <w:p>
            <w:pPr>
              <w:ind w:left="280"/>
              <w:spacing w:after="0"/>
              <w:rPr>
                <w:sz w:val="20"/>
                <w:szCs w:val="20"/>
                <w:color w:val="auto"/>
              </w:rPr>
            </w:pPr>
            <w:r>
              <w:rPr>
                <w:rFonts w:ascii="Arial" w:cs="Arial" w:eastAsia="Arial" w:hAnsi="Arial"/>
                <w:sz w:val="18"/>
                <w:szCs w:val="18"/>
                <w:color w:val="auto"/>
              </w:rPr>
              <w:t>Revenue and other earnings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112,763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155,141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232,754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42,178</w:t>
            </w:r>
          </w:p>
        </w:tc>
        <w:tc>
          <w:tcPr>
            <w:tcW w:w="140" w:type="dxa"/>
            <w:vAlign w:val="bottom"/>
            <w:tcBorders>
              <w:right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543,936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expense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(157,441)</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(6,425)</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(8,050)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Allocated interest expense(2)</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(32,332)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(266,225)</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Allocated general and administrative(3)</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(23,783)</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(72,853)</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Segment profit (loss)(4)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23,575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38,212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73,407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(75,465)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(20,362)</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39,367</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40"/>
              <w:spacing w:after="0"/>
              <w:rPr>
                <w:sz w:val="20"/>
                <w:szCs w:val="20"/>
                <w:color w:val="auto"/>
              </w:rPr>
            </w:pPr>
            <w:r>
              <w:rPr>
                <w:rFonts w:ascii="Arial" w:cs="Arial" w:eastAsia="Arial" w:hAnsi="Arial"/>
                <w:sz w:val="18"/>
                <w:szCs w:val="18"/>
                <w:color w:val="auto"/>
              </w:rPr>
              <w:t>Other significant non-cash items:</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Provision for loan losses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5,489</w:t>
            </w:r>
          </w:p>
        </w:tc>
        <w:tc>
          <w:tcPr>
            <w:tcW w:w="0" w:type="dxa"/>
            <w:vAlign w:val="bottom"/>
          </w:tcPr>
          <w:p>
            <w:pPr>
              <w:spacing w:after="0"/>
              <w:rPr>
                <w:sz w:val="1"/>
                <w:szCs w:val="1"/>
                <w:color w:val="auto"/>
              </w:rPr>
            </w:pPr>
          </w:p>
        </w:tc>
      </w:tr>
      <w:tr>
        <w:trPr>
          <w:trHeight w:val="243"/>
        </w:trPr>
        <w:tc>
          <w:tcPr>
            <w:tcW w:w="3700" w:type="dxa"/>
            <w:vAlign w:val="bottom"/>
          </w:tcPr>
          <w:p>
            <w:pPr>
              <w:ind w:left="200"/>
              <w:spacing w:after="0"/>
              <w:rPr>
                <w:sz w:val="20"/>
                <w:szCs w:val="20"/>
                <w:color w:val="auto"/>
              </w:rPr>
            </w:pPr>
            <w:r>
              <w:rPr>
                <w:rFonts w:ascii="Arial" w:cs="Arial" w:eastAsia="Arial" w:hAnsi="Arial"/>
                <w:sz w:val="18"/>
                <w:szCs w:val="18"/>
                <w:color w:val="auto"/>
              </w:rPr>
              <w:t>Impairment of assets(2)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12,449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14,353</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Loss on transfer of interest to unconsolidated</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subsidiary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7,373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7,373</w:t>
            </w:r>
          </w:p>
        </w:tc>
        <w:tc>
          <w:tcPr>
            <w:tcW w:w="0" w:type="dxa"/>
            <w:vAlign w:val="bottom"/>
          </w:tcPr>
          <w:p>
            <w:pPr>
              <w:spacing w:after="0"/>
              <w:rPr>
                <w:sz w:val="1"/>
                <w:szCs w:val="1"/>
                <w:color w:val="auto"/>
              </w:rPr>
            </w:pPr>
          </w:p>
        </w:tc>
      </w:tr>
      <w:tr>
        <w:trPr>
          <w:trHeight w:val="243"/>
        </w:trPr>
        <w:tc>
          <w:tcPr>
            <w:tcW w:w="3700" w:type="dxa"/>
            <w:vAlign w:val="bottom"/>
          </w:tcPr>
          <w:p>
            <w:pPr>
              <w:ind w:left="200"/>
              <w:spacing w:after="0"/>
              <w:rPr>
                <w:sz w:val="20"/>
                <w:szCs w:val="20"/>
                <w:color w:val="auto"/>
              </w:rPr>
            </w:pPr>
            <w:r>
              <w:rPr>
                <w:rFonts w:ascii="Arial" w:cs="Arial" w:eastAsia="Arial" w:hAnsi="Arial"/>
                <w:sz w:val="18"/>
                <w:szCs w:val="18"/>
                <w:color w:val="auto"/>
              </w:rPr>
              <w:t>Depreciation and amortization(2)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38,582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30,599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1,244</w:t>
            </w:r>
          </w:p>
        </w:tc>
        <w:tc>
          <w:tcPr>
            <w:tcW w:w="140" w:type="dxa"/>
            <w:vAlign w:val="bottom"/>
            <w:tcBorders>
              <w:right w:val="single" w:sz="8" w:color="auto"/>
            </w:tcBorders>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71,530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expenditures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41,131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111,553</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As of December 31, 2013</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Real estate, at cost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1,696,888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720,508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803,238</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3,220,634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(338,640)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(424,453)</w:t>
            </w:r>
          </w:p>
        </w:tc>
        <w:tc>
          <w:tcPr>
            <w:tcW w:w="0" w:type="dxa"/>
            <w:vAlign w:val="bottom"/>
          </w:tcPr>
          <w:p>
            <w:pPr>
              <w:spacing w:after="0"/>
              <w:rPr>
                <w:sz w:val="1"/>
                <w:szCs w:val="1"/>
                <w:color w:val="auto"/>
              </w:rPr>
            </w:pPr>
          </w:p>
        </w:tc>
      </w:tr>
      <w:tr>
        <w:trPr>
          <w:trHeight w:val="237"/>
        </w:trPr>
        <w:tc>
          <w:tcPr>
            <w:tcW w:w="3700" w:type="dxa"/>
            <w:vAlign w:val="bottom"/>
          </w:tcPr>
          <w:p>
            <w:pPr>
              <w:ind w:left="500"/>
              <w:spacing w:after="0"/>
              <w:rPr>
                <w:sz w:val="20"/>
                <w:szCs w:val="20"/>
                <w:color w:val="auto"/>
              </w:rPr>
            </w:pPr>
            <w:r>
              <w:rPr>
                <w:rFonts w:ascii="Arial" w:cs="Arial" w:eastAsia="Arial" w:hAnsi="Arial"/>
                <w:sz w:val="18"/>
                <w:szCs w:val="18"/>
                <w:color w:val="auto"/>
              </w:rPr>
              <w:t>Real estate, net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1,358,248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638,088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799,845</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2,796,181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 available and held for sale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228,328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132,189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360,517</w:t>
            </w:r>
          </w:p>
        </w:tc>
        <w:tc>
          <w:tcPr>
            <w:tcW w:w="0" w:type="dxa"/>
            <w:vAlign w:val="bottom"/>
          </w:tcPr>
          <w:p>
            <w:pPr>
              <w:spacing w:after="0"/>
              <w:rPr>
                <w:sz w:val="1"/>
                <w:szCs w:val="1"/>
                <w:color w:val="auto"/>
              </w:rPr>
            </w:pPr>
          </w:p>
        </w:tc>
      </w:tr>
      <w:tr>
        <w:trPr>
          <w:trHeight w:val="237"/>
        </w:trPr>
        <w:tc>
          <w:tcPr>
            <w:tcW w:w="3700" w:type="dxa"/>
            <w:vAlign w:val="bottom"/>
          </w:tcPr>
          <w:p>
            <w:pPr>
              <w:ind w:left="500"/>
              <w:spacing w:after="0"/>
              <w:rPr>
                <w:sz w:val="20"/>
                <w:szCs w:val="20"/>
                <w:color w:val="auto"/>
              </w:rPr>
            </w:pPr>
            <w:r>
              <w:rPr>
                <w:rFonts w:ascii="Arial" w:cs="Arial" w:eastAsia="Arial" w:hAnsi="Arial"/>
                <w:sz w:val="18"/>
                <w:szCs w:val="18"/>
                <w:color w:val="auto"/>
              </w:rPr>
              <w:t>Total real estate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1,358,248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866,416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932,034</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3,156,698</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Loans receivable and other lending investments,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1,370,109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1,370,109</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16,408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16,032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29,765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145,004</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207,209</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portfolio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1,370,109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1,374,656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882,448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961,799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145,004</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4,734,016</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40"/>
              <w:spacing w:after="0"/>
              <w:rPr>
                <w:sz w:val="20"/>
                <w:szCs w:val="20"/>
                <w:color w:val="auto"/>
              </w:rPr>
            </w:pPr>
            <w:r>
              <w:rPr>
                <w:rFonts w:ascii="Arial" w:cs="Arial" w:eastAsia="Arial" w:hAnsi="Arial"/>
                <w:sz w:val="18"/>
                <w:szCs w:val="18"/>
                <w:color w:val="auto"/>
              </w:rPr>
              <w:t>Cash and other assets</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907,995</w:t>
            </w:r>
          </w:p>
        </w:tc>
        <w:tc>
          <w:tcPr>
            <w:tcW w:w="0" w:type="dxa"/>
            <w:vAlign w:val="bottom"/>
          </w:tcPr>
          <w:p>
            <w:pPr>
              <w:spacing w:after="0" w:line="20" w:lineRule="exact"/>
              <w:rPr>
                <w:sz w:val="1"/>
                <w:szCs w:val="1"/>
                <w:color w:val="auto"/>
              </w:rPr>
            </w:pPr>
          </w:p>
        </w:tc>
      </w:tr>
      <w:tr>
        <w:trPr>
          <w:trHeight w:val="230"/>
        </w:trPr>
        <w:tc>
          <w:tcPr>
            <w:tcW w:w="37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5,642,011</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vMerge w:val="restart"/>
          </w:tcPr>
          <w:p>
            <w:pPr>
              <w:jc w:val="right"/>
              <w:ind w:right="19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4"/>
                <w:szCs w:val="14"/>
                <w:color w:val="auto"/>
              </w:rPr>
            </w:pPr>
          </w:p>
        </w:tc>
        <w:tc>
          <w:tcPr>
            <w:tcW w:w="10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9"/>
              </w:rPr>
              <w:t>Net Lease</w:t>
            </w: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w:t>
            </w:r>
          </w:p>
        </w:tc>
        <w:tc>
          <w:tcPr>
            <w:tcW w:w="30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Land</w:t>
            </w:r>
          </w:p>
        </w:tc>
        <w:tc>
          <w:tcPr>
            <w:tcW w:w="14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Corporate/Other(1)</w:t>
            </w:r>
          </w:p>
        </w:tc>
        <w:tc>
          <w:tcPr>
            <w:tcW w:w="120" w:type="dxa"/>
            <w:vAlign w:val="bottom"/>
          </w:tcPr>
          <w:p>
            <w:pPr>
              <w:spacing w:after="0"/>
              <w:rPr>
                <w:sz w:val="14"/>
                <w:szCs w:val="14"/>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Company Total</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Finance</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Properties</w:t>
            </w:r>
          </w:p>
        </w:tc>
        <w:tc>
          <w:tcPr>
            <w:tcW w:w="3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0" w:type="dxa"/>
            <w:vAlign w:val="bottom"/>
            <w:tcBorders>
              <w:right w:val="single" w:sz="8" w:color="auto"/>
            </w:tcBorders>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December 31, 2012(5)</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Operating lease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149,058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65,706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216,291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133,410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133,410</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8,613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32,615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3,975</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47,838</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142,023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149,058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98,321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397,539</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w w:val="95"/>
              </w:rPr>
              <w:t>Earnings (loss) from equity method investments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25,142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81,373</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103,009</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sales of residential property</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63,472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63,472</w:t>
            </w:r>
          </w:p>
        </w:tc>
        <w:tc>
          <w:tcPr>
            <w:tcW w:w="0" w:type="dxa"/>
            <w:vAlign w:val="bottom"/>
          </w:tcPr>
          <w:p>
            <w:pPr>
              <w:spacing w:after="0"/>
              <w:rPr>
                <w:sz w:val="1"/>
                <w:szCs w:val="1"/>
                <w:color w:val="auto"/>
              </w:rPr>
            </w:pPr>
          </w:p>
        </w:tc>
      </w:tr>
      <w:tr>
        <w:trPr>
          <w:trHeight w:val="229"/>
        </w:trPr>
        <w:tc>
          <w:tcPr>
            <w:tcW w:w="3700" w:type="dxa"/>
            <w:vAlign w:val="bottom"/>
          </w:tcPr>
          <w:p>
            <w:pPr>
              <w:ind w:left="40"/>
              <w:spacing w:after="0"/>
              <w:rPr>
                <w:sz w:val="20"/>
                <w:szCs w:val="20"/>
                <w:color w:val="auto"/>
              </w:rPr>
            </w:pPr>
            <w:r>
              <w:rPr>
                <w:rFonts w:ascii="Arial" w:cs="Arial" w:eastAsia="Arial" w:hAnsi="Arial"/>
                <w:sz w:val="18"/>
                <w:szCs w:val="18"/>
                <w:color w:val="auto"/>
              </w:rPr>
              <w:t>Net operating income from discontinued</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40"/>
              <w:spacing w:after="0"/>
              <w:rPr>
                <w:sz w:val="20"/>
                <w:szCs w:val="20"/>
                <w:color w:val="auto"/>
              </w:rPr>
            </w:pPr>
            <w:r>
              <w:rPr>
                <w:rFonts w:ascii="Arial" w:cs="Arial" w:eastAsia="Arial" w:hAnsi="Arial"/>
                <w:sz w:val="18"/>
                <w:szCs w:val="18"/>
                <w:color w:val="auto"/>
              </w:rPr>
              <w:t>operations(2)</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7,289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8,175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27,257</w:t>
            </w:r>
          </w:p>
        </w:tc>
        <w:tc>
          <w:tcPr>
            <w:tcW w:w="0" w:type="dxa"/>
            <w:vAlign w:val="bottom"/>
          </w:tcPr>
          <w:p>
            <w:pPr>
              <w:spacing w:after="0"/>
              <w:rPr>
                <w:sz w:val="1"/>
                <w:szCs w:val="1"/>
                <w:color w:val="auto"/>
              </w:rPr>
            </w:pPr>
          </w:p>
        </w:tc>
      </w:tr>
      <w:tr>
        <w:trPr>
          <w:trHeight w:val="237"/>
        </w:trPr>
        <w:tc>
          <w:tcPr>
            <w:tcW w:w="3700" w:type="dxa"/>
            <w:vAlign w:val="bottom"/>
          </w:tcPr>
          <w:p>
            <w:pPr>
              <w:ind w:left="280"/>
              <w:spacing w:after="0"/>
              <w:rPr>
                <w:sz w:val="20"/>
                <w:szCs w:val="20"/>
                <w:color w:val="auto"/>
              </w:rPr>
            </w:pPr>
            <w:r>
              <w:rPr>
                <w:rFonts w:ascii="Arial" w:cs="Arial" w:eastAsia="Arial" w:hAnsi="Arial"/>
                <w:sz w:val="18"/>
                <w:szCs w:val="18"/>
                <w:color w:val="auto"/>
              </w:rPr>
              <w:t>Revenue and other earnings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142,023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186,236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187,821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(1,976)</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85,348</w:t>
            </w:r>
          </w:p>
        </w:tc>
        <w:tc>
          <w:tcPr>
            <w:tcW w:w="140" w:type="dxa"/>
            <w:vAlign w:val="bottom"/>
            <w:tcBorders>
              <w:right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599,452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expense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(151,458)</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(12,491)</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(17,266)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Allocated interest expense(2)</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(38,300)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(356,161)</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Allocated general and administrative(3)</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(25,705)</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(65,563)</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Segment profit (loss)(4)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11,087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59,153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10,732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8,852</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9,004</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40"/>
              <w:spacing w:after="0"/>
              <w:rPr>
                <w:sz w:val="20"/>
                <w:szCs w:val="20"/>
                <w:color w:val="auto"/>
              </w:rPr>
            </w:pPr>
            <w:r>
              <w:rPr>
                <w:rFonts w:ascii="Arial" w:cs="Arial" w:eastAsia="Arial" w:hAnsi="Arial"/>
                <w:sz w:val="18"/>
                <w:szCs w:val="18"/>
                <w:color w:val="auto"/>
              </w:rPr>
              <w:t>Other significant non-cash items:</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Provision for loan losses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81,740</w:t>
            </w:r>
          </w:p>
        </w:tc>
        <w:tc>
          <w:tcPr>
            <w:tcW w:w="0" w:type="dxa"/>
            <w:vAlign w:val="bottom"/>
          </w:tcPr>
          <w:p>
            <w:pPr>
              <w:spacing w:after="0"/>
              <w:rPr>
                <w:sz w:val="1"/>
                <w:szCs w:val="1"/>
                <w:color w:val="auto"/>
              </w:rPr>
            </w:pPr>
          </w:p>
        </w:tc>
      </w:tr>
      <w:tr>
        <w:trPr>
          <w:trHeight w:val="243"/>
        </w:trPr>
        <w:tc>
          <w:tcPr>
            <w:tcW w:w="3700" w:type="dxa"/>
            <w:vAlign w:val="bottom"/>
          </w:tcPr>
          <w:p>
            <w:pPr>
              <w:ind w:left="200"/>
              <w:spacing w:after="0"/>
              <w:rPr>
                <w:sz w:val="20"/>
                <w:szCs w:val="20"/>
                <w:color w:val="auto"/>
              </w:rPr>
            </w:pPr>
            <w:r>
              <w:rPr>
                <w:rFonts w:ascii="Arial" w:cs="Arial" w:eastAsia="Arial" w:hAnsi="Arial"/>
                <w:sz w:val="18"/>
                <w:szCs w:val="18"/>
                <w:color w:val="auto"/>
              </w:rPr>
              <w:t>Impairment of assets(2)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6,670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28,501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978</w:t>
            </w:r>
          </w:p>
        </w:tc>
        <w:tc>
          <w:tcPr>
            <w:tcW w:w="140" w:type="dxa"/>
            <w:vAlign w:val="bottom"/>
            <w:tcBorders>
              <w:right w:val="single" w:sz="8" w:color="auto"/>
            </w:tcBorders>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36,354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70,786</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Capitalized expenditures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10,994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51,579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20,497</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83,070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2012</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 at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1,626,810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704,481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786,114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3,117,405</w:t>
            </w:r>
          </w:p>
        </w:tc>
        <w:tc>
          <w:tcPr>
            <w:tcW w:w="0" w:type="dxa"/>
            <w:vAlign w:val="bottom"/>
          </w:tcPr>
          <w:p>
            <w:pPr>
              <w:spacing w:after="0"/>
              <w:rPr>
                <w:sz w:val="1"/>
                <w:szCs w:val="1"/>
                <w:color w:val="auto"/>
              </w:rPr>
            </w:pP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(310,605)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(65,409)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(378,306)</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Real estate,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1,316,205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639,072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783,822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2,739,099</w:t>
            </w:r>
          </w:p>
        </w:tc>
        <w:tc>
          <w:tcPr>
            <w:tcW w:w="0" w:type="dxa"/>
            <w:vAlign w:val="bottom"/>
          </w:tcPr>
          <w:p>
            <w:pPr>
              <w:spacing w:after="0"/>
              <w:rPr>
                <w:sz w:val="1"/>
                <w:szCs w:val="1"/>
                <w:color w:val="auto"/>
              </w:rPr>
            </w:pP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Real estate available and held for sale</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454,587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181,278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635,865</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real estate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1,316,205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1,093,659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965,100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3,374,964</w:t>
            </w:r>
          </w:p>
        </w:tc>
        <w:tc>
          <w:tcPr>
            <w:tcW w:w="0" w:type="dxa"/>
            <w:vAlign w:val="bottom"/>
          </w:tcPr>
          <w:p>
            <w:pPr>
              <w:spacing w:after="0"/>
              <w:rPr>
                <w:sz w:val="1"/>
                <w:szCs w:val="1"/>
                <w:color w:val="auto"/>
              </w:rPr>
            </w:pPr>
          </w:p>
        </w:tc>
      </w:tr>
      <w:tr>
        <w:trPr>
          <w:trHeight w:val="229"/>
        </w:trPr>
        <w:tc>
          <w:tcPr>
            <w:tcW w:w="3700" w:type="dxa"/>
            <w:vAlign w:val="bottom"/>
          </w:tcPr>
          <w:p>
            <w:pPr>
              <w:ind w:left="40"/>
              <w:spacing w:after="0"/>
              <w:rPr>
                <w:sz w:val="20"/>
                <w:szCs w:val="20"/>
                <w:color w:val="auto"/>
              </w:rPr>
            </w:pPr>
            <w:r>
              <w:rPr>
                <w:rFonts w:ascii="Arial" w:cs="Arial" w:eastAsia="Arial" w:hAnsi="Arial"/>
                <w:sz w:val="18"/>
                <w:szCs w:val="18"/>
                <w:color w:val="auto"/>
                <w:w w:val="94"/>
              </w:rPr>
              <w:t>Loans receivable and other lending investments,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40"/>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1,829,985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1,829,985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25,745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351,225</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398,843</w:t>
            </w:r>
          </w:p>
        </w:tc>
        <w:tc>
          <w:tcPr>
            <w:tcW w:w="0" w:type="dxa"/>
            <w:vAlign w:val="bottom"/>
          </w:tcPr>
          <w:p>
            <w:pPr>
              <w:spacing w:after="0"/>
              <w:rPr>
                <w:sz w:val="1"/>
                <w:szCs w:val="1"/>
                <w:color w:val="auto"/>
              </w:rPr>
            </w:pPr>
          </w:p>
        </w:tc>
      </w:tr>
      <w:tr>
        <w:trPr>
          <w:trHeight w:val="297"/>
        </w:trPr>
        <w:tc>
          <w:tcPr>
            <w:tcW w:w="3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portfolio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1,829,985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1,332,585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1,119,404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970,593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351,225</w:t>
            </w:r>
          </w:p>
        </w:tc>
        <w:tc>
          <w:tcPr>
            <w:tcW w:w="140" w:type="dxa"/>
            <w:vAlign w:val="bottom"/>
            <w:tcBorders>
              <w:bottom w:val="single" w:sz="8" w:color="CCEEFF"/>
              <w:right w:val="single" w:sz="8" w:color="auto"/>
            </w:tcBorders>
          </w:tcPr>
          <w:p>
            <w:pPr>
              <w:spacing w:after="0"/>
              <w:rPr>
                <w:sz w:val="24"/>
                <w:szCs w:val="24"/>
                <w:color w:val="auto"/>
              </w:rPr>
            </w:pPr>
          </w:p>
        </w:tc>
        <w:tc>
          <w:tcPr>
            <w:tcW w:w="12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tcPr>
          <w:p>
            <w:pPr>
              <w:jc w:val="right"/>
              <w:ind w:right="11"/>
              <w:spacing w:after="0"/>
              <w:rPr>
                <w:sz w:val="20"/>
                <w:szCs w:val="20"/>
                <w:color w:val="auto"/>
              </w:rPr>
            </w:pPr>
            <w:r>
              <w:rPr>
                <w:rFonts w:ascii="Arial" w:cs="Arial" w:eastAsia="Arial" w:hAnsi="Arial"/>
                <w:sz w:val="18"/>
                <w:szCs w:val="18"/>
                <w:color w:val="auto"/>
              </w:rPr>
              <w:t>5,603,792</w:t>
            </w:r>
          </w:p>
        </w:tc>
        <w:tc>
          <w:tcPr>
            <w:tcW w:w="0" w:type="dxa"/>
            <w:vAlign w:val="bottom"/>
          </w:tcPr>
          <w:p>
            <w:pPr>
              <w:spacing w:after="0"/>
              <w:rPr>
                <w:sz w:val="1"/>
                <w:szCs w:val="1"/>
                <w:color w:val="auto"/>
              </w:rPr>
            </w:pPr>
          </w:p>
        </w:tc>
      </w:tr>
      <w:tr>
        <w:trPr>
          <w:trHeight w:val="25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other assets</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556,207</w:t>
            </w:r>
          </w:p>
        </w:tc>
        <w:tc>
          <w:tcPr>
            <w:tcW w:w="0" w:type="dxa"/>
            <w:vAlign w:val="bottom"/>
          </w:tcPr>
          <w:p>
            <w:pPr>
              <w:spacing w:after="0"/>
              <w:rPr>
                <w:sz w:val="1"/>
                <w:szCs w:val="1"/>
                <w:color w:val="auto"/>
              </w:rPr>
            </w:pPr>
          </w:p>
        </w:tc>
      </w:tr>
      <w:tr>
        <w:trPr>
          <w:trHeight w:val="257"/>
        </w:trPr>
        <w:tc>
          <w:tcPr>
            <w:tcW w:w="370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6,159,999</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vMerge w:val="restart"/>
          </w:tcPr>
          <w:p>
            <w:pPr>
              <w:jc w:val="right"/>
              <w:ind w:right="191"/>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95" w:name="page96"/>
    <w:bookmarkEnd w:id="95"/>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Lease</w:t>
            </w: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w:t>
            </w:r>
          </w:p>
        </w:tc>
        <w:tc>
          <w:tcPr>
            <w:tcW w:w="30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Land</w:t>
            </w:r>
          </w:p>
        </w:tc>
        <w:tc>
          <w:tcPr>
            <w:tcW w:w="14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Corporate/Other(1)</w:t>
            </w:r>
          </w:p>
        </w:tc>
        <w:tc>
          <w:tcPr>
            <w:tcW w:w="120" w:type="dxa"/>
            <w:vAlign w:val="bottom"/>
          </w:tcPr>
          <w:p>
            <w:pPr>
              <w:spacing w:after="0"/>
              <w:rPr>
                <w:sz w:val="14"/>
                <w:szCs w:val="14"/>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Company Total</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Finance</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Properties</w:t>
            </w:r>
          </w:p>
        </w:tc>
        <w:tc>
          <w:tcPr>
            <w:tcW w:w="3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0" w:type="dxa"/>
            <w:vAlign w:val="bottom"/>
            <w:tcBorders>
              <w:right w:val="single" w:sz="8" w:color="auto"/>
            </w:tcBorders>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December 31, 2011(5)</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Operating lease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144,548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51,153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195,872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226,871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226,871</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3,176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32,538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2,371</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39,722</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230,047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144,548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83,691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462,465</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w w:val="95"/>
              </w:rPr>
              <w:t>Earnings (loss) from equity method investments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100,364</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95,091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sales of residential property</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5,721</w:t>
            </w:r>
          </w:p>
        </w:tc>
        <w:tc>
          <w:tcPr>
            <w:tcW w:w="0" w:type="dxa"/>
            <w:vAlign w:val="bottom"/>
          </w:tcPr>
          <w:p>
            <w:pPr>
              <w:spacing w:after="0"/>
              <w:rPr>
                <w:sz w:val="1"/>
                <w:szCs w:val="1"/>
                <w:color w:val="auto"/>
              </w:rPr>
            </w:pPr>
          </w:p>
        </w:tc>
      </w:tr>
      <w:tr>
        <w:trPr>
          <w:trHeight w:val="229"/>
        </w:trPr>
        <w:tc>
          <w:tcPr>
            <w:tcW w:w="3700" w:type="dxa"/>
            <w:vAlign w:val="bottom"/>
          </w:tcPr>
          <w:p>
            <w:pPr>
              <w:ind w:left="40"/>
              <w:spacing w:after="0"/>
              <w:rPr>
                <w:sz w:val="20"/>
                <w:szCs w:val="20"/>
                <w:color w:val="auto"/>
              </w:rPr>
            </w:pPr>
            <w:r>
              <w:rPr>
                <w:rFonts w:ascii="Arial" w:cs="Arial" w:eastAsia="Arial" w:hAnsi="Arial"/>
                <w:sz w:val="18"/>
                <w:szCs w:val="18"/>
                <w:color w:val="auto"/>
              </w:rPr>
              <w:t>Net operating income from discontinued</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40"/>
              <w:spacing w:after="0"/>
              <w:rPr>
                <w:sz w:val="20"/>
                <w:szCs w:val="20"/>
                <w:color w:val="auto"/>
              </w:rPr>
            </w:pPr>
            <w:r>
              <w:rPr>
                <w:rFonts w:ascii="Arial" w:cs="Arial" w:eastAsia="Arial" w:hAnsi="Arial"/>
                <w:sz w:val="18"/>
                <w:szCs w:val="18"/>
                <w:color w:val="auto"/>
              </w:rPr>
              <w:t>operations(2)</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14,135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13,198</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25,110</w:t>
            </w:r>
          </w:p>
        </w:tc>
        <w:tc>
          <w:tcPr>
            <w:tcW w:w="0" w:type="dxa"/>
            <w:vAlign w:val="bottom"/>
          </w:tcPr>
          <w:p>
            <w:pPr>
              <w:spacing w:after="0"/>
              <w:rPr>
                <w:sz w:val="1"/>
                <w:szCs w:val="1"/>
                <w:color w:val="auto"/>
              </w:rPr>
            </w:pPr>
          </w:p>
        </w:tc>
      </w:tr>
      <w:tr>
        <w:trPr>
          <w:trHeight w:val="237"/>
        </w:trPr>
        <w:tc>
          <w:tcPr>
            <w:tcW w:w="3700" w:type="dxa"/>
            <w:vAlign w:val="bottom"/>
          </w:tcPr>
          <w:p>
            <w:pPr>
              <w:ind w:left="280"/>
              <w:spacing w:after="0"/>
              <w:rPr>
                <w:sz w:val="20"/>
                <w:szCs w:val="20"/>
                <w:color w:val="auto"/>
              </w:rPr>
            </w:pPr>
            <w:r>
              <w:rPr>
                <w:rFonts w:ascii="Arial" w:cs="Arial" w:eastAsia="Arial" w:hAnsi="Arial"/>
                <w:sz w:val="18"/>
                <w:szCs w:val="18"/>
                <w:color w:val="auto"/>
              </w:rPr>
              <w:t>Revenue and other earnings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230,047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186,359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87,849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(5,405)</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102,735</w:t>
            </w:r>
          </w:p>
        </w:tc>
        <w:tc>
          <w:tcPr>
            <w:tcW w:w="140" w:type="dxa"/>
            <w:vAlign w:val="bottom"/>
            <w:tcBorders>
              <w:right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601,585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expense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(138,714)</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(8,204)</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(11,070)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Allocated interest expense(2)</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(156,163)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(20,653)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(345,914)</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Allocated general and administrative(3)</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(19,934)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(32,026)</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(75,337)</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Segment profit (loss)(4)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51,084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75,780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(74,492)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41,852</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30,550</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40"/>
              <w:spacing w:after="0"/>
              <w:rPr>
                <w:sz w:val="20"/>
                <w:szCs w:val="20"/>
                <w:color w:val="auto"/>
              </w:rPr>
            </w:pPr>
            <w:r>
              <w:rPr>
                <w:rFonts w:ascii="Arial" w:cs="Arial" w:eastAsia="Arial" w:hAnsi="Arial"/>
                <w:sz w:val="18"/>
                <w:szCs w:val="18"/>
                <w:color w:val="auto"/>
              </w:rPr>
              <w:t>Other significant non-cash items:</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loan losses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46,412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46,412</w:t>
            </w:r>
          </w:p>
        </w:tc>
        <w:tc>
          <w:tcPr>
            <w:tcW w:w="0" w:type="dxa"/>
            <w:vAlign w:val="bottom"/>
          </w:tcPr>
          <w:p>
            <w:pPr>
              <w:spacing w:after="0"/>
              <w:rPr>
                <w:sz w:val="1"/>
                <w:szCs w:val="1"/>
                <w:color w:val="auto"/>
              </w:rPr>
            </w:pP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Impairment of assets(2)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21,030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872</w:t>
            </w:r>
          </w:p>
        </w:tc>
        <w:tc>
          <w:tcPr>
            <w:tcW w:w="140" w:type="dxa"/>
            <w:vAlign w:val="bottom"/>
            <w:tcBorders>
              <w:right w:val="single" w:sz="8" w:color="auto"/>
            </w:tcBorders>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22,386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42,080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63,928</w:t>
            </w:r>
          </w:p>
        </w:tc>
        <w:tc>
          <w:tcPr>
            <w:tcW w:w="0" w:type="dxa"/>
            <w:vAlign w:val="bottom"/>
          </w:tcPr>
          <w:p>
            <w:pPr>
              <w:spacing w:after="0"/>
              <w:rPr>
                <w:sz w:val="1"/>
                <w:szCs w:val="1"/>
                <w:color w:val="auto"/>
              </w:rPr>
            </w:pP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Capitalized expenditures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8,699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38,477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16,993</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64,169</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660" w:hanging="652"/>
        <w:spacing w:after="0" w:line="264" w:lineRule="auto"/>
        <w:tabs>
          <w:tab w:leader="none" w:pos="6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Corporate/Other represents all corporate level and unallocated items including any intercompany eliminations necessary to reconcile to consolidated Company totals. This caption also includes the Company's joint venture investments and strategic investments that are not related to the other reportable segments above, including the Company's equity investment in LNR of $205.8 million as of December 31, 2012 and the Company's share of equity in earnings from LNR of $16.5 million, $60.7 million and $53.9 million for the years ended December 31, 2013, 2012 and 2011, respectively. See Note 6 for further details on the Company's investment in LNR and summarized financial information of LNR.</w:t>
      </w:r>
    </w:p>
    <w:p>
      <w:pPr>
        <w:spacing w:after="0" w:line="2" w:lineRule="exact"/>
        <w:rPr>
          <w:rFonts w:ascii="Arial" w:cs="Arial" w:eastAsia="Arial" w:hAnsi="Arial"/>
          <w:sz w:val="13"/>
          <w:szCs w:val="13"/>
          <w:color w:val="auto"/>
        </w:rPr>
      </w:pPr>
    </w:p>
    <w:p>
      <w:pPr>
        <w:ind w:left="660" w:hanging="652"/>
        <w:spacing w:after="0"/>
        <w:tabs>
          <w:tab w:leader="none" w:pos="6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related amounts reclassified to discontinued operations on the Company's Consolidated Statements of Operations.</w:t>
      </w:r>
    </w:p>
    <w:p>
      <w:pPr>
        <w:spacing w:after="0" w:line="1" w:lineRule="exact"/>
        <w:rPr>
          <w:rFonts w:ascii="Arial" w:cs="Arial" w:eastAsia="Arial" w:hAnsi="Arial"/>
          <w:sz w:val="14"/>
          <w:szCs w:val="14"/>
          <w:color w:val="auto"/>
        </w:rPr>
      </w:pPr>
    </w:p>
    <w:p>
      <w:pPr>
        <w:ind w:left="660" w:hanging="652"/>
        <w:spacing w:after="0" w:line="241" w:lineRule="auto"/>
        <w:tabs>
          <w:tab w:leader="none" w:pos="6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General and administrative excludes stock-based compensation expense of $19.3 million, $15.3 million and $29.7 million for the years ended December 31, 2013, 2012 and 2011, respectively.</w:t>
      </w:r>
    </w:p>
    <w:p>
      <w:pPr>
        <w:ind w:left="660" w:hanging="652"/>
        <w:spacing w:after="0"/>
        <w:tabs>
          <w:tab w:leader="none" w:pos="6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following is a reconciliation of segment profit (loss) to net income (loss) ($ in thousands):</w:t>
      </w:r>
    </w:p>
    <w:p>
      <w:pPr>
        <w:spacing w:after="0" w:line="147" w:lineRule="exact"/>
        <w:rPr>
          <w:sz w:val="20"/>
          <w:szCs w:val="20"/>
          <w:color w:val="auto"/>
        </w:rPr>
      </w:pPr>
    </w:p>
    <w:tbl>
      <w:tblPr>
        <w:tblLayout w:type="fixed"/>
        <w:tblInd w:w="80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4"/>
                <w:szCs w:val="14"/>
                <w:b w:val="1"/>
                <w:bCs w:val="1"/>
                <w:color w:val="auto"/>
              </w:rPr>
              <w:t>For the 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54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2011</w:t>
            </w:r>
          </w:p>
        </w:tc>
      </w:tr>
      <w:tr>
        <w:trPr>
          <w:trHeight w:val="256"/>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profit (loss)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39,367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9,004</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30,550</w:t>
            </w:r>
          </w:p>
        </w:tc>
      </w:tr>
      <w:tr>
        <w:trPr>
          <w:trHeight w:val="264"/>
        </w:trPr>
        <w:tc>
          <w:tcPr>
            <w:tcW w:w="5480" w:type="dxa"/>
            <w:vAlign w:val="bottom"/>
          </w:tcPr>
          <w:p>
            <w:pPr>
              <w:ind w:left="20"/>
              <w:spacing w:after="0"/>
              <w:rPr>
                <w:sz w:val="20"/>
                <w:szCs w:val="20"/>
                <w:color w:val="auto"/>
              </w:rPr>
            </w:pPr>
            <w:r>
              <w:rPr>
                <w:rFonts w:ascii="Arial" w:cs="Arial" w:eastAsia="Arial" w:hAnsi="Arial"/>
                <w:sz w:val="14"/>
                <w:szCs w:val="14"/>
                <w:color w:val="auto"/>
              </w:rPr>
              <w:t>Less: Provision for loan losses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(5,489)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(81,740)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(46,412)</w:t>
            </w:r>
          </w:p>
        </w:tc>
      </w:tr>
      <w:tr>
        <w:trPr>
          <w:trHeight w:val="276"/>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Impairment of assets(2)</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(14,353)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(36,354)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(22,386)</w:t>
            </w:r>
          </w:p>
        </w:tc>
      </w:tr>
      <w:tr>
        <w:trPr>
          <w:trHeight w:val="264"/>
        </w:trPr>
        <w:tc>
          <w:tcPr>
            <w:tcW w:w="5480" w:type="dxa"/>
            <w:vAlign w:val="bottom"/>
          </w:tcPr>
          <w:p>
            <w:pPr>
              <w:ind w:left="20"/>
              <w:spacing w:after="0"/>
              <w:rPr>
                <w:sz w:val="20"/>
                <w:szCs w:val="20"/>
                <w:color w:val="auto"/>
              </w:rPr>
            </w:pPr>
            <w:r>
              <w:rPr>
                <w:rFonts w:ascii="Arial" w:cs="Arial" w:eastAsia="Arial" w:hAnsi="Arial"/>
                <w:sz w:val="14"/>
                <w:szCs w:val="14"/>
                <w:color w:val="auto"/>
              </w:rPr>
              <w:t>Less: Loss on transfer of interest to unconsolidated subsidiary</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(7,373)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Stock-based compensation expense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(19,261)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(15,293)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(29,702)</w:t>
            </w:r>
          </w:p>
        </w:tc>
      </w:tr>
      <w:tr>
        <w:trPr>
          <w:trHeight w:val="264"/>
        </w:trPr>
        <w:tc>
          <w:tcPr>
            <w:tcW w:w="5480" w:type="dxa"/>
            <w:vAlign w:val="bottom"/>
          </w:tcPr>
          <w:p>
            <w:pPr>
              <w:ind w:left="20"/>
              <w:spacing w:after="0"/>
              <w:rPr>
                <w:sz w:val="20"/>
                <w:szCs w:val="20"/>
                <w:color w:val="auto"/>
              </w:rPr>
            </w:pPr>
            <w:r>
              <w:rPr>
                <w:rFonts w:ascii="Arial" w:cs="Arial" w:eastAsia="Arial" w:hAnsi="Arial"/>
                <w:sz w:val="14"/>
                <w:szCs w:val="14"/>
                <w:color w:val="auto"/>
              </w:rPr>
              <w:t>Less: Depreciation and amortization(2)</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(71,530)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(70,786)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(63,928)</w:t>
            </w:r>
          </w:p>
        </w:tc>
      </w:tr>
      <w:tr>
        <w:trPr>
          <w:trHeight w:val="276"/>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Income tax (expense) benefit(2)</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4,719</w:t>
            </w:r>
          </w:p>
        </w:tc>
      </w:tr>
      <w:tr>
        <w:trPr>
          <w:trHeight w:val="264"/>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Add: Gain (loss) on early extinguishment of debt, net</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(33,190)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(37,816)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101,466</w:t>
            </w:r>
          </w:p>
        </w:tc>
      </w:tr>
      <w:tr>
        <w:trPr>
          <w:trHeight w:val="243"/>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(111,233)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(241,430)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(25,693)</w:t>
            </w: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660" w:hanging="652"/>
        <w:spacing w:after="0" w:line="312" w:lineRule="auto"/>
        <w:tabs>
          <w:tab w:leader="none" w:pos="6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prior periods' presentation have been conformed for the change in the methodology of allocating interest expense and general and administrative expenses to each segment based on gross carrying value of assets. The allocation was previously based on carrying value of assets net of accumulated depreciation and amortization and general loan loss reserves.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121" w:right="239" w:bottom="1440" w:gutter="0" w:footer="0" w:header="0"/>
          <w:type w:val="continuous"/>
        </w:sectPr>
      </w:pPr>
    </w:p>
    <w:bookmarkStart w:id="96" w:name="page97"/>
    <w:bookmarkEnd w:id="96"/>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16—Quarterly Financial Information (Unaudited)</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selected quarterly financial data for the Company ($ in thousands, except per share amounts).</w:t>
      </w:r>
    </w:p>
    <w:p>
      <w:pPr>
        <w:spacing w:after="0" w:line="365"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For the Quarters Ended</w:t>
            </w: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4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22"/>
                <w:szCs w:val="22"/>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22"/>
                <w:szCs w:val="22"/>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22"/>
                <w:szCs w:val="22"/>
                <w:color w:val="auto"/>
              </w:rPr>
            </w:pPr>
          </w:p>
        </w:tc>
        <w:tc>
          <w:tcPr>
            <w:tcW w:w="1120" w:type="dxa"/>
            <w:vAlign w:val="bottom"/>
          </w:tcPr>
          <w:p>
            <w:pPr>
              <w:jc w:val="right"/>
              <w:ind w:right="272"/>
              <w:spacing w:after="0"/>
              <w:rPr>
                <w:sz w:val="20"/>
                <w:szCs w:val="20"/>
                <w:color w:val="auto"/>
              </w:rPr>
            </w:pPr>
            <w:r>
              <w:rPr>
                <w:rFonts w:ascii="Arial" w:cs="Arial" w:eastAsia="Arial" w:hAnsi="Arial"/>
                <w:sz w:val="14"/>
                <w:szCs w:val="14"/>
                <w:b w:val="1"/>
                <w:bCs w:val="1"/>
                <w:color w:val="auto"/>
              </w:rPr>
              <w:t>March 31,</w:t>
            </w:r>
          </w:p>
        </w:tc>
      </w:tr>
      <w:tr>
        <w:trPr>
          <w:trHeight w:val="250"/>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Revenue(1)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101,073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95,696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99,919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94,102</w:t>
            </w:r>
          </w:p>
        </w:tc>
      </w:tr>
      <w:tr>
        <w:trPr>
          <w:trHeight w:val="27"/>
        </w:trPr>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(32,253)</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Earnings per common share data:</w:t>
            </w: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 (loss) attributable to iStar Financial Inc.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(32,064)</w:t>
            </w: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Basic and diluted earnings per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(0.49)</w:t>
            </w:r>
          </w:p>
        </w:tc>
      </w:tr>
      <w:tr>
        <w:trPr>
          <w:trHeight w:val="27"/>
        </w:trPr>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number of common shares—basic and</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4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84,617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85,392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85,125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84,824</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Earnings per HPU share data:</w:t>
            </w: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 (loss) attributable to iStar Financial Inc.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Basic and diluted earnings per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(129.26)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(67.73)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(57.74)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(92.07)</w:t>
            </w:r>
          </w:p>
        </w:tc>
      </w:tr>
      <w:tr>
        <w:trPr>
          <w:trHeight w:val="27"/>
        </w:trPr>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5"/>
              </w:rPr>
              <w:t>Weighted average number of HPU shares—basic and diluted</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r>
      <w:tr>
        <w:trPr>
          <w:trHeight w:val="264"/>
        </w:trPr>
        <w:tc>
          <w:tcPr>
            <w:tcW w:w="48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For the Quarters Ended</w:t>
            </w: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r>
      <w:tr>
        <w:trPr>
          <w:trHeight w:val="263"/>
        </w:trPr>
        <w:tc>
          <w:tcPr>
            <w:tcW w:w="4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22"/>
                <w:szCs w:val="22"/>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22"/>
                <w:szCs w:val="22"/>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22"/>
                <w:szCs w:val="22"/>
                <w:color w:val="auto"/>
              </w:rPr>
            </w:pPr>
          </w:p>
        </w:tc>
        <w:tc>
          <w:tcPr>
            <w:tcW w:w="1120" w:type="dxa"/>
            <w:vAlign w:val="bottom"/>
          </w:tcPr>
          <w:p>
            <w:pPr>
              <w:jc w:val="right"/>
              <w:ind w:right="272"/>
              <w:spacing w:after="0"/>
              <w:rPr>
                <w:sz w:val="20"/>
                <w:szCs w:val="20"/>
                <w:color w:val="auto"/>
              </w:rPr>
            </w:pPr>
            <w:r>
              <w:rPr>
                <w:rFonts w:ascii="Arial" w:cs="Arial" w:eastAsia="Arial" w:hAnsi="Arial"/>
                <w:sz w:val="14"/>
                <w:szCs w:val="14"/>
                <w:b w:val="1"/>
                <w:bCs w:val="1"/>
                <w:color w:val="auto"/>
              </w:rPr>
              <w:t>March 31,</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2012(2):</w:t>
            </w:r>
          </w:p>
        </w:tc>
        <w:tc>
          <w:tcPr>
            <w:tcW w:w="2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Revenue(1)</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96,421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93,462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106,886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100,770</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(79,948)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(64,306)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(51,129)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(46,048)</w:t>
            </w:r>
          </w:p>
        </w:tc>
      </w:tr>
      <w:tr>
        <w:trPr>
          <w:trHeight w:val="27"/>
        </w:trPr>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common share data:</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840" w:type="dxa"/>
            <w:vAlign w:val="bottom"/>
          </w:tcPr>
          <w:p>
            <w:pPr>
              <w:ind w:left="160"/>
              <w:spacing w:after="0"/>
              <w:rPr>
                <w:sz w:val="20"/>
                <w:szCs w:val="20"/>
                <w:color w:val="auto"/>
              </w:rPr>
            </w:pPr>
            <w:r>
              <w:rPr>
                <w:rFonts w:ascii="Arial" w:cs="Arial" w:eastAsia="Arial" w:hAnsi="Arial"/>
                <w:sz w:val="18"/>
                <w:szCs w:val="18"/>
                <w:color w:val="auto"/>
              </w:rPr>
              <w:t>Net income (loss) attributable to iStar Financial Inc.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(79,810)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(63,640)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(50,407)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(46,073)</w:t>
            </w:r>
          </w:p>
        </w:tc>
      </w:tr>
      <w:tr>
        <w:trPr>
          <w:trHeight w:val="27"/>
        </w:trPr>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 earnings per share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(0.66)</w:t>
            </w:r>
          </w:p>
        </w:tc>
      </w:tr>
      <w:tr>
        <w:trPr>
          <w:trHeight w:val="229"/>
        </w:trPr>
        <w:tc>
          <w:tcPr>
            <w:tcW w:w="4840" w:type="dxa"/>
            <w:vAlign w:val="bottom"/>
          </w:tcPr>
          <w:p>
            <w:pPr>
              <w:ind w:left="160"/>
              <w:spacing w:after="0"/>
              <w:rPr>
                <w:sz w:val="20"/>
                <w:szCs w:val="20"/>
                <w:color w:val="auto"/>
              </w:rPr>
            </w:pPr>
            <w:r>
              <w:rPr>
                <w:rFonts w:ascii="Arial" w:cs="Arial" w:eastAsia="Arial" w:hAnsi="Arial"/>
                <w:sz w:val="18"/>
                <w:szCs w:val="18"/>
                <w:color w:val="auto"/>
              </w:rPr>
              <w:t>Weighted average number of common shares—basic and</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840" w:type="dxa"/>
            <w:vAlign w:val="bottom"/>
          </w:tcPr>
          <w:p>
            <w:pPr>
              <w:ind w:left="16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83,674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83,629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84,113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83,556</w:t>
            </w:r>
          </w:p>
        </w:tc>
      </w:tr>
      <w:tr>
        <w:trPr>
          <w:trHeight w:val="27"/>
        </w:trPr>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HPU share data:</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840" w:type="dxa"/>
            <w:vAlign w:val="bottom"/>
          </w:tcPr>
          <w:p>
            <w:pPr>
              <w:ind w:left="160"/>
              <w:spacing w:after="0"/>
              <w:rPr>
                <w:sz w:val="20"/>
                <w:szCs w:val="20"/>
                <w:color w:val="auto"/>
              </w:rPr>
            </w:pPr>
            <w:r>
              <w:rPr>
                <w:rFonts w:ascii="Arial" w:cs="Arial" w:eastAsia="Arial" w:hAnsi="Arial"/>
                <w:sz w:val="18"/>
                <w:szCs w:val="18"/>
                <w:color w:val="auto"/>
              </w:rPr>
              <w:t>Net income (loss) attributable to iStar Financial Inc.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(2,966)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(1,991)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(1,861)</w:t>
            </w:r>
          </w:p>
        </w:tc>
      </w:tr>
      <w:tr>
        <w:trPr>
          <w:trHeight w:val="27"/>
        </w:trPr>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 earnings per share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(124.07)</w:t>
            </w:r>
          </w:p>
        </w:tc>
      </w:tr>
      <w:tr>
        <w:trPr>
          <w:trHeight w:val="243"/>
        </w:trPr>
        <w:tc>
          <w:tcPr>
            <w:tcW w:w="4840" w:type="dxa"/>
            <w:vAlign w:val="bottom"/>
          </w:tcPr>
          <w:p>
            <w:pPr>
              <w:ind w:left="160"/>
              <w:spacing w:after="0"/>
              <w:rPr>
                <w:sz w:val="20"/>
                <w:szCs w:val="20"/>
                <w:color w:val="auto"/>
              </w:rPr>
            </w:pPr>
            <w:r>
              <w:rPr>
                <w:rFonts w:ascii="Arial" w:cs="Arial" w:eastAsia="Arial" w:hAnsi="Arial"/>
                <w:sz w:val="18"/>
                <w:szCs w:val="18"/>
                <w:color w:val="auto"/>
                <w:w w:val="95"/>
              </w:rPr>
              <w:t>Weighted average number of HPU shares—basic and diluted</w:t>
            </w:r>
          </w:p>
        </w:tc>
        <w:tc>
          <w:tcPr>
            <w:tcW w:w="26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line="250" w:lineRule="auto"/>
        <w:tabs>
          <w:tab w:leader="none" w:pos="6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All periods have been adjusted to reflect the impact of properties sold during 2013 and 2012 and properties classified as held for sale as of December 31, 2013, which are reflected in "Income (loss) from discontinued operations on the Consolidated Statements of Operations.</w:t>
      </w:r>
    </w:p>
    <w:p>
      <w:pPr>
        <w:jc w:val="both"/>
        <w:ind w:left="660" w:hanging="652"/>
        <w:spacing w:after="0" w:line="246" w:lineRule="auto"/>
        <w:tabs>
          <w:tab w:leader="none" w:pos="6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During the quarter ended December 31, 2012, the Company recorded a loss on early extinguishment of debt of $31.0 million primarily related to a prepayment penalty on the early repayment of 8.625% Senior Notes, as well as a loss due to the acceleration of unamortized fees and discounts related to the refinancing of the 2011 Secured Credit Facilities (see Note 8). The Company also recorded $27.9 million related to Income from sales of residential property. During the quarter ended March 31, 2012, the Madison Funds recorded a significant gain related to the sale of an investment for which the Company recorded its $13.7 million proportionate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17—Subsequent Events</w:t>
      </w:r>
    </w:p>
    <w:p>
      <w:pPr>
        <w:spacing w:after="0" w:line="18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February 2014, the Company partnered with a sovereign wealth fund to form a venture in which the partners plan to contribute up to an aggregate $500 million of equity to acquire and develop up to $1.25 billion of net lease assets over time. The Company owns approximately 52% of the venture and will be responsible for sourcing new opportunities and managing the venture and its assets in exchange for a promote and management fee. The venture’s first investment was acquired by the Company for $93.6 million during 2013 and was subsequently sold to the venture.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 and Reserves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Charged to</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54"/>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Beginning</w:t>
            </w: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Costs and</w:t>
            </w: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to Valuation</w:t>
            </w:r>
          </w:p>
        </w:tc>
        <w:tc>
          <w:tcPr>
            <w:tcW w:w="16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Deductions</w:t>
            </w:r>
          </w:p>
        </w:tc>
        <w:tc>
          <w:tcPr>
            <w:tcW w:w="240" w:type="dxa"/>
            <w:vAlign w:val="bottom"/>
          </w:tcPr>
          <w:p>
            <w:pPr>
              <w:spacing w:after="0"/>
              <w:rPr>
                <w:sz w:val="12"/>
                <w:szCs w:val="12"/>
                <w:color w:val="auto"/>
              </w:rPr>
            </w:pPr>
          </w:p>
        </w:tc>
        <w:tc>
          <w:tcPr>
            <w:tcW w:w="112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8"/>
              </w:rPr>
              <w:t>End</w:t>
            </w:r>
          </w:p>
        </w:tc>
        <w:tc>
          <w:tcPr>
            <w:tcW w:w="0" w:type="dxa"/>
            <w:vAlign w:val="bottom"/>
          </w:tcPr>
          <w:p>
            <w:pPr>
              <w:spacing w:after="0"/>
              <w:rPr>
                <w:sz w:val="1"/>
                <w:szCs w:val="1"/>
                <w:color w:val="auto"/>
              </w:rPr>
            </w:pPr>
          </w:p>
        </w:tc>
      </w:tr>
      <w:tr>
        <w:trPr>
          <w:trHeight w:val="192"/>
        </w:trPr>
        <w:tc>
          <w:tcPr>
            <w:tcW w:w="45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of Period</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Expenses</w:t>
            </w: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Accounts</w:t>
            </w: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4"/>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December 31, 2011</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Reserve for loan losses(1)(2)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814,625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46,412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(214,413)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646,624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 for doubtful accounts(2)</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3,668</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Allowance for deferred tax assets(2)</w:t>
            </w:r>
          </w:p>
        </w:tc>
        <w:tc>
          <w:tcPr>
            <w:tcW w:w="2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29,921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40,936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50,889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845,922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28,736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40,936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(214,413)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701,181</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For the Year Ended December 31, 2012</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Reserve for loan losses(1)(2)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646,624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81,740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524,499</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Allowance for doubtful accounts(2)</w:t>
            </w:r>
          </w:p>
        </w:tc>
        <w:tc>
          <w:tcPr>
            <w:tcW w:w="2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3,668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1,928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5,596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 for deferred tax assets(2)</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50,889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40,880</w:t>
            </w: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701,181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73,835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(203,865)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570,975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December 31, 2013</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Reserve for loan losses(1)(2)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524,499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5,489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(152,784)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377,204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 for doubtful accounts(2)</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5,857</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Allowance for deferred tax assets(2)</w:t>
            </w:r>
          </w:p>
        </w:tc>
        <w:tc>
          <w:tcPr>
            <w:tcW w:w="2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40,880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19,855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56,262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570,975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19,855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(152,784)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439,323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See Note 5 to the Company's Consolidated Financial Statements.</w:t>
      </w:r>
    </w:p>
    <w:p>
      <w:pPr>
        <w:spacing w:after="0" w:line="13" w:lineRule="exact"/>
        <w:rPr>
          <w:rFonts w:ascii="Arial" w:cs="Arial" w:eastAsia="Arial" w:hAnsi="Arial"/>
          <w:sz w:val="14"/>
          <w:szCs w:val="14"/>
          <w:color w:val="auto"/>
        </w:rPr>
      </w:pPr>
    </w:p>
    <w:p>
      <w:pPr>
        <w:ind w:left="660" w:hanging="652"/>
        <w:spacing w:after="0"/>
        <w:tabs>
          <w:tab w:leader="none" w:pos="6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See Note 3 to the Company's Consolidated Financial Statements.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18"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III—Real Estate and Accumulated Depreciation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2013</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6"/>
          </w:tcPr>
          <w:p>
            <w:pPr>
              <w:jc w:val="center"/>
              <w:ind w:left="388"/>
              <w:spacing w:after="0"/>
              <w:rPr>
                <w:sz w:val="20"/>
                <w:szCs w:val="20"/>
                <w:color w:val="auto"/>
              </w:rPr>
            </w:pPr>
            <w:r>
              <w:rPr>
                <w:rFonts w:ascii="Arial" w:cs="Arial" w:eastAsia="Arial" w:hAnsi="Arial"/>
                <w:sz w:val="14"/>
                <w:szCs w:val="14"/>
                <w:b w:val="1"/>
                <w:bCs w:val="1"/>
                <w:color w:val="auto"/>
                <w:w w:val="94"/>
              </w:rPr>
              <w:t>Gross Amount Carried</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w w:val="95"/>
              </w:rPr>
              <w:t>Initial Cost to Company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at Close of Period</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Building and</w:t>
            </w: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7"/>
              </w:rPr>
              <w:t>Capitalized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Building and</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1"/>
                <w:szCs w:val="11"/>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Depreciable</w:t>
            </w:r>
          </w:p>
        </w:tc>
        <w:tc>
          <w:tcPr>
            <w:tcW w:w="0" w:type="dxa"/>
            <w:vAlign w:val="bottom"/>
          </w:tcPr>
          <w:p>
            <w:pPr>
              <w:spacing w:after="0"/>
              <w:rPr>
                <w:sz w:val="1"/>
                <w:szCs w:val="1"/>
                <w:color w:val="auto"/>
              </w:rPr>
            </w:pPr>
          </w:p>
        </w:tc>
      </w:tr>
      <w:tr>
        <w:trPr>
          <w:trHeight w:val="149"/>
        </w:trPr>
        <w:tc>
          <w:tcPr>
            <w:tcW w:w="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State</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Land</w:t>
            </w:r>
          </w:p>
        </w:tc>
        <w:tc>
          <w:tcPr>
            <w:tcW w:w="1040" w:type="dxa"/>
            <w:vAlign w:val="bottom"/>
            <w:gridSpan w:val="3"/>
            <w:vMerge w:val="continue"/>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Subsequent to</w:t>
            </w:r>
          </w:p>
        </w:tc>
        <w:tc>
          <w:tcPr>
            <w:tcW w:w="160" w:type="dxa"/>
            <w:vAlign w:val="bottom"/>
          </w:tcPr>
          <w:p>
            <w:pPr>
              <w:spacing w:after="0"/>
              <w:rPr>
                <w:sz w:val="12"/>
                <w:szCs w:val="12"/>
                <w:color w:val="auto"/>
              </w:rPr>
            </w:pPr>
          </w:p>
        </w:tc>
        <w:tc>
          <w:tcPr>
            <w:tcW w:w="6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Land</w:t>
            </w:r>
          </w:p>
        </w:tc>
        <w:tc>
          <w:tcPr>
            <w:tcW w:w="1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8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92"/>
        </w:trPr>
        <w:tc>
          <w:tcPr>
            <w:tcW w:w="90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b w:val="1"/>
                <w:bCs w:val="1"/>
                <w:color w:val="auto"/>
                <w:w w:val="93"/>
              </w:rPr>
              <w:t>Encumbrances</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Improvements</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Acquisition(2)</w:t>
            </w: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Improvements</w:t>
            </w: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Depreciation</w:t>
            </w:r>
          </w:p>
        </w:tc>
        <w:tc>
          <w:tcPr>
            <w:tcW w:w="220" w:type="dxa"/>
            <w:vAlign w:val="bottom"/>
          </w:tcPr>
          <w:p>
            <w:pPr>
              <w:spacing w:after="0"/>
              <w:rPr>
                <w:sz w:val="16"/>
                <w:szCs w:val="16"/>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Acquired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16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OFFICE FACILITIES:</w:t>
            </w:r>
          </w:p>
        </w:tc>
        <w:tc>
          <w:tcPr>
            <w:tcW w:w="1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Arizona</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OAZ006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10,780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36,336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10,780</w:t>
            </w:r>
          </w:p>
        </w:tc>
        <w:tc>
          <w:tcPr>
            <w:tcW w:w="3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35,378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46,158</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4,159</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2011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00" w:type="dxa"/>
            <w:vAlign w:val="bottom"/>
          </w:tcPr>
          <w:p>
            <w:pPr>
              <w:ind w:left="40"/>
              <w:spacing w:after="0"/>
              <w:rPr>
                <w:sz w:val="20"/>
                <w:szCs w:val="20"/>
                <w:color w:val="auto"/>
              </w:rPr>
            </w:pPr>
            <w:r>
              <w:rPr>
                <w:rFonts w:ascii="Arial" w:cs="Arial" w:eastAsia="Arial" w:hAnsi="Arial"/>
                <w:sz w:val="14"/>
                <w:szCs w:val="14"/>
                <w:color w:val="auto"/>
              </w:rPr>
              <w:t>Arizona</w:t>
            </w:r>
          </w:p>
        </w:tc>
        <w:tc>
          <w:tcPr>
            <w:tcW w:w="700" w:type="dxa"/>
            <w:vAlign w:val="bottom"/>
          </w:tcPr>
          <w:p>
            <w:pPr>
              <w:ind w:left="40"/>
              <w:spacing w:after="0"/>
              <w:rPr>
                <w:sz w:val="20"/>
                <w:szCs w:val="20"/>
                <w:color w:val="auto"/>
              </w:rPr>
            </w:pPr>
            <w:r>
              <w:rPr>
                <w:rFonts w:ascii="Arial" w:cs="Arial" w:eastAsia="Arial" w:hAnsi="Arial"/>
                <w:sz w:val="14"/>
                <w:szCs w:val="14"/>
                <w:color w:val="auto"/>
              </w:rPr>
              <w:t>OAZ002</w:t>
            </w:r>
          </w:p>
        </w:tc>
        <w:tc>
          <w:tcPr>
            <w:tcW w:w="1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1,033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6,652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951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1,033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7,603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8,636</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2,518</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1999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Arizona</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OAZ003</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6,652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6,857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7,890</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2,417</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1999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00" w:type="dxa"/>
            <w:vAlign w:val="bottom"/>
          </w:tcPr>
          <w:p>
            <w:pPr>
              <w:ind w:left="40"/>
              <w:spacing w:after="0"/>
              <w:rPr>
                <w:sz w:val="20"/>
                <w:szCs w:val="20"/>
                <w:color w:val="auto"/>
              </w:rPr>
            </w:pPr>
            <w:r>
              <w:rPr>
                <w:rFonts w:ascii="Arial" w:cs="Arial" w:eastAsia="Arial" w:hAnsi="Arial"/>
                <w:sz w:val="14"/>
                <w:szCs w:val="14"/>
                <w:color w:val="auto"/>
              </w:rPr>
              <w:t>Arizona</w:t>
            </w:r>
          </w:p>
        </w:tc>
        <w:tc>
          <w:tcPr>
            <w:tcW w:w="700" w:type="dxa"/>
            <w:vAlign w:val="bottom"/>
          </w:tcPr>
          <w:p>
            <w:pPr>
              <w:ind w:left="40"/>
              <w:spacing w:after="0"/>
              <w:rPr>
                <w:sz w:val="20"/>
                <w:szCs w:val="20"/>
                <w:color w:val="auto"/>
              </w:rPr>
            </w:pPr>
            <w:r>
              <w:rPr>
                <w:rFonts w:ascii="Arial" w:cs="Arial" w:eastAsia="Arial" w:hAnsi="Arial"/>
                <w:sz w:val="14"/>
                <w:szCs w:val="14"/>
                <w:color w:val="auto"/>
              </w:rPr>
              <w:t>OAZ004</w:t>
            </w:r>
          </w:p>
        </w:tc>
        <w:tc>
          <w:tcPr>
            <w:tcW w:w="1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1,033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6,652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1,033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6,849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7,882</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2,385</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1999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Arizona</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OAZ005</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4,339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4,339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5,040</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1,537</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1999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0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700" w:type="dxa"/>
            <w:vAlign w:val="bottom"/>
          </w:tcPr>
          <w:p>
            <w:pPr>
              <w:ind w:left="40"/>
              <w:spacing w:after="0"/>
              <w:rPr>
                <w:sz w:val="20"/>
                <w:szCs w:val="20"/>
                <w:color w:val="auto"/>
              </w:rPr>
            </w:pPr>
            <w:r>
              <w:rPr>
                <w:rFonts w:ascii="Arial" w:cs="Arial" w:eastAsia="Arial" w:hAnsi="Arial"/>
                <w:sz w:val="14"/>
                <w:szCs w:val="14"/>
                <w:color w:val="auto"/>
              </w:rPr>
              <w:t>OCA002</w:t>
            </w:r>
          </w:p>
        </w:tc>
        <w:tc>
          <w:tcPr>
            <w:tcW w:w="1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4,139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5,064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1,596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4,139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6,660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10,799</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1,946</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2002</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Colorado</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OCO001</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16,930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5,506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22,436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24,193</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7,838</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1999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00" w:type="dxa"/>
            <w:vAlign w:val="bottom"/>
          </w:tcPr>
          <w:p>
            <w:pPr>
              <w:ind w:left="40"/>
              <w:spacing w:after="0"/>
              <w:rPr>
                <w:sz w:val="20"/>
                <w:szCs w:val="20"/>
                <w:color w:val="auto"/>
              </w:rPr>
            </w:pPr>
            <w:r>
              <w:rPr>
                <w:rFonts w:ascii="Arial" w:cs="Arial" w:eastAsia="Arial" w:hAnsi="Arial"/>
                <w:sz w:val="14"/>
                <w:szCs w:val="14"/>
                <w:color w:val="auto"/>
              </w:rPr>
              <w:t>Colorado</w:t>
            </w:r>
          </w:p>
        </w:tc>
        <w:tc>
          <w:tcPr>
            <w:tcW w:w="700" w:type="dxa"/>
            <w:vAlign w:val="bottom"/>
          </w:tcPr>
          <w:p>
            <w:pPr>
              <w:ind w:left="40"/>
              <w:spacing w:after="0"/>
              <w:rPr>
                <w:sz w:val="20"/>
                <w:szCs w:val="20"/>
                <w:color w:val="auto"/>
              </w:rPr>
            </w:pPr>
            <w:r>
              <w:rPr>
                <w:rFonts w:ascii="Arial" w:cs="Arial" w:eastAsia="Arial" w:hAnsi="Arial"/>
                <w:sz w:val="14"/>
                <w:szCs w:val="14"/>
                <w:color w:val="auto"/>
              </w:rPr>
              <w:t>OCO002</w:t>
            </w:r>
          </w:p>
        </w:tc>
        <w:tc>
          <w:tcPr>
            <w:tcW w:w="1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5,787</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16,752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16,800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16,800</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4,935</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2002</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Florida</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OFL001</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14,484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2,518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17,002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19,519</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1,554</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2010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00" w:type="dxa"/>
            <w:vAlign w:val="bottom"/>
          </w:tcPr>
          <w:p>
            <w:pPr>
              <w:ind w:left="40"/>
              <w:spacing w:after="0"/>
              <w:rPr>
                <w:sz w:val="20"/>
                <w:szCs w:val="20"/>
                <w:color w:val="auto"/>
              </w:rPr>
            </w:pPr>
            <w:r>
              <w:rPr>
                <w:rFonts w:ascii="Arial" w:cs="Arial" w:eastAsia="Arial" w:hAnsi="Arial"/>
                <w:sz w:val="14"/>
                <w:szCs w:val="14"/>
                <w:color w:val="auto"/>
              </w:rPr>
              <w:t>Georgia</w:t>
            </w:r>
          </w:p>
        </w:tc>
        <w:tc>
          <w:tcPr>
            <w:tcW w:w="700" w:type="dxa"/>
            <w:vAlign w:val="bottom"/>
          </w:tcPr>
          <w:p>
            <w:pPr>
              <w:ind w:left="40"/>
              <w:spacing w:after="0"/>
              <w:rPr>
                <w:sz w:val="20"/>
                <w:szCs w:val="20"/>
                <w:color w:val="auto"/>
              </w:rPr>
            </w:pPr>
            <w:r>
              <w:rPr>
                <w:rFonts w:ascii="Arial" w:cs="Arial" w:eastAsia="Arial" w:hAnsi="Arial"/>
                <w:sz w:val="14"/>
                <w:szCs w:val="14"/>
                <w:color w:val="auto"/>
              </w:rPr>
              <w:t>OGA001</w:t>
            </w:r>
          </w:p>
        </w:tc>
        <w:tc>
          <w:tcPr>
            <w:tcW w:w="1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905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6,744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905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6,834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7,739</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2,776</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1999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Georgia</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OGA002</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5,709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49,091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22,033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5,709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71,124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76,833</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22,710</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1999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00" w:type="dxa"/>
            <w:vAlign w:val="bottom"/>
          </w:tcPr>
          <w:p>
            <w:pPr>
              <w:ind w:left="40"/>
              <w:spacing w:after="0"/>
              <w:rPr>
                <w:sz w:val="20"/>
                <w:szCs w:val="20"/>
                <w:color w:val="auto"/>
              </w:rPr>
            </w:pPr>
            <w:r>
              <w:rPr>
                <w:rFonts w:ascii="Arial" w:cs="Arial" w:eastAsia="Arial" w:hAnsi="Arial"/>
                <w:sz w:val="14"/>
                <w:szCs w:val="14"/>
                <w:color w:val="auto"/>
              </w:rPr>
              <w:t>Illinois</w:t>
            </w:r>
          </w:p>
        </w:tc>
        <w:tc>
          <w:tcPr>
            <w:tcW w:w="700" w:type="dxa"/>
            <w:vAlign w:val="bottom"/>
          </w:tcPr>
          <w:p>
            <w:pPr>
              <w:ind w:left="40"/>
              <w:spacing w:after="0"/>
              <w:rPr>
                <w:sz w:val="20"/>
                <w:szCs w:val="20"/>
                <w:color w:val="auto"/>
              </w:rPr>
            </w:pPr>
            <w:r>
              <w:rPr>
                <w:rFonts w:ascii="Arial" w:cs="Arial" w:eastAsia="Arial" w:hAnsi="Arial"/>
                <w:sz w:val="14"/>
                <w:szCs w:val="14"/>
                <w:color w:val="auto"/>
              </w:rPr>
              <w:t>OIL001</w:t>
            </w:r>
          </w:p>
        </w:tc>
        <w:tc>
          <w:tcPr>
            <w:tcW w:w="1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21,657</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6,153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14,993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14,370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6,153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29,363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35,516</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98</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1999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OMD001</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12,894</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18,706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19,496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21,296</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5,532</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2002</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00" w:type="dxa"/>
            <w:vAlign w:val="bottom"/>
          </w:tcPr>
          <w:p>
            <w:pPr>
              <w:ind w:left="40"/>
              <w:spacing w:after="0"/>
              <w:rPr>
                <w:sz w:val="20"/>
                <w:szCs w:val="20"/>
                <w:color w:val="auto"/>
              </w:rPr>
            </w:pPr>
            <w:r>
              <w:rPr>
                <w:rFonts w:ascii="Arial" w:cs="Arial" w:eastAsia="Arial" w:hAnsi="Arial"/>
                <w:sz w:val="14"/>
                <w:szCs w:val="14"/>
                <w:color w:val="auto"/>
                <w:w w:val="89"/>
              </w:rPr>
              <w:t>Massachusetts</w:t>
            </w:r>
          </w:p>
        </w:tc>
        <w:tc>
          <w:tcPr>
            <w:tcW w:w="700" w:type="dxa"/>
            <w:vAlign w:val="bottom"/>
          </w:tcPr>
          <w:p>
            <w:pPr>
              <w:ind w:left="40"/>
              <w:spacing w:after="0"/>
              <w:rPr>
                <w:sz w:val="20"/>
                <w:szCs w:val="20"/>
                <w:color w:val="auto"/>
              </w:rPr>
            </w:pPr>
            <w:r>
              <w:rPr>
                <w:rFonts w:ascii="Arial" w:cs="Arial" w:eastAsia="Arial" w:hAnsi="Arial"/>
                <w:sz w:val="14"/>
                <w:szCs w:val="14"/>
                <w:color w:val="auto"/>
              </w:rPr>
              <w:t>OMA001</w:t>
            </w:r>
          </w:p>
        </w:tc>
        <w:tc>
          <w:tcPr>
            <w:tcW w:w="1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13,421</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1,600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21,947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1,600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22,223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23,823</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6,548</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2002</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Michigan</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OMI001</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5,374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137,956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5,374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135,415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0"/>
              </w:rPr>
              <w:t>140,789</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21,108</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2007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00" w:type="dxa"/>
            <w:vAlign w:val="bottom"/>
          </w:tcPr>
          <w:p>
            <w:pPr>
              <w:ind w:left="40"/>
              <w:spacing w:after="0"/>
              <w:rPr>
                <w:sz w:val="20"/>
                <w:szCs w:val="20"/>
                <w:color w:val="auto"/>
              </w:rPr>
            </w:pPr>
            <w:r>
              <w:rPr>
                <w:rFonts w:ascii="Arial" w:cs="Arial" w:eastAsia="Arial" w:hAnsi="Arial"/>
                <w:sz w:val="14"/>
                <w:szCs w:val="14"/>
                <w:color w:val="auto"/>
              </w:rPr>
              <w:t>New Jersey</w:t>
            </w:r>
          </w:p>
        </w:tc>
        <w:tc>
          <w:tcPr>
            <w:tcW w:w="700" w:type="dxa"/>
            <w:vAlign w:val="bottom"/>
          </w:tcPr>
          <w:p>
            <w:pPr>
              <w:ind w:left="40"/>
              <w:spacing w:after="0"/>
              <w:rPr>
                <w:sz w:val="20"/>
                <w:szCs w:val="20"/>
                <w:color w:val="auto"/>
              </w:rPr>
            </w:pPr>
            <w:r>
              <w:rPr>
                <w:rFonts w:ascii="Arial" w:cs="Arial" w:eastAsia="Arial" w:hAnsi="Arial"/>
                <w:sz w:val="14"/>
                <w:szCs w:val="14"/>
                <w:color w:val="auto"/>
              </w:rPr>
              <w:t>ONJ001</w:t>
            </w:r>
          </w:p>
        </w:tc>
        <w:tc>
          <w:tcPr>
            <w:tcW w:w="1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53,514</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7,726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74,429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7,724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74,441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82,165</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20,586</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2002</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Jersey</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ONJ002</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12,141</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13,763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13,682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14,690</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3,383</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00" w:type="dxa"/>
            <w:vAlign w:val="bottom"/>
          </w:tcPr>
          <w:p>
            <w:pPr>
              <w:ind w:left="40"/>
              <w:spacing w:after="0"/>
              <w:rPr>
                <w:sz w:val="20"/>
                <w:szCs w:val="20"/>
                <w:color w:val="auto"/>
              </w:rPr>
            </w:pPr>
            <w:r>
              <w:rPr>
                <w:rFonts w:ascii="Arial" w:cs="Arial" w:eastAsia="Arial" w:hAnsi="Arial"/>
                <w:sz w:val="14"/>
                <w:szCs w:val="14"/>
                <w:color w:val="auto"/>
              </w:rPr>
              <w:t>New Jersey</w:t>
            </w:r>
          </w:p>
        </w:tc>
        <w:tc>
          <w:tcPr>
            <w:tcW w:w="700" w:type="dxa"/>
            <w:vAlign w:val="bottom"/>
          </w:tcPr>
          <w:p>
            <w:pPr>
              <w:ind w:left="40"/>
              <w:spacing w:after="0"/>
              <w:rPr>
                <w:sz w:val="20"/>
                <w:szCs w:val="20"/>
                <w:color w:val="auto"/>
              </w:rPr>
            </w:pPr>
            <w:r>
              <w:rPr>
                <w:rFonts w:ascii="Arial" w:cs="Arial" w:eastAsia="Arial" w:hAnsi="Arial"/>
                <w:sz w:val="14"/>
                <w:szCs w:val="14"/>
                <w:color w:val="auto"/>
              </w:rPr>
              <w:t>ONJ003</w:t>
            </w:r>
          </w:p>
        </w:tc>
        <w:tc>
          <w:tcPr>
            <w:tcW w:w="1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18,350</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2,456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28,955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505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2,456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29,460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31,916</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7,224</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Pennsylvania</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OPA001</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26,098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26,049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26,739</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8,005</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2001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00" w:type="dxa"/>
            <w:vAlign w:val="bottom"/>
          </w:tcPr>
          <w:p>
            <w:pPr>
              <w:ind w:left="40"/>
              <w:spacing w:after="0"/>
              <w:rPr>
                <w:sz w:val="20"/>
                <w:szCs w:val="20"/>
                <w:color w:val="auto"/>
              </w:rPr>
            </w:pPr>
            <w:r>
              <w:rPr>
                <w:rFonts w:ascii="Arial" w:cs="Arial" w:eastAsia="Arial" w:hAnsi="Arial"/>
                <w:sz w:val="14"/>
                <w:szCs w:val="14"/>
                <w:color w:val="auto"/>
              </w:rPr>
              <w:t>Tennessee</w:t>
            </w:r>
          </w:p>
        </w:tc>
        <w:tc>
          <w:tcPr>
            <w:tcW w:w="700" w:type="dxa"/>
            <w:vAlign w:val="bottom"/>
          </w:tcPr>
          <w:p>
            <w:pPr>
              <w:ind w:left="40"/>
              <w:spacing w:after="0"/>
              <w:rPr>
                <w:sz w:val="20"/>
                <w:szCs w:val="20"/>
                <w:color w:val="auto"/>
              </w:rPr>
            </w:pPr>
            <w:r>
              <w:rPr>
                <w:rFonts w:ascii="Arial" w:cs="Arial" w:eastAsia="Arial" w:hAnsi="Arial"/>
                <w:sz w:val="14"/>
                <w:szCs w:val="14"/>
                <w:color w:val="auto"/>
              </w:rPr>
              <w:t>OTN001</w:t>
            </w:r>
          </w:p>
        </w:tc>
        <w:tc>
          <w:tcPr>
            <w:tcW w:w="1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2,702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25,129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(17,064)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2,702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8,065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10,767</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7,878</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1999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Texas</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OTX001</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10,628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5,644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2,373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15,263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17,636</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5,034</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1999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00" w:type="dxa"/>
            <w:vAlign w:val="bottom"/>
          </w:tcPr>
          <w:p>
            <w:pPr>
              <w:ind w:left="40"/>
              <w:spacing w:after="0"/>
              <w:rPr>
                <w:sz w:val="20"/>
                <w:szCs w:val="20"/>
                <w:color w:val="auto"/>
              </w:rPr>
            </w:pPr>
            <w:r>
              <w:rPr>
                <w:rFonts w:ascii="Arial" w:cs="Arial" w:eastAsia="Arial" w:hAnsi="Arial"/>
                <w:sz w:val="14"/>
                <w:szCs w:val="14"/>
                <w:color w:val="auto"/>
              </w:rPr>
              <w:t>Texas</w:t>
            </w:r>
          </w:p>
        </w:tc>
        <w:tc>
          <w:tcPr>
            <w:tcW w:w="700" w:type="dxa"/>
            <w:vAlign w:val="bottom"/>
          </w:tcPr>
          <w:p>
            <w:pPr>
              <w:ind w:left="40"/>
              <w:spacing w:after="0"/>
              <w:rPr>
                <w:sz w:val="20"/>
                <w:szCs w:val="20"/>
                <w:color w:val="auto"/>
              </w:rPr>
            </w:pPr>
            <w:r>
              <w:rPr>
                <w:rFonts w:ascii="Arial" w:cs="Arial" w:eastAsia="Arial" w:hAnsi="Arial"/>
                <w:sz w:val="14"/>
                <w:szCs w:val="14"/>
                <w:color w:val="auto"/>
              </w:rPr>
              <w:t>OTX002</w:t>
            </w:r>
          </w:p>
        </w:tc>
        <w:tc>
          <w:tcPr>
            <w:tcW w:w="1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1,233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15,160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1,233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15,318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16,551</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5,095</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1999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Texas</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OTX003</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2,932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31,235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12,403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2,932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43,638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46,570</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14,363</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1999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00" w:type="dxa"/>
            <w:vAlign w:val="bottom"/>
          </w:tcPr>
          <w:p>
            <w:pPr>
              <w:ind w:left="40"/>
              <w:spacing w:after="0"/>
              <w:rPr>
                <w:sz w:val="20"/>
                <w:szCs w:val="20"/>
                <w:color w:val="auto"/>
              </w:rPr>
            </w:pPr>
            <w:r>
              <w:rPr>
                <w:rFonts w:ascii="Arial" w:cs="Arial" w:eastAsia="Arial" w:hAnsi="Arial"/>
                <w:sz w:val="14"/>
                <w:szCs w:val="14"/>
                <w:color w:val="auto"/>
              </w:rPr>
              <w:t>Texas</w:t>
            </w:r>
          </w:p>
        </w:tc>
        <w:tc>
          <w:tcPr>
            <w:tcW w:w="700" w:type="dxa"/>
            <w:vAlign w:val="bottom"/>
          </w:tcPr>
          <w:p>
            <w:pPr>
              <w:ind w:left="40"/>
              <w:spacing w:after="0"/>
              <w:rPr>
                <w:sz w:val="20"/>
                <w:szCs w:val="20"/>
                <w:color w:val="auto"/>
              </w:rPr>
            </w:pPr>
            <w:r>
              <w:rPr>
                <w:rFonts w:ascii="Arial" w:cs="Arial" w:eastAsia="Arial" w:hAnsi="Arial"/>
                <w:sz w:val="14"/>
                <w:szCs w:val="14"/>
                <w:color w:val="auto"/>
              </w:rPr>
              <w:t>OTX004</w:t>
            </w:r>
          </w:p>
        </w:tc>
        <w:tc>
          <w:tcPr>
            <w:tcW w:w="1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1,230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5,660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482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1,230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6,142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7,372</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2,143</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1999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OVA001</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17,030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52,349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17,030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52,349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69,379</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2013</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Wisconsin</w:t>
            </w:r>
          </w:p>
        </w:tc>
        <w:tc>
          <w:tcPr>
            <w:tcW w:w="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OWI001</w:t>
            </w: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1,875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13,914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1,875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7,767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9,642</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4,573</w:t>
            </w:r>
          </w:p>
        </w:tc>
        <w:tc>
          <w:tcPr>
            <w:tcW w:w="900" w:type="dxa"/>
            <w:vAlign w:val="bottom"/>
            <w:tcBorders>
              <w:bottom w:val="single" w:sz="8" w:color="CCEEFF"/>
            </w:tcBorders>
            <w:gridSpan w:val="2"/>
          </w:tcPr>
          <w:p>
            <w:pPr>
              <w:jc w:val="center"/>
              <w:ind w:left="148"/>
              <w:spacing w:after="0"/>
              <w:rPr>
                <w:sz w:val="20"/>
                <w:szCs w:val="20"/>
                <w:color w:val="auto"/>
              </w:rPr>
            </w:pPr>
            <w:r>
              <w:rPr>
                <w:rFonts w:ascii="Arial" w:cs="Arial" w:eastAsia="Arial" w:hAnsi="Arial"/>
                <w:sz w:val="14"/>
                <w:szCs w:val="14"/>
                <w:color w:val="auto"/>
                <w:w w:val="89"/>
              </w:rPr>
              <w:t>1999</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50"/>
        </w:trPr>
        <w:tc>
          <w:tcPr>
            <w:tcW w:w="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Subtotal</w:t>
            </w:r>
          </w:p>
        </w:tc>
        <w:tc>
          <w:tcPr>
            <w:tcW w:w="7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137,764</w:t>
            </w:r>
          </w:p>
        </w:tc>
        <w:tc>
          <w:tcPr>
            <w:tcW w:w="4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84,780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660,618</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40,942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85,787</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700,553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0"/>
              </w:rPr>
              <w:t>786,340</w:t>
            </w:r>
          </w:p>
        </w:tc>
        <w:tc>
          <w:tcPr>
            <w:tcW w:w="2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166,370</w:t>
            </w: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20" w:type="dxa"/>
            <w:vAlign w:val="bottom"/>
            <w:gridSpan w:val="4"/>
          </w:tcPr>
          <w:p>
            <w:pPr>
              <w:ind w:left="40"/>
              <w:spacing w:after="0"/>
              <w:rPr>
                <w:sz w:val="20"/>
                <w:szCs w:val="20"/>
                <w:color w:val="auto"/>
              </w:rPr>
            </w:pPr>
            <w:r>
              <w:rPr>
                <w:rFonts w:ascii="Arial" w:cs="Arial" w:eastAsia="Arial" w:hAnsi="Arial"/>
                <w:sz w:val="14"/>
                <w:szCs w:val="14"/>
                <w:b w:val="1"/>
                <w:bCs w:val="1"/>
                <w:color w:val="auto"/>
              </w:rPr>
              <w:t>INDUSTRIAL FACILITIES:</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Arizona</w:t>
            </w:r>
          </w:p>
        </w:tc>
        <w:tc>
          <w:tcPr>
            <w:tcW w:w="700" w:type="dxa"/>
            <w:vAlign w:val="bottom"/>
            <w:shd w:val="clear" w:color="auto" w:fill="CCEEFF"/>
          </w:tcPr>
          <w:p>
            <w:pPr>
              <w:ind w:left="80"/>
              <w:spacing w:after="0"/>
              <w:rPr>
                <w:sz w:val="20"/>
                <w:szCs w:val="20"/>
                <w:color w:val="auto"/>
              </w:rPr>
            </w:pPr>
            <w:r>
              <w:rPr>
                <w:rFonts w:ascii="Arial" w:cs="Arial" w:eastAsia="Arial" w:hAnsi="Arial"/>
                <w:sz w:val="14"/>
                <w:szCs w:val="14"/>
                <w:color w:val="auto"/>
              </w:rPr>
              <w:t>IAZ001</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7,481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8,504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11,023</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1,093</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2009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00" w:type="dxa"/>
            <w:vAlign w:val="bottom"/>
          </w:tcPr>
          <w:p>
            <w:pPr>
              <w:ind w:left="40"/>
              <w:spacing w:after="0"/>
              <w:rPr>
                <w:sz w:val="20"/>
                <w:szCs w:val="20"/>
                <w:color w:val="auto"/>
              </w:rPr>
            </w:pPr>
            <w:r>
              <w:rPr>
                <w:rFonts w:ascii="Arial" w:cs="Arial" w:eastAsia="Arial" w:hAnsi="Arial"/>
                <w:sz w:val="14"/>
                <w:szCs w:val="14"/>
                <w:color w:val="auto"/>
              </w:rPr>
              <w:t>Arizona</w:t>
            </w:r>
          </w:p>
        </w:tc>
        <w:tc>
          <w:tcPr>
            <w:tcW w:w="700" w:type="dxa"/>
            <w:vAlign w:val="bottom"/>
          </w:tcPr>
          <w:p>
            <w:pPr>
              <w:ind w:left="80"/>
              <w:spacing w:after="0"/>
              <w:rPr>
                <w:sz w:val="20"/>
                <w:szCs w:val="20"/>
                <w:color w:val="auto"/>
              </w:rPr>
            </w:pPr>
            <w:r>
              <w:rPr>
                <w:rFonts w:ascii="Arial" w:cs="Arial" w:eastAsia="Arial" w:hAnsi="Arial"/>
                <w:sz w:val="14"/>
                <w:szCs w:val="14"/>
                <w:color w:val="auto"/>
              </w:rPr>
              <w:t>IAZ002</w:t>
            </w:r>
          </w:p>
        </w:tc>
        <w:tc>
          <w:tcPr>
            <w:tcW w:w="1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3,279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5,221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1,267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3,279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6,488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9,767</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839</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700" w:type="dxa"/>
            <w:vAlign w:val="bottom"/>
            <w:shd w:val="clear" w:color="auto" w:fill="CCEEFF"/>
          </w:tcPr>
          <w:p>
            <w:pPr>
              <w:ind w:left="80"/>
              <w:spacing w:after="0"/>
              <w:rPr>
                <w:sz w:val="20"/>
                <w:szCs w:val="20"/>
                <w:color w:val="auto"/>
              </w:rPr>
            </w:pPr>
            <w:r>
              <w:rPr>
                <w:rFonts w:ascii="Arial" w:cs="Arial" w:eastAsia="Arial" w:hAnsi="Arial"/>
                <w:sz w:val="14"/>
                <w:szCs w:val="14"/>
                <w:color w:val="auto"/>
              </w:rPr>
              <w:t>ICA001</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18,031</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11,635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19,515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5,943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11,635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25,458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37,093</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3,860</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2007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0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700" w:type="dxa"/>
            <w:vAlign w:val="bottom"/>
          </w:tcPr>
          <w:p>
            <w:pPr>
              <w:ind w:left="80"/>
              <w:spacing w:after="0"/>
              <w:rPr>
                <w:sz w:val="20"/>
                <w:szCs w:val="20"/>
                <w:color w:val="auto"/>
              </w:rPr>
            </w:pPr>
            <w:r>
              <w:rPr>
                <w:rFonts w:ascii="Arial" w:cs="Arial" w:eastAsia="Arial" w:hAnsi="Arial"/>
                <w:sz w:val="14"/>
                <w:szCs w:val="14"/>
                <w:color w:val="auto"/>
              </w:rPr>
              <w:t>ICA005</w:t>
            </w:r>
          </w:p>
        </w:tc>
        <w:tc>
          <w:tcPr>
            <w:tcW w:w="1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654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4,591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2,044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654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6,635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7,289</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2,338</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1999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700" w:type="dxa"/>
            <w:vAlign w:val="bottom"/>
            <w:shd w:val="clear" w:color="auto" w:fill="CCEEFF"/>
          </w:tcPr>
          <w:p>
            <w:pPr>
              <w:ind w:left="80"/>
              <w:spacing w:after="0"/>
              <w:rPr>
                <w:sz w:val="20"/>
                <w:szCs w:val="20"/>
                <w:color w:val="auto"/>
              </w:rPr>
            </w:pPr>
            <w:r>
              <w:rPr>
                <w:rFonts w:ascii="Arial" w:cs="Arial" w:eastAsia="Arial" w:hAnsi="Arial"/>
                <w:sz w:val="14"/>
                <w:szCs w:val="14"/>
                <w:color w:val="auto"/>
              </w:rPr>
              <w:t>ICA006</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7,964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10,840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11,926</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4,063</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1999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58"/>
        </w:trPr>
        <w:tc>
          <w:tcPr>
            <w:tcW w:w="90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700" w:type="dxa"/>
            <w:vAlign w:val="bottom"/>
          </w:tcPr>
          <w:p>
            <w:pPr>
              <w:ind w:left="80"/>
              <w:spacing w:after="0"/>
              <w:rPr>
                <w:sz w:val="20"/>
                <w:szCs w:val="20"/>
                <w:color w:val="auto"/>
              </w:rPr>
            </w:pPr>
            <w:r>
              <w:rPr>
                <w:rFonts w:ascii="Arial" w:cs="Arial" w:eastAsia="Arial" w:hAnsi="Arial"/>
                <w:sz w:val="14"/>
                <w:szCs w:val="14"/>
                <w:color w:val="auto"/>
              </w:rPr>
              <w:t>ICA007</w:t>
            </w:r>
          </w:p>
        </w:tc>
        <w:tc>
          <w:tcPr>
            <w:tcW w:w="1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4,880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12,367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3,550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4,880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15,917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20,797</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5,170</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1999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56" w:right="239" w:bottom="1440" w:gutter="0" w:footer="0" w:header="0"/>
        </w:sectPr>
      </w:pPr>
    </w:p>
    <w:p>
      <w:pPr>
        <w:spacing w:after="0" w:line="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256" w:right="239" w:bottom="1440" w:gutter="0" w:footer="0" w:header="0"/>
          <w:type w:val="continuous"/>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2013</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jc w:val="center"/>
              <w:ind w:left="548"/>
              <w:spacing w:after="0"/>
              <w:rPr>
                <w:sz w:val="20"/>
                <w:szCs w:val="20"/>
                <w:color w:val="auto"/>
              </w:rPr>
            </w:pPr>
            <w:r>
              <w:rPr>
                <w:rFonts w:ascii="Arial" w:cs="Arial" w:eastAsia="Arial" w:hAnsi="Arial"/>
                <w:sz w:val="14"/>
                <w:szCs w:val="14"/>
                <w:b w:val="1"/>
                <w:bCs w:val="1"/>
                <w:color w:val="auto"/>
                <w:w w:val="94"/>
              </w:rPr>
              <w:t>Gross Amount Carried</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Initial Cost to Company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7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at Close of Period</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Building and</w:t>
            </w: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7"/>
              </w:rPr>
              <w:t>Capitalized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Building and</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1"/>
                <w:szCs w:val="11"/>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Depreciable</w:t>
            </w:r>
          </w:p>
        </w:tc>
        <w:tc>
          <w:tcPr>
            <w:tcW w:w="0" w:type="dxa"/>
            <w:vAlign w:val="bottom"/>
          </w:tcPr>
          <w:p>
            <w:pPr>
              <w:spacing w:after="0"/>
              <w:rPr>
                <w:sz w:val="1"/>
                <w:szCs w:val="1"/>
                <w:color w:val="auto"/>
              </w:rPr>
            </w:pPr>
          </w:p>
        </w:tc>
      </w:tr>
      <w:tr>
        <w:trPr>
          <w:trHeight w:val="149"/>
        </w:trPr>
        <w:tc>
          <w:tcPr>
            <w:tcW w:w="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State</w:t>
            </w: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Subsequent to</w:t>
            </w: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Land</w:t>
            </w:r>
          </w:p>
        </w:tc>
        <w:tc>
          <w:tcPr>
            <w:tcW w:w="1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220" w:type="dxa"/>
            <w:vAlign w:val="bottom"/>
            <w:vMerge w:val="restart"/>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92"/>
        </w:trPr>
        <w:tc>
          <w:tcPr>
            <w:tcW w:w="92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3"/>
              </w:rPr>
              <w:t>Encumbrances</w:t>
            </w:r>
          </w:p>
        </w:tc>
        <w:tc>
          <w:tcPr>
            <w:tcW w:w="44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Improvements</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Acquisition(2)</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Improvements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Depreciation</w:t>
            </w:r>
          </w:p>
        </w:tc>
        <w:tc>
          <w:tcPr>
            <w:tcW w:w="2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6"/>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ICA008</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6,857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8,378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1,643</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6,856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10,022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16,878</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2,976</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2002</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2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680" w:type="dxa"/>
            <w:vAlign w:val="bottom"/>
          </w:tcPr>
          <w:p>
            <w:pPr>
              <w:ind w:left="60"/>
              <w:spacing w:after="0"/>
              <w:rPr>
                <w:sz w:val="20"/>
                <w:szCs w:val="20"/>
                <w:color w:val="auto"/>
              </w:rPr>
            </w:pPr>
            <w:r>
              <w:rPr>
                <w:rFonts w:ascii="Arial" w:cs="Arial" w:eastAsia="Arial" w:hAnsi="Arial"/>
                <w:sz w:val="14"/>
                <w:szCs w:val="14"/>
                <w:color w:val="auto"/>
              </w:rPr>
              <w:t>ICA009</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4,095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8,323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1,411</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4,095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9,734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13,829</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3,256</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1999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ICA010</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5,051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6,170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2,013</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5,051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8,183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13,234</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2,135</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2002</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2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680" w:type="dxa"/>
            <w:vAlign w:val="bottom"/>
          </w:tcPr>
          <w:p>
            <w:pPr>
              <w:ind w:left="60"/>
              <w:spacing w:after="0"/>
              <w:rPr>
                <w:sz w:val="20"/>
                <w:szCs w:val="20"/>
                <w:color w:val="auto"/>
              </w:rPr>
            </w:pPr>
            <w:r>
              <w:rPr>
                <w:rFonts w:ascii="Arial" w:cs="Arial" w:eastAsia="Arial" w:hAnsi="Arial"/>
                <w:sz w:val="14"/>
                <w:szCs w:val="14"/>
                <w:color w:val="auto"/>
              </w:rPr>
              <w:t>ICA012</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3,044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3,716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3,002</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3,044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6,718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9,762</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1,928</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2002</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ICA013</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3,219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6,142</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1,150</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2002</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2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680" w:type="dxa"/>
            <w:vAlign w:val="bottom"/>
          </w:tcPr>
          <w:p>
            <w:pPr>
              <w:ind w:left="60"/>
              <w:spacing w:after="0"/>
              <w:rPr>
                <w:sz w:val="20"/>
                <w:szCs w:val="20"/>
                <w:color w:val="auto"/>
              </w:rPr>
            </w:pPr>
            <w:r>
              <w:rPr>
                <w:rFonts w:ascii="Arial" w:cs="Arial" w:eastAsia="Arial" w:hAnsi="Arial"/>
                <w:sz w:val="14"/>
                <w:szCs w:val="14"/>
                <w:color w:val="auto"/>
              </w:rPr>
              <w:t>ICA014</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4,600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5,627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2,497</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4,600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8,124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12,724</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2,212</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2002</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ICA015</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5,617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6,877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5,501</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5,619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12,376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17,995</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5,867</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2002</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2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680" w:type="dxa"/>
            <w:vAlign w:val="bottom"/>
          </w:tcPr>
          <w:p>
            <w:pPr>
              <w:ind w:left="60"/>
              <w:spacing w:after="0"/>
              <w:rPr>
                <w:sz w:val="20"/>
                <w:szCs w:val="20"/>
                <w:color w:val="auto"/>
              </w:rPr>
            </w:pPr>
            <w:r>
              <w:rPr>
                <w:rFonts w:ascii="Arial" w:cs="Arial" w:eastAsia="Arial" w:hAnsi="Arial"/>
                <w:sz w:val="14"/>
                <w:szCs w:val="14"/>
                <w:color w:val="auto"/>
              </w:rPr>
              <w:t>ICA016</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27,958</w:t>
            </w:r>
          </w:p>
        </w:tc>
        <w:tc>
          <w:tcPr>
            <w:tcW w:w="4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15,708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27,987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8,665</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15,708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36,652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52,360</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14,970</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ICA017</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8,306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588</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8,894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9,702</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3,014</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1999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20" w:type="dxa"/>
            <w:vAlign w:val="bottom"/>
          </w:tcPr>
          <w:p>
            <w:pPr>
              <w:ind w:left="40"/>
              <w:spacing w:after="0"/>
              <w:rPr>
                <w:sz w:val="20"/>
                <w:szCs w:val="20"/>
                <w:color w:val="auto"/>
              </w:rPr>
            </w:pPr>
            <w:r>
              <w:rPr>
                <w:rFonts w:ascii="Arial" w:cs="Arial" w:eastAsia="Arial" w:hAnsi="Arial"/>
                <w:sz w:val="14"/>
                <w:szCs w:val="14"/>
                <w:color w:val="auto"/>
              </w:rPr>
              <w:t>Colorado</w:t>
            </w:r>
          </w:p>
        </w:tc>
        <w:tc>
          <w:tcPr>
            <w:tcW w:w="680" w:type="dxa"/>
            <w:vAlign w:val="bottom"/>
          </w:tcPr>
          <w:p>
            <w:pPr>
              <w:ind w:left="60"/>
              <w:spacing w:after="0"/>
              <w:rPr>
                <w:sz w:val="20"/>
                <w:szCs w:val="20"/>
                <w:color w:val="auto"/>
              </w:rPr>
            </w:pPr>
            <w:r>
              <w:rPr>
                <w:rFonts w:ascii="Arial" w:cs="Arial" w:eastAsia="Arial" w:hAnsi="Arial"/>
                <w:sz w:val="14"/>
                <w:szCs w:val="14"/>
                <w:color w:val="auto"/>
              </w:rPr>
              <w:t>ICO001</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832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1,379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832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1,379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2,211</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254</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2006</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Florida</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IFL001</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709</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2006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20" w:type="dxa"/>
            <w:vAlign w:val="bottom"/>
          </w:tcPr>
          <w:p>
            <w:pPr>
              <w:ind w:left="40"/>
              <w:spacing w:after="0"/>
              <w:rPr>
                <w:sz w:val="20"/>
                <w:szCs w:val="20"/>
                <w:color w:val="auto"/>
              </w:rPr>
            </w:pPr>
            <w:r>
              <w:rPr>
                <w:rFonts w:ascii="Arial" w:cs="Arial" w:eastAsia="Arial" w:hAnsi="Arial"/>
                <w:sz w:val="14"/>
                <w:szCs w:val="14"/>
                <w:color w:val="auto"/>
              </w:rPr>
              <w:t>Florida</w:t>
            </w:r>
          </w:p>
        </w:tc>
        <w:tc>
          <w:tcPr>
            <w:tcW w:w="680" w:type="dxa"/>
            <w:vAlign w:val="bottom"/>
          </w:tcPr>
          <w:p>
            <w:pPr>
              <w:ind w:left="60"/>
              <w:spacing w:after="0"/>
              <w:rPr>
                <w:sz w:val="20"/>
                <w:szCs w:val="20"/>
                <w:color w:val="auto"/>
              </w:rPr>
            </w:pPr>
            <w:r>
              <w:rPr>
                <w:rFonts w:ascii="Arial" w:cs="Arial" w:eastAsia="Arial" w:hAnsi="Arial"/>
                <w:sz w:val="14"/>
                <w:szCs w:val="14"/>
                <w:color w:val="auto"/>
              </w:rPr>
              <w:t>IFL002</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15,620</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3,510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20,846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8,279</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3,510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29,125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32,635</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4,067</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2007</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Florida</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IFL004</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3,048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8,676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3,048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8,676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11,724</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3,073</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1999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20" w:type="dxa"/>
            <w:vAlign w:val="bottom"/>
          </w:tcPr>
          <w:p>
            <w:pPr>
              <w:ind w:left="40"/>
              <w:spacing w:after="0"/>
              <w:rPr>
                <w:sz w:val="20"/>
                <w:szCs w:val="20"/>
                <w:color w:val="auto"/>
              </w:rPr>
            </w:pPr>
            <w:r>
              <w:rPr>
                <w:rFonts w:ascii="Arial" w:cs="Arial" w:eastAsia="Arial" w:hAnsi="Arial"/>
                <w:sz w:val="14"/>
                <w:szCs w:val="14"/>
                <w:color w:val="auto"/>
              </w:rPr>
              <w:t>Florida</w:t>
            </w:r>
          </w:p>
        </w:tc>
        <w:tc>
          <w:tcPr>
            <w:tcW w:w="680" w:type="dxa"/>
            <w:vAlign w:val="bottom"/>
          </w:tcPr>
          <w:p>
            <w:pPr>
              <w:ind w:left="60"/>
              <w:spacing w:after="0"/>
              <w:rPr>
                <w:sz w:val="20"/>
                <w:szCs w:val="20"/>
                <w:color w:val="auto"/>
              </w:rPr>
            </w:pPr>
            <w:r>
              <w:rPr>
                <w:rFonts w:ascii="Arial" w:cs="Arial" w:eastAsia="Arial" w:hAnsi="Arial"/>
                <w:sz w:val="14"/>
                <w:szCs w:val="14"/>
                <w:color w:val="auto"/>
              </w:rPr>
              <w:t>IFL005</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4,586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(1,408)</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1,241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3,549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4,790</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677</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1999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Florida</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IFL006</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4,198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(4,497)</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1,177</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435</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1999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20" w:type="dxa"/>
            <w:vAlign w:val="bottom"/>
          </w:tcPr>
          <w:p>
            <w:pPr>
              <w:ind w:left="40"/>
              <w:spacing w:after="0"/>
              <w:rPr>
                <w:sz w:val="20"/>
                <w:szCs w:val="20"/>
                <w:color w:val="auto"/>
              </w:rPr>
            </w:pPr>
            <w:r>
              <w:rPr>
                <w:rFonts w:ascii="Arial" w:cs="Arial" w:eastAsia="Arial" w:hAnsi="Arial"/>
                <w:sz w:val="14"/>
                <w:szCs w:val="14"/>
                <w:color w:val="auto"/>
              </w:rPr>
              <w:t>Georgia</w:t>
            </w:r>
          </w:p>
        </w:tc>
        <w:tc>
          <w:tcPr>
            <w:tcW w:w="680" w:type="dxa"/>
            <w:vAlign w:val="bottom"/>
          </w:tcPr>
          <w:p>
            <w:pPr>
              <w:ind w:left="60"/>
              <w:spacing w:after="0"/>
              <w:rPr>
                <w:sz w:val="20"/>
                <w:szCs w:val="20"/>
                <w:color w:val="auto"/>
              </w:rPr>
            </w:pPr>
            <w:r>
              <w:rPr>
                <w:rFonts w:ascii="Arial" w:cs="Arial" w:eastAsia="Arial" w:hAnsi="Arial"/>
                <w:sz w:val="14"/>
                <w:szCs w:val="14"/>
                <w:color w:val="auto"/>
              </w:rPr>
              <w:t>IGA001</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13,596</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2,791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24,637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349</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2,791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24,986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27,777</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3,863</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2007</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Hawaii</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IHI001</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7,477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23,623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369</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7,477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23,992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31,469</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2,356</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2010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20" w:type="dxa"/>
            <w:vAlign w:val="bottom"/>
          </w:tcPr>
          <w:p>
            <w:pPr>
              <w:ind w:left="40"/>
              <w:spacing w:after="0"/>
              <w:rPr>
                <w:sz w:val="20"/>
                <w:szCs w:val="20"/>
                <w:color w:val="auto"/>
              </w:rPr>
            </w:pPr>
            <w:r>
              <w:rPr>
                <w:rFonts w:ascii="Arial" w:cs="Arial" w:eastAsia="Arial" w:hAnsi="Arial"/>
                <w:sz w:val="14"/>
                <w:szCs w:val="14"/>
                <w:color w:val="auto"/>
              </w:rPr>
              <w:t>Indiana</w:t>
            </w:r>
          </w:p>
        </w:tc>
        <w:tc>
          <w:tcPr>
            <w:tcW w:w="680" w:type="dxa"/>
            <w:vAlign w:val="bottom"/>
          </w:tcPr>
          <w:p>
            <w:pPr>
              <w:ind w:left="60"/>
              <w:spacing w:after="0"/>
              <w:rPr>
                <w:sz w:val="20"/>
                <w:szCs w:val="20"/>
                <w:color w:val="auto"/>
              </w:rPr>
            </w:pPr>
            <w:r>
              <w:rPr>
                <w:rFonts w:ascii="Arial" w:cs="Arial" w:eastAsia="Arial" w:hAnsi="Arial"/>
                <w:sz w:val="14"/>
                <w:szCs w:val="14"/>
                <w:color w:val="auto"/>
              </w:rPr>
              <w:t>IIN001</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462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9,224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462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9,224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9,686</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2,011</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2007</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2"/>
              </w:rPr>
              <w:t>Massachusetts</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IMA001</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18,706</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7,439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21,774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10,979</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7,439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32,753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40,192</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4,572</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2007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20" w:type="dxa"/>
            <w:vAlign w:val="bottom"/>
          </w:tcPr>
          <w:p>
            <w:pPr>
              <w:ind w:left="40"/>
              <w:spacing w:after="0"/>
              <w:rPr>
                <w:sz w:val="20"/>
                <w:szCs w:val="20"/>
                <w:color w:val="auto"/>
              </w:rPr>
            </w:pPr>
            <w:r>
              <w:rPr>
                <w:rFonts w:ascii="Arial" w:cs="Arial" w:eastAsia="Arial" w:hAnsi="Arial"/>
                <w:sz w:val="14"/>
                <w:szCs w:val="14"/>
                <w:color w:val="auto"/>
              </w:rPr>
              <w:t>Michigan</w:t>
            </w:r>
          </w:p>
        </w:tc>
        <w:tc>
          <w:tcPr>
            <w:tcW w:w="680" w:type="dxa"/>
            <w:vAlign w:val="bottom"/>
          </w:tcPr>
          <w:p>
            <w:pPr>
              <w:ind w:left="60"/>
              <w:spacing w:after="0"/>
              <w:rPr>
                <w:sz w:val="20"/>
                <w:szCs w:val="20"/>
                <w:color w:val="auto"/>
              </w:rPr>
            </w:pPr>
            <w:r>
              <w:rPr>
                <w:rFonts w:ascii="Arial" w:cs="Arial" w:eastAsia="Arial" w:hAnsi="Arial"/>
                <w:sz w:val="14"/>
                <w:szCs w:val="14"/>
                <w:color w:val="auto"/>
              </w:rPr>
              <w:t>IMI001</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598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9,814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598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9,815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10,413</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2,162</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2007</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Minnesota</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IMN001</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1,206</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1999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20" w:type="dxa"/>
            <w:vAlign w:val="bottom"/>
          </w:tcPr>
          <w:p>
            <w:pPr>
              <w:ind w:left="40"/>
              <w:spacing w:after="0"/>
              <w:rPr>
                <w:sz w:val="20"/>
                <w:szCs w:val="20"/>
                <w:color w:val="auto"/>
              </w:rPr>
            </w:pPr>
            <w:r>
              <w:rPr>
                <w:rFonts w:ascii="Arial" w:cs="Arial" w:eastAsia="Arial" w:hAnsi="Arial"/>
                <w:sz w:val="14"/>
                <w:szCs w:val="14"/>
                <w:color w:val="auto"/>
              </w:rPr>
              <w:t>Minnesota</w:t>
            </w:r>
          </w:p>
        </w:tc>
        <w:tc>
          <w:tcPr>
            <w:tcW w:w="680" w:type="dxa"/>
            <w:vAlign w:val="bottom"/>
          </w:tcPr>
          <w:p>
            <w:pPr>
              <w:ind w:left="60"/>
              <w:spacing w:after="0"/>
              <w:rPr>
                <w:sz w:val="20"/>
                <w:szCs w:val="20"/>
                <w:color w:val="auto"/>
              </w:rPr>
            </w:pPr>
            <w:r>
              <w:rPr>
                <w:rFonts w:ascii="Arial" w:cs="Arial" w:eastAsia="Arial" w:hAnsi="Arial"/>
                <w:sz w:val="14"/>
                <w:szCs w:val="14"/>
                <w:color w:val="auto"/>
              </w:rPr>
              <w:t>IMN002</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6,705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17,690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6,225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18,170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24,395</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4,047</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2005</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163"/>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w:t>
            </w:r>
          </w:p>
        </w:tc>
        <w:tc>
          <w:tcPr>
            <w:tcW w:w="6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Carolina</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INC001</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5,947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5,947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6,627</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1,390</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20" w:type="dxa"/>
            <w:vAlign w:val="bottom"/>
          </w:tcPr>
          <w:p>
            <w:pPr>
              <w:ind w:left="40"/>
              <w:spacing w:after="0"/>
              <w:rPr>
                <w:sz w:val="20"/>
                <w:szCs w:val="20"/>
                <w:color w:val="auto"/>
              </w:rPr>
            </w:pPr>
            <w:r>
              <w:rPr>
                <w:rFonts w:ascii="Arial" w:cs="Arial" w:eastAsia="Arial" w:hAnsi="Arial"/>
                <w:sz w:val="14"/>
                <w:szCs w:val="14"/>
                <w:color w:val="auto"/>
              </w:rPr>
              <w:t>New Jersey</w:t>
            </w:r>
          </w:p>
        </w:tc>
        <w:tc>
          <w:tcPr>
            <w:tcW w:w="680" w:type="dxa"/>
            <w:vAlign w:val="bottom"/>
          </w:tcPr>
          <w:p>
            <w:pPr>
              <w:ind w:left="60"/>
              <w:spacing w:after="0"/>
              <w:rPr>
                <w:sz w:val="20"/>
                <w:szCs w:val="20"/>
                <w:color w:val="auto"/>
              </w:rPr>
            </w:pPr>
            <w:r>
              <w:rPr>
                <w:rFonts w:ascii="Arial" w:cs="Arial" w:eastAsia="Arial" w:hAnsi="Arial"/>
                <w:sz w:val="14"/>
                <w:szCs w:val="14"/>
                <w:color w:val="auto"/>
              </w:rPr>
              <w:t>INJ001</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21,695</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8,368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15,376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21,141</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8,368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36,517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44,885</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5,172</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2007</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York</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INY001</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5,108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5,112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6,908</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1,811</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1999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20" w:type="dxa"/>
            <w:vAlign w:val="bottom"/>
          </w:tcPr>
          <w:p>
            <w:pPr>
              <w:ind w:left="40"/>
              <w:spacing w:after="0"/>
              <w:rPr>
                <w:sz w:val="20"/>
                <w:szCs w:val="20"/>
                <w:color w:val="auto"/>
              </w:rPr>
            </w:pPr>
            <w:r>
              <w:rPr>
                <w:rFonts w:ascii="Arial" w:cs="Arial" w:eastAsia="Arial" w:hAnsi="Arial"/>
                <w:sz w:val="14"/>
                <w:szCs w:val="14"/>
                <w:color w:val="auto"/>
              </w:rPr>
              <w:t>Texas</w:t>
            </w:r>
          </w:p>
        </w:tc>
        <w:tc>
          <w:tcPr>
            <w:tcW w:w="680" w:type="dxa"/>
            <w:vAlign w:val="bottom"/>
          </w:tcPr>
          <w:p>
            <w:pPr>
              <w:ind w:left="60"/>
              <w:spacing w:after="0"/>
              <w:rPr>
                <w:sz w:val="20"/>
                <w:szCs w:val="20"/>
                <w:color w:val="auto"/>
              </w:rPr>
            </w:pPr>
            <w:r>
              <w:rPr>
                <w:rFonts w:ascii="Arial" w:cs="Arial" w:eastAsia="Arial" w:hAnsi="Arial"/>
                <w:sz w:val="14"/>
                <w:szCs w:val="14"/>
                <w:color w:val="auto"/>
              </w:rPr>
              <w:t>ITX002</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594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716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594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1,310</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132</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2006</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Texas</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ITX003</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3,617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3,432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3,617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3,432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7,049</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633</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2006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20" w:type="dxa"/>
            <w:vAlign w:val="bottom"/>
          </w:tcPr>
          <w:p>
            <w:pPr>
              <w:ind w:left="40"/>
              <w:spacing w:after="0"/>
              <w:rPr>
                <w:sz w:val="20"/>
                <w:szCs w:val="20"/>
                <w:color w:val="auto"/>
              </w:rPr>
            </w:pPr>
            <w:r>
              <w:rPr>
                <w:rFonts w:ascii="Arial" w:cs="Arial" w:eastAsia="Arial" w:hAnsi="Arial"/>
                <w:sz w:val="14"/>
                <w:szCs w:val="14"/>
                <w:color w:val="auto"/>
              </w:rPr>
              <w:t>Texas</w:t>
            </w:r>
          </w:p>
        </w:tc>
        <w:tc>
          <w:tcPr>
            <w:tcW w:w="680" w:type="dxa"/>
            <w:vAlign w:val="bottom"/>
          </w:tcPr>
          <w:p>
            <w:pPr>
              <w:ind w:left="60"/>
              <w:spacing w:after="0"/>
              <w:rPr>
                <w:sz w:val="20"/>
                <w:szCs w:val="20"/>
                <w:color w:val="auto"/>
              </w:rPr>
            </w:pPr>
            <w:r>
              <w:rPr>
                <w:rFonts w:ascii="Arial" w:cs="Arial" w:eastAsia="Arial" w:hAnsi="Arial"/>
                <w:sz w:val="14"/>
                <w:szCs w:val="14"/>
                <w:color w:val="auto"/>
              </w:rPr>
              <w:t>ITX004</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13,499</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1,631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27,858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1,631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27,442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29,073</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4,186</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2007</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Texas</w:t>
            </w: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ITX005</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8,903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8,949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10,263</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3,165</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1999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Virginia</w:t>
            </w:r>
          </w:p>
        </w:tc>
        <w:tc>
          <w:tcPr>
            <w:tcW w:w="68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IVA001</w:t>
            </w: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14,560</w:t>
            </w:r>
          </w:p>
        </w:tc>
        <w:tc>
          <w:tcPr>
            <w:tcW w:w="440" w:type="dxa"/>
            <w:vAlign w:val="bottom"/>
            <w:tcBorders>
              <w:bottom w:val="single" w:sz="8" w:color="CCEEFF"/>
            </w:tcBorders>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28,481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142</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2,619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28,623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31,242</w:t>
            </w:r>
          </w:p>
        </w:tc>
        <w:tc>
          <w:tcPr>
            <w:tcW w:w="2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4,424</w:t>
            </w:r>
          </w:p>
        </w:tc>
        <w:tc>
          <w:tcPr>
            <w:tcW w:w="900" w:type="dxa"/>
            <w:vAlign w:val="bottom"/>
            <w:tcBorders>
              <w:bottom w:val="single" w:sz="8" w:color="CCEEFF"/>
            </w:tcBorders>
            <w:gridSpan w:val="2"/>
          </w:tcPr>
          <w:p>
            <w:pPr>
              <w:jc w:val="center"/>
              <w:ind w:left="148"/>
              <w:spacing w:after="0"/>
              <w:rPr>
                <w:sz w:val="20"/>
                <w:szCs w:val="20"/>
                <w:color w:val="auto"/>
              </w:rPr>
            </w:pPr>
            <w:r>
              <w:rPr>
                <w:rFonts w:ascii="Arial" w:cs="Arial" w:eastAsia="Arial" w:hAnsi="Arial"/>
                <w:sz w:val="14"/>
                <w:szCs w:val="14"/>
                <w:color w:val="auto"/>
                <w:w w:val="89"/>
              </w:rPr>
              <w:t>2007</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56"/>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Subtotal</w:t>
            </w:r>
          </w:p>
        </w:tc>
        <w:tc>
          <w:tcPr>
            <w:tcW w:w="6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  143,665</w:t>
            </w:r>
          </w:p>
        </w:tc>
        <w:tc>
          <w:tcPr>
            <w:tcW w:w="4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9"/>
              </w:rPr>
              <w:t>$  129,760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379,480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77,022</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9"/>
              </w:rPr>
              <w:t>$  128,687</w:t>
            </w:r>
          </w:p>
        </w:tc>
        <w:tc>
          <w:tcPr>
            <w:tcW w:w="3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457,575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0"/>
              </w:rPr>
              <w:t>586,262</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   103,372</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920" w:type="dxa"/>
            <w:vAlign w:val="bottom"/>
          </w:tcPr>
          <w:p>
            <w:pPr>
              <w:ind w:left="40"/>
              <w:spacing w:after="0"/>
              <w:rPr>
                <w:sz w:val="20"/>
                <w:szCs w:val="20"/>
                <w:color w:val="auto"/>
              </w:rPr>
            </w:pPr>
            <w:r>
              <w:rPr>
                <w:rFonts w:ascii="Arial" w:cs="Arial" w:eastAsia="Arial" w:hAnsi="Arial"/>
                <w:sz w:val="14"/>
                <w:szCs w:val="14"/>
                <w:b w:val="1"/>
                <w:bCs w:val="1"/>
                <w:color w:val="auto"/>
              </w:rPr>
              <w:t>LAND:</w:t>
            </w:r>
          </w:p>
        </w:tc>
        <w:tc>
          <w:tcPr>
            <w:tcW w:w="68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Arizona</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LAZ002</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13,170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5,144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13,170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5,208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18,378</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343</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2011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64"/>
        </w:trPr>
        <w:tc>
          <w:tcPr>
            <w:tcW w:w="920" w:type="dxa"/>
            <w:vAlign w:val="bottom"/>
          </w:tcPr>
          <w:p>
            <w:pPr>
              <w:ind w:left="40"/>
              <w:spacing w:after="0"/>
              <w:rPr>
                <w:sz w:val="20"/>
                <w:szCs w:val="20"/>
                <w:color w:val="auto"/>
              </w:rPr>
            </w:pPr>
            <w:r>
              <w:rPr>
                <w:rFonts w:ascii="Arial" w:cs="Arial" w:eastAsia="Arial" w:hAnsi="Arial"/>
                <w:sz w:val="14"/>
                <w:szCs w:val="14"/>
                <w:color w:val="auto"/>
              </w:rPr>
              <w:t>Arizona</w:t>
            </w:r>
          </w:p>
        </w:tc>
        <w:tc>
          <w:tcPr>
            <w:tcW w:w="680" w:type="dxa"/>
            <w:vAlign w:val="bottom"/>
          </w:tcPr>
          <w:p>
            <w:pPr>
              <w:ind w:left="20"/>
              <w:spacing w:after="0"/>
              <w:rPr>
                <w:sz w:val="20"/>
                <w:szCs w:val="20"/>
                <w:color w:val="auto"/>
              </w:rPr>
            </w:pPr>
            <w:r>
              <w:rPr>
                <w:rFonts w:ascii="Arial" w:cs="Arial" w:eastAsia="Arial" w:hAnsi="Arial"/>
                <w:sz w:val="14"/>
                <w:szCs w:val="14"/>
                <w:color w:val="auto"/>
              </w:rPr>
              <w:t>LAZ001</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96,700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96,700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96,700</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2010</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6"/>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LCA002</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28,464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2,836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28,464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2,836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31,300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1,841</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2010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256"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2013</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jc w:val="center"/>
              <w:ind w:left="548"/>
              <w:spacing w:after="0"/>
              <w:rPr>
                <w:sz w:val="20"/>
                <w:szCs w:val="20"/>
                <w:color w:val="auto"/>
              </w:rPr>
            </w:pPr>
            <w:r>
              <w:rPr>
                <w:rFonts w:ascii="Arial" w:cs="Arial" w:eastAsia="Arial" w:hAnsi="Arial"/>
                <w:sz w:val="14"/>
                <w:szCs w:val="14"/>
                <w:b w:val="1"/>
                <w:bCs w:val="1"/>
                <w:color w:val="auto"/>
                <w:w w:val="94"/>
              </w:rPr>
              <w:t>Gross Amount Carried</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8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Initial Cost to Company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7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at Close of Period</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Building and</w:t>
            </w: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7"/>
              </w:rPr>
              <w:t>Capitalized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Building and</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1"/>
                <w:szCs w:val="11"/>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Depreciable</w:t>
            </w:r>
          </w:p>
        </w:tc>
        <w:tc>
          <w:tcPr>
            <w:tcW w:w="0" w:type="dxa"/>
            <w:vAlign w:val="bottom"/>
          </w:tcPr>
          <w:p>
            <w:pPr>
              <w:spacing w:after="0"/>
              <w:rPr>
                <w:sz w:val="1"/>
                <w:szCs w:val="1"/>
                <w:color w:val="auto"/>
              </w:rPr>
            </w:pPr>
          </w:p>
        </w:tc>
      </w:tr>
      <w:tr>
        <w:trPr>
          <w:trHeight w:val="149"/>
        </w:trPr>
        <w:tc>
          <w:tcPr>
            <w:tcW w:w="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State</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Land</w:t>
            </w:r>
          </w:p>
        </w:tc>
        <w:tc>
          <w:tcPr>
            <w:tcW w:w="120" w:type="dxa"/>
            <w:vAlign w:val="bottom"/>
            <w:vMerge w:val="restart"/>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Subsequent to</w:t>
            </w: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Land</w:t>
            </w:r>
          </w:p>
        </w:tc>
        <w:tc>
          <w:tcPr>
            <w:tcW w:w="1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220" w:type="dxa"/>
            <w:vAlign w:val="bottom"/>
            <w:vMerge w:val="restart"/>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92"/>
        </w:trPr>
        <w:tc>
          <w:tcPr>
            <w:tcW w:w="820" w:type="dxa"/>
            <w:vAlign w:val="bottom"/>
            <w:tcBorders>
              <w:bottom w:val="single" w:sz="8" w:color="auto"/>
            </w:tcBorders>
            <w:vMerge w:val="continue"/>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w w:val="93"/>
              </w:rPr>
              <w:t>Encumbrances</w:t>
            </w:r>
          </w:p>
        </w:tc>
        <w:tc>
          <w:tcPr>
            <w:tcW w:w="46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Improvements</w:t>
            </w:r>
          </w:p>
        </w:tc>
        <w:tc>
          <w:tcPr>
            <w:tcW w:w="100" w:type="dxa"/>
            <w:vAlign w:val="bottom"/>
          </w:tcPr>
          <w:p>
            <w:pPr>
              <w:spacing w:after="0"/>
              <w:rPr>
                <w:sz w:val="16"/>
                <w:szCs w:val="16"/>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Acquisition(2)</w:t>
            </w:r>
          </w:p>
        </w:tc>
        <w:tc>
          <w:tcPr>
            <w:tcW w:w="10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Improvements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Depreciation</w:t>
            </w:r>
          </w:p>
        </w:tc>
        <w:tc>
          <w:tcPr>
            <w:tcW w:w="22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LCA008</w:t>
            </w:r>
          </w:p>
        </w:tc>
        <w:tc>
          <w:tcPr>
            <w:tcW w:w="500" w:type="dxa"/>
            <w:vAlign w:val="bottom"/>
          </w:tcPr>
          <w:p>
            <w:pPr>
              <w:ind w:lef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30,500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30,500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30,500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2011</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LCA003</w:t>
            </w:r>
          </w:p>
        </w:tc>
        <w:tc>
          <w:tcPr>
            <w:tcW w:w="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87,300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(15,643)</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71,657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71,657</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2009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LCA004</w:t>
            </w:r>
          </w:p>
        </w:tc>
        <w:tc>
          <w:tcPr>
            <w:tcW w:w="500" w:type="dxa"/>
            <w:vAlign w:val="bottom"/>
          </w:tcPr>
          <w:p>
            <w:pPr>
              <w:ind w:lef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68,155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(21,405)</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46,750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46,750</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2000</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LCA005</w:t>
            </w:r>
          </w:p>
        </w:tc>
        <w:tc>
          <w:tcPr>
            <w:tcW w:w="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84,100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84,102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84,102</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2010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LCA006</w:t>
            </w:r>
          </w:p>
        </w:tc>
        <w:tc>
          <w:tcPr>
            <w:tcW w:w="500" w:type="dxa"/>
            <w:vAlign w:val="bottom"/>
          </w:tcPr>
          <w:p>
            <w:pPr>
              <w:ind w:lef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59,100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59,100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59,100</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2010</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Florida</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LFA001</w:t>
            </w:r>
          </w:p>
        </w:tc>
        <w:tc>
          <w:tcPr>
            <w:tcW w:w="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7,600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7,600</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2009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Florida</w:t>
            </w: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LFA002</w:t>
            </w:r>
          </w:p>
        </w:tc>
        <w:tc>
          <w:tcPr>
            <w:tcW w:w="500" w:type="dxa"/>
            <w:vAlign w:val="bottom"/>
          </w:tcPr>
          <w:p>
            <w:pPr>
              <w:ind w:lef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8,100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8,100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8,100</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Florida</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LFA006</w:t>
            </w:r>
          </w:p>
        </w:tc>
        <w:tc>
          <w:tcPr>
            <w:tcW w:w="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9,300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9,300</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2012</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Florida</w:t>
            </w: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LFA003</w:t>
            </w:r>
          </w:p>
        </w:tc>
        <w:tc>
          <w:tcPr>
            <w:tcW w:w="500" w:type="dxa"/>
            <w:vAlign w:val="bottom"/>
          </w:tcPr>
          <w:p>
            <w:pPr>
              <w:ind w:lef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26,600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4,413</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26,600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4,413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31,013</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2010</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Florida</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LFA004</w:t>
            </w:r>
          </w:p>
        </w:tc>
        <w:tc>
          <w:tcPr>
            <w:tcW w:w="5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10,440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10,440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10,440</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2013</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Florida</w:t>
            </w: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LFA005</w:t>
            </w:r>
          </w:p>
        </w:tc>
        <w:tc>
          <w:tcPr>
            <w:tcW w:w="500" w:type="dxa"/>
            <w:vAlign w:val="bottom"/>
          </w:tcPr>
          <w:p>
            <w:pPr>
              <w:ind w:lef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9,300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9,300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9,300</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2010</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Georgia</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LGA001</w:t>
            </w:r>
          </w:p>
        </w:tc>
        <w:tc>
          <w:tcPr>
            <w:tcW w:w="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3,800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3,800</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2013</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Georgia</w:t>
            </w: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LGA002</w:t>
            </w:r>
          </w:p>
        </w:tc>
        <w:tc>
          <w:tcPr>
            <w:tcW w:w="500" w:type="dxa"/>
            <w:vAlign w:val="bottom"/>
          </w:tcPr>
          <w:p>
            <w:pPr>
              <w:ind w:left="22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1,400</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2013</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Illinois</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LIL001</w:t>
            </w:r>
          </w:p>
        </w:tc>
        <w:tc>
          <w:tcPr>
            <w:tcW w:w="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9,500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9,500</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2011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Maryland</w:t>
            </w: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LMD001</w:t>
            </w:r>
          </w:p>
        </w:tc>
        <w:tc>
          <w:tcPr>
            <w:tcW w:w="500" w:type="dxa"/>
            <w:vAlign w:val="bottom"/>
          </w:tcPr>
          <w:p>
            <w:pPr>
              <w:ind w:lef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102,938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102,938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w w:val="90"/>
              </w:rPr>
              <w:t>102,938</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LMD002</w:t>
            </w:r>
          </w:p>
        </w:tc>
        <w:tc>
          <w:tcPr>
            <w:tcW w:w="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2,486</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1999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70.0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New Jersey</w:t>
            </w: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LNJ001</w:t>
            </w:r>
          </w:p>
        </w:tc>
        <w:tc>
          <w:tcPr>
            <w:tcW w:w="500" w:type="dxa"/>
            <w:vAlign w:val="bottom"/>
          </w:tcPr>
          <w:p>
            <w:pPr>
              <w:ind w:lef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43,300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35,065</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78,365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78,365</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51</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York</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LNY002</w:t>
            </w:r>
          </w:p>
        </w:tc>
        <w:tc>
          <w:tcPr>
            <w:tcW w:w="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58,900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58,900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58,952</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2011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New York</w:t>
            </w: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LNY003</w:t>
            </w:r>
          </w:p>
        </w:tc>
        <w:tc>
          <w:tcPr>
            <w:tcW w:w="500" w:type="dxa"/>
            <w:vAlign w:val="bottom"/>
          </w:tcPr>
          <w:p>
            <w:pPr>
              <w:ind w:lef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3,277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3,277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3,277</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2013</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York</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LNY001</w:t>
            </w:r>
          </w:p>
        </w:tc>
        <w:tc>
          <w:tcPr>
            <w:tcW w:w="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52,461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52,461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52,461</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2009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Oregon</w:t>
            </w: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LOR001</w:t>
            </w:r>
          </w:p>
        </w:tc>
        <w:tc>
          <w:tcPr>
            <w:tcW w:w="500" w:type="dxa"/>
            <w:vAlign w:val="bottom"/>
          </w:tcPr>
          <w:p>
            <w:pPr>
              <w:ind w:lef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3,674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3,674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3,842</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2012</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Oregon</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LOR002</w:t>
            </w:r>
          </w:p>
        </w:tc>
        <w:tc>
          <w:tcPr>
            <w:tcW w:w="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20,326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(4,639)</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15,687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15,687</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2012</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Texas</w:t>
            </w: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LTX001</w:t>
            </w:r>
          </w:p>
        </w:tc>
        <w:tc>
          <w:tcPr>
            <w:tcW w:w="500" w:type="dxa"/>
            <w:vAlign w:val="bottom"/>
          </w:tcPr>
          <w:p>
            <w:pPr>
              <w:ind w:left="22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3,375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3,375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3,375</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2005</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Texas</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LTX002</w:t>
            </w:r>
          </w:p>
        </w:tc>
        <w:tc>
          <w:tcPr>
            <w:tcW w:w="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3,621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3,621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3,621</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2005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Virginia</w:t>
            </w: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LVA001</w:t>
            </w:r>
          </w:p>
        </w:tc>
        <w:tc>
          <w:tcPr>
            <w:tcW w:w="500" w:type="dxa"/>
            <w:vAlign w:val="bottom"/>
          </w:tcPr>
          <w:p>
            <w:pPr>
              <w:ind w:lef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60,814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12,243</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73,057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73,057</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1,158</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0"/>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LVA001</w:t>
            </w:r>
          </w:p>
        </w:tc>
        <w:tc>
          <w:tcPr>
            <w:tcW w:w="34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11,324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(4,217)</w:t>
            </w:r>
          </w:p>
        </w:tc>
        <w:tc>
          <w:tcPr>
            <w:tcW w:w="10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7,107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7,107</w:t>
            </w:r>
          </w:p>
        </w:tc>
        <w:tc>
          <w:tcPr>
            <w:tcW w:w="2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2009</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50"/>
        </w:trPr>
        <w:tc>
          <w:tcPr>
            <w:tcW w:w="8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Subtotal</w:t>
            </w:r>
          </w:p>
        </w:tc>
        <w:tc>
          <w:tcPr>
            <w:tcW w:w="6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  920,025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7,980</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6,103</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  921,431</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12,677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0"/>
              </w:rPr>
              <w:t>934,108</w:t>
            </w:r>
          </w:p>
        </w:tc>
        <w:tc>
          <w:tcPr>
            <w:tcW w:w="2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3,683</w:t>
            </w:r>
          </w:p>
        </w:tc>
        <w:tc>
          <w:tcPr>
            <w:tcW w:w="22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8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ENTERTAINMENT:</w:t>
            </w:r>
          </w:p>
        </w:tc>
        <w:tc>
          <w:tcPr>
            <w:tcW w:w="5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Alabama</w:t>
            </w: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EAL001</w:t>
            </w:r>
          </w:p>
        </w:tc>
        <w:tc>
          <w:tcPr>
            <w:tcW w:w="500" w:type="dxa"/>
            <w:vAlign w:val="bottom"/>
          </w:tcPr>
          <w:p>
            <w:pPr>
              <w:ind w:left="22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359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633</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88</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Alabama</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EAL002</w:t>
            </w:r>
          </w:p>
        </w:tc>
        <w:tc>
          <w:tcPr>
            <w:tcW w:w="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733</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Arizona</w:t>
            </w: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EAZ001</w:t>
            </w:r>
          </w:p>
        </w:tc>
        <w:tc>
          <w:tcPr>
            <w:tcW w:w="500" w:type="dxa"/>
            <w:vAlign w:val="bottom"/>
          </w:tcPr>
          <w:p>
            <w:pPr>
              <w:ind w:left="22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793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1,027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793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1,027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1,820</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253</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Arizona</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EAZ002</w:t>
            </w:r>
          </w:p>
        </w:tc>
        <w:tc>
          <w:tcPr>
            <w:tcW w:w="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1,190</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Arizona</w:t>
            </w: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EAZ003</w:t>
            </w:r>
          </w:p>
        </w:tc>
        <w:tc>
          <w:tcPr>
            <w:tcW w:w="500" w:type="dxa"/>
            <w:vAlign w:val="bottom"/>
          </w:tcPr>
          <w:p>
            <w:pPr>
              <w:ind w:left="22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391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696</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97</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Arizona</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EAZ004</w:t>
            </w:r>
          </w:p>
        </w:tc>
        <w:tc>
          <w:tcPr>
            <w:tcW w:w="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1,445</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58"/>
        </w:trPr>
        <w:tc>
          <w:tcPr>
            <w:tcW w:w="820" w:type="dxa"/>
            <w:vAlign w:val="bottom"/>
          </w:tcPr>
          <w:p>
            <w:pPr>
              <w:ind w:left="40"/>
              <w:spacing w:after="0"/>
              <w:rPr>
                <w:sz w:val="20"/>
                <w:szCs w:val="20"/>
                <w:color w:val="auto"/>
              </w:rPr>
            </w:pPr>
            <w:r>
              <w:rPr>
                <w:rFonts w:ascii="Arial" w:cs="Arial" w:eastAsia="Arial" w:hAnsi="Arial"/>
                <w:sz w:val="14"/>
                <w:szCs w:val="14"/>
                <w:color w:val="auto"/>
              </w:rPr>
              <w:t>Arizona</w:t>
            </w: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EAZ005</w:t>
            </w:r>
          </w:p>
        </w:tc>
        <w:tc>
          <w:tcPr>
            <w:tcW w:w="500" w:type="dxa"/>
            <w:vAlign w:val="bottom"/>
          </w:tcPr>
          <w:p>
            <w:pPr>
              <w:ind w:left="22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590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764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590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764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1,354</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188</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256"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2013</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center"/>
              <w:ind w:left="548"/>
              <w:spacing w:after="0"/>
              <w:rPr>
                <w:sz w:val="20"/>
                <w:szCs w:val="20"/>
                <w:color w:val="auto"/>
              </w:rPr>
            </w:pPr>
            <w:r>
              <w:rPr>
                <w:rFonts w:ascii="Arial" w:cs="Arial" w:eastAsia="Arial" w:hAnsi="Arial"/>
                <w:sz w:val="14"/>
                <w:szCs w:val="14"/>
                <w:b w:val="1"/>
                <w:bCs w:val="1"/>
                <w:color w:val="auto"/>
                <w:w w:val="94"/>
              </w:rPr>
              <w:t>Gross Amount Carried</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Initial Cost to Company</w:t>
            </w: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Cost</w:t>
            </w:r>
          </w:p>
        </w:tc>
        <w:tc>
          <w:tcPr>
            <w:tcW w:w="7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2"/>
              </w:rPr>
              <w:t>at Close of Period</w:t>
            </w:r>
          </w:p>
        </w:tc>
        <w:tc>
          <w:tcPr>
            <w:tcW w:w="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Building and</w:t>
            </w: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7"/>
              </w:rPr>
              <w:t>Capitalized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4"/>
              </w:rPr>
              <w:t>Building and</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Depreciable</w:t>
            </w:r>
          </w:p>
        </w:tc>
        <w:tc>
          <w:tcPr>
            <w:tcW w:w="0" w:type="dxa"/>
            <w:vAlign w:val="bottom"/>
          </w:tcPr>
          <w:p>
            <w:pPr>
              <w:spacing w:after="0"/>
              <w:rPr>
                <w:sz w:val="1"/>
                <w:szCs w:val="1"/>
                <w:color w:val="auto"/>
              </w:rPr>
            </w:pPr>
          </w:p>
        </w:tc>
      </w:tr>
      <w:tr>
        <w:trPr>
          <w:trHeight w:val="149"/>
        </w:trPr>
        <w:tc>
          <w:tcPr>
            <w:tcW w:w="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State</w:t>
            </w: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Land</w:t>
            </w:r>
          </w:p>
        </w:tc>
        <w:tc>
          <w:tcPr>
            <w:tcW w:w="120" w:type="dxa"/>
            <w:vAlign w:val="bottom"/>
            <w:vMerge w:val="restart"/>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Subsequent to</w:t>
            </w: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Land</w:t>
            </w: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6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220" w:type="dxa"/>
            <w:vAlign w:val="bottom"/>
            <w:vMerge w:val="restart"/>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92"/>
        </w:trPr>
        <w:tc>
          <w:tcPr>
            <w:tcW w:w="82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w w:val="93"/>
              </w:rPr>
              <w:t>Encumbrances</w:t>
            </w:r>
          </w:p>
        </w:tc>
        <w:tc>
          <w:tcPr>
            <w:tcW w:w="4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Improvements</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Acquisition(2)</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Improvements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Depreciation</w:t>
            </w:r>
          </w:p>
        </w:tc>
        <w:tc>
          <w:tcPr>
            <w:tcW w:w="2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Arizona</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EAZ006</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476</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476</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612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1,088</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Arizona</w:t>
            </w:r>
          </w:p>
        </w:tc>
        <w:tc>
          <w:tcPr>
            <w:tcW w:w="680" w:type="dxa"/>
            <w:vAlign w:val="bottom"/>
          </w:tcPr>
          <w:p>
            <w:pPr>
              <w:ind w:left="20"/>
              <w:spacing w:after="0"/>
              <w:rPr>
                <w:sz w:val="20"/>
                <w:szCs w:val="20"/>
                <w:color w:val="auto"/>
              </w:rPr>
            </w:pPr>
            <w:r>
              <w:rPr>
                <w:rFonts w:ascii="Arial" w:cs="Arial" w:eastAsia="Arial" w:hAnsi="Arial"/>
                <w:sz w:val="14"/>
                <w:szCs w:val="14"/>
                <w:color w:val="auto"/>
              </w:rPr>
              <w:t>EAZ007</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654</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845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654</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839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1,493</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208</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Arizona</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EAZ008</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666</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666</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856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1,522</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Arizona</w:t>
            </w:r>
          </w:p>
        </w:tc>
        <w:tc>
          <w:tcPr>
            <w:tcW w:w="680" w:type="dxa"/>
            <w:vAlign w:val="bottom"/>
          </w:tcPr>
          <w:p>
            <w:pPr>
              <w:ind w:left="20"/>
              <w:spacing w:after="0"/>
              <w:rPr>
                <w:sz w:val="20"/>
                <w:szCs w:val="20"/>
                <w:color w:val="auto"/>
              </w:rPr>
            </w:pPr>
            <w:r>
              <w:rPr>
                <w:rFonts w:ascii="Arial" w:cs="Arial" w:eastAsia="Arial" w:hAnsi="Arial"/>
                <w:sz w:val="14"/>
                <w:szCs w:val="14"/>
                <w:color w:val="auto"/>
              </w:rPr>
              <w:t>EAZ009</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460</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596</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460</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596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1,056</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147</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ECA001</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1,097</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1,421</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1,097</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1,421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2,518</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349</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680" w:type="dxa"/>
            <w:vAlign w:val="bottom"/>
          </w:tcPr>
          <w:p>
            <w:pPr>
              <w:ind w:left="20"/>
              <w:spacing w:after="0"/>
              <w:rPr>
                <w:sz w:val="20"/>
                <w:szCs w:val="20"/>
                <w:color w:val="auto"/>
              </w:rPr>
            </w:pPr>
            <w:r>
              <w:rPr>
                <w:rFonts w:ascii="Arial" w:cs="Arial" w:eastAsia="Arial" w:hAnsi="Arial"/>
                <w:sz w:val="14"/>
                <w:szCs w:val="14"/>
                <w:color w:val="auto"/>
              </w:rPr>
              <w:t>ECA002</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434</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560</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434</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561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995</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138</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ECA003</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332</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429</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332</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429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761</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680" w:type="dxa"/>
            <w:vAlign w:val="bottom"/>
          </w:tcPr>
          <w:p>
            <w:pPr>
              <w:ind w:left="20"/>
              <w:spacing w:after="0"/>
              <w:rPr>
                <w:sz w:val="20"/>
                <w:szCs w:val="20"/>
                <w:color w:val="auto"/>
              </w:rPr>
            </w:pPr>
            <w:r>
              <w:rPr>
                <w:rFonts w:ascii="Arial" w:cs="Arial" w:eastAsia="Arial" w:hAnsi="Arial"/>
                <w:sz w:val="14"/>
                <w:szCs w:val="14"/>
                <w:color w:val="auto"/>
              </w:rPr>
              <w:t>ECA004</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1,642</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2,124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1,642</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2,108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3,750</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523</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ECA005</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676</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876</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676</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876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1,552</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680" w:type="dxa"/>
            <w:vAlign w:val="bottom"/>
          </w:tcPr>
          <w:p>
            <w:pPr>
              <w:ind w:left="20"/>
              <w:spacing w:after="0"/>
              <w:rPr>
                <w:sz w:val="20"/>
                <w:szCs w:val="20"/>
                <w:color w:val="auto"/>
              </w:rPr>
            </w:pPr>
            <w:r>
              <w:rPr>
                <w:rFonts w:ascii="Arial" w:cs="Arial" w:eastAsia="Arial" w:hAnsi="Arial"/>
                <w:sz w:val="14"/>
                <w:szCs w:val="14"/>
                <w:color w:val="auto"/>
              </w:rPr>
              <w:t>ECA006</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720</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932</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720</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932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1,652</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229</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ECA007</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574</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574</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738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1,312</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680" w:type="dxa"/>
            <w:vAlign w:val="bottom"/>
          </w:tcPr>
          <w:p>
            <w:pPr>
              <w:ind w:left="20"/>
              <w:spacing w:after="0"/>
              <w:rPr>
                <w:sz w:val="20"/>
                <w:szCs w:val="20"/>
                <w:color w:val="auto"/>
              </w:rPr>
            </w:pPr>
            <w:r>
              <w:rPr>
                <w:rFonts w:ascii="Arial" w:cs="Arial" w:eastAsia="Arial" w:hAnsi="Arial"/>
                <w:sz w:val="14"/>
                <w:szCs w:val="14"/>
                <w:color w:val="auto"/>
              </w:rPr>
              <w:t>ECA008</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392</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508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392</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504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896</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125</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ECA009</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358</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358</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461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819</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680" w:type="dxa"/>
            <w:vAlign w:val="bottom"/>
          </w:tcPr>
          <w:p>
            <w:pPr>
              <w:ind w:left="20"/>
              <w:spacing w:after="0"/>
              <w:rPr>
                <w:sz w:val="20"/>
                <w:szCs w:val="20"/>
                <w:color w:val="auto"/>
              </w:rPr>
            </w:pPr>
            <w:r>
              <w:rPr>
                <w:rFonts w:ascii="Arial" w:cs="Arial" w:eastAsia="Arial" w:hAnsi="Arial"/>
                <w:sz w:val="14"/>
                <w:szCs w:val="14"/>
                <w:color w:val="auto"/>
              </w:rPr>
              <w:t>ECA010</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18,000</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18,000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18,000</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4,336</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2003</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ECA011</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852</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852</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1,093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1,945</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271</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680" w:type="dxa"/>
            <w:vAlign w:val="bottom"/>
          </w:tcPr>
          <w:p>
            <w:pPr>
              <w:ind w:left="20"/>
              <w:spacing w:after="0"/>
              <w:rPr>
                <w:sz w:val="20"/>
                <w:szCs w:val="20"/>
                <w:color w:val="auto"/>
              </w:rPr>
            </w:pPr>
            <w:r>
              <w:rPr>
                <w:rFonts w:ascii="Arial" w:cs="Arial" w:eastAsia="Arial" w:hAnsi="Arial"/>
                <w:sz w:val="14"/>
                <w:szCs w:val="14"/>
                <w:color w:val="auto"/>
              </w:rPr>
              <w:t>ECA012</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1,572</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2,034</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1,572</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2,034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3,606</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500</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ECA013</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1,953</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25,772</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27,725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27,725</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3,348</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680" w:type="dxa"/>
            <w:vAlign w:val="bottom"/>
          </w:tcPr>
          <w:p>
            <w:pPr>
              <w:ind w:left="20"/>
              <w:spacing w:after="0"/>
              <w:rPr>
                <w:sz w:val="20"/>
                <w:szCs w:val="20"/>
                <w:color w:val="auto"/>
              </w:rPr>
            </w:pPr>
            <w:r>
              <w:rPr>
                <w:rFonts w:ascii="Arial" w:cs="Arial" w:eastAsia="Arial" w:hAnsi="Arial"/>
                <w:sz w:val="14"/>
                <w:szCs w:val="14"/>
                <w:color w:val="auto"/>
              </w:rPr>
              <w:t>ECA014</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659</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852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659</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846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1,505</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210</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ECA015</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562</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729</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562</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729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1,291</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680" w:type="dxa"/>
            <w:vAlign w:val="bottom"/>
          </w:tcPr>
          <w:p>
            <w:pPr>
              <w:ind w:left="20"/>
              <w:spacing w:after="0"/>
              <w:rPr>
                <w:sz w:val="20"/>
                <w:szCs w:val="20"/>
                <w:color w:val="auto"/>
              </w:rPr>
            </w:pPr>
            <w:r>
              <w:rPr>
                <w:rFonts w:ascii="Arial" w:cs="Arial" w:eastAsia="Arial" w:hAnsi="Arial"/>
                <w:sz w:val="14"/>
                <w:szCs w:val="14"/>
                <w:color w:val="auto"/>
              </w:rPr>
              <w:t>ECA016</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896</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1,159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896</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1,151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2,047</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285</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Colorado</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ECO001</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466</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466</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597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1,063</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Colorado</w:t>
            </w:r>
          </w:p>
        </w:tc>
        <w:tc>
          <w:tcPr>
            <w:tcW w:w="680" w:type="dxa"/>
            <w:vAlign w:val="bottom"/>
          </w:tcPr>
          <w:p>
            <w:pPr>
              <w:ind w:left="20"/>
              <w:spacing w:after="0"/>
              <w:rPr>
                <w:sz w:val="20"/>
                <w:szCs w:val="20"/>
                <w:color w:val="auto"/>
              </w:rPr>
            </w:pPr>
            <w:r>
              <w:rPr>
                <w:rFonts w:ascii="Arial" w:cs="Arial" w:eastAsia="Arial" w:hAnsi="Arial"/>
                <w:sz w:val="14"/>
                <w:szCs w:val="14"/>
                <w:color w:val="auto"/>
              </w:rPr>
              <w:t>ECO002</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640</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827</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640</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828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1,468</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204</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Colorado</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ECO003</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729</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944</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729</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944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1,673</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Colorado</w:t>
            </w:r>
          </w:p>
        </w:tc>
        <w:tc>
          <w:tcPr>
            <w:tcW w:w="680" w:type="dxa"/>
            <w:vAlign w:val="bottom"/>
          </w:tcPr>
          <w:p>
            <w:pPr>
              <w:ind w:left="20"/>
              <w:spacing w:after="0"/>
              <w:rPr>
                <w:sz w:val="20"/>
                <w:szCs w:val="20"/>
                <w:color w:val="auto"/>
              </w:rPr>
            </w:pPr>
            <w:r>
              <w:rPr>
                <w:rFonts w:ascii="Arial" w:cs="Arial" w:eastAsia="Arial" w:hAnsi="Arial"/>
                <w:sz w:val="14"/>
                <w:szCs w:val="14"/>
                <w:color w:val="auto"/>
              </w:rPr>
              <w:t>ECO004</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536</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694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536</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689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1,225</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171</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Colorado</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ECO005</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412</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533</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412</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533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945</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Colorado</w:t>
            </w:r>
          </w:p>
        </w:tc>
        <w:tc>
          <w:tcPr>
            <w:tcW w:w="680" w:type="dxa"/>
            <w:vAlign w:val="bottom"/>
          </w:tcPr>
          <w:p>
            <w:pPr>
              <w:ind w:left="20"/>
              <w:spacing w:after="0"/>
              <w:rPr>
                <w:sz w:val="20"/>
                <w:szCs w:val="20"/>
                <w:color w:val="auto"/>
              </w:rPr>
            </w:pPr>
            <w:r>
              <w:rPr>
                <w:rFonts w:ascii="Arial" w:cs="Arial" w:eastAsia="Arial" w:hAnsi="Arial"/>
                <w:sz w:val="14"/>
                <w:szCs w:val="14"/>
                <w:color w:val="auto"/>
              </w:rPr>
              <w:t>ECO006</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901</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1,165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901</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1,156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2,057</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287</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Connecticut</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ECT001</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1,097</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1,097</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1,410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2,507</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349</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Connecticut</w:t>
            </w:r>
          </w:p>
        </w:tc>
        <w:tc>
          <w:tcPr>
            <w:tcW w:w="680" w:type="dxa"/>
            <w:vAlign w:val="bottom"/>
          </w:tcPr>
          <w:p>
            <w:pPr>
              <w:ind w:left="20"/>
              <w:spacing w:after="0"/>
              <w:rPr>
                <w:sz w:val="20"/>
                <w:szCs w:val="20"/>
                <w:color w:val="auto"/>
              </w:rPr>
            </w:pPr>
            <w:r>
              <w:rPr>
                <w:rFonts w:ascii="Arial" w:cs="Arial" w:eastAsia="Arial" w:hAnsi="Arial"/>
                <w:sz w:val="14"/>
                <w:szCs w:val="14"/>
                <w:color w:val="auto"/>
              </w:rPr>
              <w:t>ECT002</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330</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426</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330</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426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756</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105</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Delaware</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EDE001</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1,076</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1,390</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1,076</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1,394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2,470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343</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Florida</w:t>
            </w:r>
          </w:p>
        </w:tc>
        <w:tc>
          <w:tcPr>
            <w:tcW w:w="680" w:type="dxa"/>
            <w:vAlign w:val="bottom"/>
          </w:tcPr>
          <w:p>
            <w:pPr>
              <w:ind w:left="20"/>
              <w:spacing w:after="0"/>
              <w:rPr>
                <w:sz w:val="20"/>
                <w:szCs w:val="20"/>
                <w:color w:val="auto"/>
              </w:rPr>
            </w:pPr>
            <w:r>
              <w:rPr>
                <w:rFonts w:ascii="Arial" w:cs="Arial" w:eastAsia="Arial" w:hAnsi="Arial"/>
                <w:sz w:val="14"/>
                <w:szCs w:val="14"/>
                <w:color w:val="auto"/>
              </w:rPr>
              <w:t>EFL001</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41,809</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41,809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41,809</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13,655</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2005</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27.0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Florida</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EFL002</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412</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412</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528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Florida</w:t>
            </w:r>
          </w:p>
        </w:tc>
        <w:tc>
          <w:tcPr>
            <w:tcW w:w="680" w:type="dxa"/>
            <w:vAlign w:val="bottom"/>
          </w:tcPr>
          <w:p>
            <w:pPr>
              <w:ind w:left="20"/>
              <w:spacing w:after="0"/>
              <w:rPr>
                <w:sz w:val="20"/>
                <w:szCs w:val="20"/>
                <w:color w:val="auto"/>
              </w:rPr>
            </w:pPr>
            <w:r>
              <w:rPr>
                <w:rFonts w:ascii="Arial" w:cs="Arial" w:eastAsia="Arial" w:hAnsi="Arial"/>
                <w:sz w:val="14"/>
                <w:szCs w:val="14"/>
                <w:color w:val="auto"/>
              </w:rPr>
              <w:t>EFL003</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6,550</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17,118</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6,533</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17,135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23,668</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2,853</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2006</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Florida</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EFL004</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1,067</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1,382</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1,067</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1,382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2,449</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340</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Florida</w:t>
            </w:r>
          </w:p>
        </w:tc>
        <w:tc>
          <w:tcPr>
            <w:tcW w:w="680" w:type="dxa"/>
            <w:vAlign w:val="bottom"/>
          </w:tcPr>
          <w:p>
            <w:pPr>
              <w:ind w:left="20"/>
              <w:spacing w:after="0"/>
              <w:rPr>
                <w:sz w:val="20"/>
                <w:szCs w:val="20"/>
                <w:color w:val="auto"/>
              </w:rPr>
            </w:pPr>
            <w:r>
              <w:rPr>
                <w:rFonts w:ascii="Arial" w:cs="Arial" w:eastAsia="Arial" w:hAnsi="Arial"/>
                <w:sz w:val="14"/>
                <w:szCs w:val="14"/>
                <w:color w:val="auto"/>
              </w:rPr>
              <w:t>EFL005</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439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340</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436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776</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108</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Florida</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EFL006</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401</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520</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401</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921</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256"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2013</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center"/>
              <w:ind w:left="548"/>
              <w:spacing w:after="0"/>
              <w:rPr>
                <w:sz w:val="20"/>
                <w:szCs w:val="20"/>
                <w:color w:val="auto"/>
              </w:rPr>
            </w:pPr>
            <w:r>
              <w:rPr>
                <w:rFonts w:ascii="Arial" w:cs="Arial" w:eastAsia="Arial" w:hAnsi="Arial"/>
                <w:sz w:val="14"/>
                <w:szCs w:val="14"/>
                <w:b w:val="1"/>
                <w:bCs w:val="1"/>
                <w:color w:val="auto"/>
                <w:w w:val="94"/>
              </w:rPr>
              <w:t>Gross Amount Carried</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Initial Cost to Company</w:t>
            </w: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Cost</w:t>
            </w:r>
          </w:p>
        </w:tc>
        <w:tc>
          <w:tcPr>
            <w:tcW w:w="7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2"/>
              </w:rPr>
              <w:t>at Close of Period</w:t>
            </w:r>
          </w:p>
        </w:tc>
        <w:tc>
          <w:tcPr>
            <w:tcW w:w="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Building and</w:t>
            </w: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7"/>
              </w:rPr>
              <w:t>Capitalized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4"/>
              </w:rPr>
              <w:t>Building and</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Depreciable</w:t>
            </w:r>
          </w:p>
        </w:tc>
        <w:tc>
          <w:tcPr>
            <w:tcW w:w="0" w:type="dxa"/>
            <w:vAlign w:val="bottom"/>
          </w:tcPr>
          <w:p>
            <w:pPr>
              <w:spacing w:after="0"/>
              <w:rPr>
                <w:sz w:val="1"/>
                <w:szCs w:val="1"/>
                <w:color w:val="auto"/>
              </w:rPr>
            </w:pPr>
          </w:p>
        </w:tc>
      </w:tr>
      <w:tr>
        <w:trPr>
          <w:trHeight w:val="149"/>
        </w:trPr>
        <w:tc>
          <w:tcPr>
            <w:tcW w:w="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State</w:t>
            </w: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Land</w:t>
            </w:r>
          </w:p>
        </w:tc>
        <w:tc>
          <w:tcPr>
            <w:tcW w:w="120" w:type="dxa"/>
            <w:vAlign w:val="bottom"/>
            <w:vMerge w:val="restart"/>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Subsequent to</w:t>
            </w: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Land</w:t>
            </w: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6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220" w:type="dxa"/>
            <w:vAlign w:val="bottom"/>
            <w:vMerge w:val="restart"/>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92"/>
        </w:trPr>
        <w:tc>
          <w:tcPr>
            <w:tcW w:w="820" w:type="dxa"/>
            <w:vAlign w:val="bottom"/>
            <w:tcBorders>
              <w:bottom w:val="single" w:sz="8" w:color="auto"/>
            </w:tcBorders>
            <w:vMerge w:val="continue"/>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w w:val="93"/>
              </w:rPr>
              <w:t>Encumbrances</w:t>
            </w:r>
          </w:p>
        </w:tc>
        <w:tc>
          <w:tcPr>
            <w:tcW w:w="46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Improvements</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Acquisition(2)</w:t>
            </w:r>
          </w:p>
        </w:tc>
        <w:tc>
          <w:tcPr>
            <w:tcW w:w="10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Improvements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Depreciation</w:t>
            </w:r>
          </w:p>
        </w:tc>
        <w:tc>
          <w:tcPr>
            <w:tcW w:w="22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4"/>
                <w:szCs w:val="14"/>
                <w:color w:val="auto"/>
              </w:rPr>
              <w:t>Florida</w:t>
            </w:r>
          </w:p>
        </w:tc>
        <w:tc>
          <w:tcPr>
            <w:tcW w:w="680" w:type="dxa"/>
            <w:vAlign w:val="bottom"/>
          </w:tcPr>
          <w:p>
            <w:pPr>
              <w:ind w:left="20"/>
              <w:spacing w:after="0"/>
              <w:rPr>
                <w:sz w:val="20"/>
                <w:szCs w:val="20"/>
                <w:color w:val="auto"/>
              </w:rPr>
            </w:pPr>
            <w:r>
              <w:rPr>
                <w:rFonts w:ascii="Arial" w:cs="Arial" w:eastAsia="Arial" w:hAnsi="Arial"/>
                <w:sz w:val="14"/>
                <w:szCs w:val="14"/>
                <w:color w:val="auto"/>
              </w:rPr>
              <w:t>EFL007</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507</w:t>
            </w:r>
          </w:p>
        </w:tc>
        <w:tc>
          <w:tcPr>
            <w:tcW w:w="12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655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507</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650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1,157</w:t>
            </w:r>
          </w:p>
        </w:tc>
        <w:tc>
          <w:tcPr>
            <w:tcW w:w="22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161</w:t>
            </w:r>
          </w:p>
        </w:tc>
        <w:tc>
          <w:tcPr>
            <w:tcW w:w="22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Florida</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EFL008</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282</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361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643</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Florida</w:t>
            </w:r>
          </w:p>
        </w:tc>
        <w:tc>
          <w:tcPr>
            <w:tcW w:w="680" w:type="dxa"/>
            <w:vAlign w:val="bottom"/>
          </w:tcPr>
          <w:p>
            <w:pPr>
              <w:ind w:left="20"/>
              <w:spacing w:after="0"/>
              <w:rPr>
                <w:sz w:val="20"/>
                <w:szCs w:val="20"/>
                <w:color w:val="auto"/>
              </w:rPr>
            </w:pPr>
            <w:r>
              <w:rPr>
                <w:rFonts w:ascii="Arial" w:cs="Arial" w:eastAsia="Arial" w:hAnsi="Arial"/>
                <w:sz w:val="14"/>
                <w:szCs w:val="14"/>
                <w:color w:val="auto"/>
              </w:rPr>
              <w:t>EFL009</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352</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455</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352</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455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807</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112</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Florida</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EFL011</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437</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567</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437</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567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1,004</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Florida</w:t>
            </w:r>
          </w:p>
        </w:tc>
        <w:tc>
          <w:tcPr>
            <w:tcW w:w="680" w:type="dxa"/>
            <w:vAlign w:val="bottom"/>
          </w:tcPr>
          <w:p>
            <w:pPr>
              <w:ind w:left="20"/>
              <w:spacing w:after="0"/>
              <w:rPr>
                <w:sz w:val="20"/>
                <w:szCs w:val="20"/>
                <w:color w:val="auto"/>
              </w:rPr>
            </w:pPr>
            <w:r>
              <w:rPr>
                <w:rFonts w:ascii="Arial" w:cs="Arial" w:eastAsia="Arial" w:hAnsi="Arial"/>
                <w:sz w:val="14"/>
                <w:szCs w:val="14"/>
                <w:color w:val="auto"/>
              </w:rPr>
              <w:t>EFL012</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532</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689</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532</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689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1,221</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169</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Florida</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EFL014</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486</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629</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486</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629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1,115</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Florida</w:t>
            </w:r>
          </w:p>
        </w:tc>
        <w:tc>
          <w:tcPr>
            <w:tcW w:w="680" w:type="dxa"/>
            <w:vAlign w:val="bottom"/>
          </w:tcPr>
          <w:p>
            <w:pPr>
              <w:ind w:left="20"/>
              <w:spacing w:after="0"/>
              <w:rPr>
                <w:sz w:val="20"/>
                <w:szCs w:val="20"/>
                <w:color w:val="auto"/>
              </w:rPr>
            </w:pPr>
            <w:r>
              <w:rPr>
                <w:rFonts w:ascii="Arial" w:cs="Arial" w:eastAsia="Arial" w:hAnsi="Arial"/>
                <w:sz w:val="14"/>
                <w:szCs w:val="14"/>
                <w:color w:val="auto"/>
              </w:rPr>
              <w:t>EFL015</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433</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561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433</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557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990</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138</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Florida</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EFL016</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497</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497</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638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1,135</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Florida</w:t>
            </w:r>
          </w:p>
        </w:tc>
        <w:tc>
          <w:tcPr>
            <w:tcW w:w="680" w:type="dxa"/>
            <w:vAlign w:val="bottom"/>
          </w:tcPr>
          <w:p>
            <w:pPr>
              <w:ind w:left="20"/>
              <w:spacing w:after="0"/>
              <w:rPr>
                <w:sz w:val="20"/>
                <w:szCs w:val="20"/>
                <w:color w:val="auto"/>
              </w:rPr>
            </w:pPr>
            <w:r>
              <w:rPr>
                <w:rFonts w:ascii="Arial" w:cs="Arial" w:eastAsia="Arial" w:hAnsi="Arial"/>
                <w:sz w:val="14"/>
                <w:szCs w:val="14"/>
                <w:color w:val="auto"/>
              </w:rPr>
              <w:t>EFL018</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643</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833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643</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827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1,470</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205</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Florida</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EFL019</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4,200</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18,272</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4,200</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18,272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22,472</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4,041</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Florida</w:t>
            </w:r>
          </w:p>
        </w:tc>
        <w:tc>
          <w:tcPr>
            <w:tcW w:w="680" w:type="dxa"/>
            <w:vAlign w:val="bottom"/>
          </w:tcPr>
          <w:p>
            <w:pPr>
              <w:ind w:left="20"/>
              <w:spacing w:after="0"/>
              <w:rPr>
                <w:sz w:val="20"/>
                <w:szCs w:val="20"/>
                <w:color w:val="auto"/>
              </w:rPr>
            </w:pPr>
            <w:r>
              <w:rPr>
                <w:rFonts w:ascii="Arial" w:cs="Arial" w:eastAsia="Arial" w:hAnsi="Arial"/>
                <w:sz w:val="14"/>
                <w:szCs w:val="14"/>
                <w:color w:val="auto"/>
              </w:rPr>
              <w:t>EFL020</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551</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714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551</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708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1,259</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175</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Florida</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EFL021</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364</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364</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467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831</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Florida</w:t>
            </w:r>
          </w:p>
        </w:tc>
        <w:tc>
          <w:tcPr>
            <w:tcW w:w="680" w:type="dxa"/>
            <w:vAlign w:val="bottom"/>
          </w:tcPr>
          <w:p>
            <w:pPr>
              <w:ind w:left="20"/>
              <w:spacing w:after="0"/>
              <w:rPr>
                <w:sz w:val="20"/>
                <w:szCs w:val="20"/>
                <w:color w:val="auto"/>
              </w:rPr>
            </w:pPr>
            <w:r>
              <w:rPr>
                <w:rFonts w:ascii="Arial" w:cs="Arial" w:eastAsia="Arial" w:hAnsi="Arial"/>
                <w:sz w:val="14"/>
                <w:szCs w:val="14"/>
                <w:color w:val="auto"/>
              </w:rPr>
              <w:t>EFL022</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507</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656</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507</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656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1,163</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161</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Florida</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EFL023</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19,337</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19,337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19,337</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4,276</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Georgia</w:t>
            </w:r>
          </w:p>
        </w:tc>
        <w:tc>
          <w:tcPr>
            <w:tcW w:w="680" w:type="dxa"/>
            <w:vAlign w:val="bottom"/>
          </w:tcPr>
          <w:p>
            <w:pPr>
              <w:ind w:left="20"/>
              <w:spacing w:after="0"/>
              <w:rPr>
                <w:sz w:val="20"/>
                <w:szCs w:val="20"/>
                <w:color w:val="auto"/>
              </w:rPr>
            </w:pPr>
            <w:r>
              <w:rPr>
                <w:rFonts w:ascii="Arial" w:cs="Arial" w:eastAsia="Arial" w:hAnsi="Arial"/>
                <w:sz w:val="14"/>
                <w:szCs w:val="14"/>
                <w:color w:val="auto"/>
              </w:rPr>
              <w:t>EGA001</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510</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660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510</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655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1,165</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162</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Georgia</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EGA002</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286</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371</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371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657</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Georgia</w:t>
            </w:r>
          </w:p>
        </w:tc>
        <w:tc>
          <w:tcPr>
            <w:tcW w:w="680" w:type="dxa"/>
            <w:vAlign w:val="bottom"/>
          </w:tcPr>
          <w:p>
            <w:pPr>
              <w:ind w:left="20"/>
              <w:spacing w:after="0"/>
              <w:rPr>
                <w:sz w:val="20"/>
                <w:szCs w:val="20"/>
                <w:color w:val="auto"/>
              </w:rPr>
            </w:pPr>
            <w:r>
              <w:rPr>
                <w:rFonts w:ascii="Arial" w:cs="Arial" w:eastAsia="Arial" w:hAnsi="Arial"/>
                <w:sz w:val="14"/>
                <w:szCs w:val="14"/>
                <w:color w:val="auto"/>
              </w:rPr>
              <w:t>EGA003</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474</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613</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474</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613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1,087</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151</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Georgia</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EGA004</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581</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752</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581</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752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1,333</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185</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Georgia</w:t>
            </w:r>
          </w:p>
        </w:tc>
        <w:tc>
          <w:tcPr>
            <w:tcW w:w="680" w:type="dxa"/>
            <w:vAlign w:val="bottom"/>
          </w:tcPr>
          <w:p>
            <w:pPr>
              <w:ind w:left="20"/>
              <w:spacing w:after="0"/>
              <w:rPr>
                <w:sz w:val="20"/>
                <w:szCs w:val="20"/>
                <w:color w:val="auto"/>
              </w:rPr>
            </w:pPr>
            <w:r>
              <w:rPr>
                <w:rFonts w:ascii="Arial" w:cs="Arial" w:eastAsia="Arial" w:hAnsi="Arial"/>
                <w:sz w:val="14"/>
                <w:szCs w:val="14"/>
                <w:color w:val="auto"/>
              </w:rPr>
              <w:t>EGA005</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718</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930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718</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923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1,641</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229</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Georgia</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EGA006</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546</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706</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546</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706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1,252</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Georgia</w:t>
            </w:r>
          </w:p>
        </w:tc>
        <w:tc>
          <w:tcPr>
            <w:tcW w:w="680" w:type="dxa"/>
            <w:vAlign w:val="bottom"/>
          </w:tcPr>
          <w:p>
            <w:pPr>
              <w:ind w:left="20"/>
              <w:spacing w:after="0"/>
              <w:rPr>
                <w:sz w:val="20"/>
                <w:szCs w:val="20"/>
                <w:color w:val="auto"/>
              </w:rPr>
            </w:pPr>
            <w:r>
              <w:rPr>
                <w:rFonts w:ascii="Arial" w:cs="Arial" w:eastAsia="Arial" w:hAnsi="Arial"/>
                <w:sz w:val="14"/>
                <w:szCs w:val="14"/>
                <w:color w:val="auto"/>
              </w:rPr>
              <w:t>EGA007</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502</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651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502</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646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1,148</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160</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Illinois</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EIL001</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335</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434</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335</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434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769</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Illinois</w:t>
            </w:r>
          </w:p>
        </w:tc>
        <w:tc>
          <w:tcPr>
            <w:tcW w:w="680" w:type="dxa"/>
            <w:vAlign w:val="bottom"/>
          </w:tcPr>
          <w:p>
            <w:pPr>
              <w:ind w:left="20"/>
              <w:spacing w:after="0"/>
              <w:rPr>
                <w:sz w:val="20"/>
                <w:szCs w:val="20"/>
                <w:color w:val="auto"/>
              </w:rPr>
            </w:pPr>
            <w:r>
              <w:rPr>
                <w:rFonts w:ascii="Arial" w:cs="Arial" w:eastAsia="Arial" w:hAnsi="Arial"/>
                <w:sz w:val="14"/>
                <w:szCs w:val="14"/>
                <w:color w:val="auto"/>
              </w:rPr>
              <w:t>EIL002</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481</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622</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481</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622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1,103</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153</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Illinois</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EIL003</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8,803</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30,479</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8,803</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30,536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39,339</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4,819</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Illinois</w:t>
            </w:r>
          </w:p>
        </w:tc>
        <w:tc>
          <w:tcPr>
            <w:tcW w:w="680" w:type="dxa"/>
            <w:vAlign w:val="bottom"/>
          </w:tcPr>
          <w:p>
            <w:pPr>
              <w:ind w:left="20"/>
              <w:spacing w:after="0"/>
              <w:rPr>
                <w:sz w:val="20"/>
                <w:szCs w:val="20"/>
                <w:color w:val="auto"/>
              </w:rPr>
            </w:pPr>
            <w:r>
              <w:rPr>
                <w:rFonts w:ascii="Arial" w:cs="Arial" w:eastAsia="Arial" w:hAnsi="Arial"/>
                <w:sz w:val="14"/>
                <w:szCs w:val="14"/>
                <w:color w:val="auto"/>
              </w:rPr>
              <w:t>EIL004</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433</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560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433</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555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988</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138</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Illinois</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EIL005</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431</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431</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553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984</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Indiana</w:t>
            </w:r>
          </w:p>
        </w:tc>
        <w:tc>
          <w:tcPr>
            <w:tcW w:w="680" w:type="dxa"/>
            <w:vAlign w:val="bottom"/>
          </w:tcPr>
          <w:p>
            <w:pPr>
              <w:ind w:left="20"/>
              <w:spacing w:after="0"/>
              <w:rPr>
                <w:sz w:val="20"/>
                <w:szCs w:val="20"/>
                <w:color w:val="auto"/>
              </w:rPr>
            </w:pPr>
            <w:r>
              <w:rPr>
                <w:rFonts w:ascii="Arial" w:cs="Arial" w:eastAsia="Arial" w:hAnsi="Arial"/>
                <w:sz w:val="14"/>
                <w:szCs w:val="14"/>
                <w:color w:val="auto"/>
              </w:rPr>
              <w:t>EIN001</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542</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701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542</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696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1,238</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172</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Kentucky</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EKY001</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417</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539</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417</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539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956</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Kentucky</w:t>
            </w:r>
          </w:p>
        </w:tc>
        <w:tc>
          <w:tcPr>
            <w:tcW w:w="680" w:type="dxa"/>
            <w:vAlign w:val="bottom"/>
          </w:tcPr>
          <w:p>
            <w:pPr>
              <w:ind w:left="20"/>
              <w:spacing w:after="0"/>
              <w:rPr>
                <w:sz w:val="20"/>
                <w:szCs w:val="20"/>
                <w:color w:val="auto"/>
              </w:rPr>
            </w:pPr>
            <w:r>
              <w:rPr>
                <w:rFonts w:ascii="Arial" w:cs="Arial" w:eastAsia="Arial" w:hAnsi="Arial"/>
                <w:sz w:val="14"/>
                <w:szCs w:val="14"/>
                <w:color w:val="auto"/>
              </w:rPr>
              <w:t>EKY002</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473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365</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470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835</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116</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EMD001</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428</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554</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428</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554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982</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Maryland</w:t>
            </w:r>
          </w:p>
        </w:tc>
        <w:tc>
          <w:tcPr>
            <w:tcW w:w="680" w:type="dxa"/>
            <w:vAlign w:val="bottom"/>
          </w:tcPr>
          <w:p>
            <w:pPr>
              <w:ind w:left="20"/>
              <w:spacing w:after="0"/>
              <w:rPr>
                <w:sz w:val="20"/>
                <w:szCs w:val="20"/>
                <w:color w:val="auto"/>
              </w:rPr>
            </w:pPr>
            <w:r>
              <w:rPr>
                <w:rFonts w:ascii="Arial" w:cs="Arial" w:eastAsia="Arial" w:hAnsi="Arial"/>
                <w:sz w:val="14"/>
                <w:szCs w:val="14"/>
                <w:color w:val="auto"/>
              </w:rPr>
              <w:t>EMD002</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575</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745</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575</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745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1,320</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183</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EMD003</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362</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362</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465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827</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Maryland</w:t>
            </w:r>
          </w:p>
        </w:tc>
        <w:tc>
          <w:tcPr>
            <w:tcW w:w="680" w:type="dxa"/>
            <w:vAlign w:val="bottom"/>
          </w:tcPr>
          <w:p>
            <w:pPr>
              <w:ind w:left="20"/>
              <w:spacing w:after="0"/>
              <w:rPr>
                <w:sz w:val="20"/>
                <w:szCs w:val="20"/>
                <w:color w:val="auto"/>
              </w:rPr>
            </w:pPr>
            <w:r>
              <w:rPr>
                <w:rFonts w:ascii="Arial" w:cs="Arial" w:eastAsia="Arial" w:hAnsi="Arial"/>
                <w:sz w:val="14"/>
                <w:szCs w:val="14"/>
                <w:color w:val="auto"/>
              </w:rPr>
              <w:t>EMD004</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884</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1,145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884</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1,136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2,020</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282</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EMD005</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371</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481</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371</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481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852</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58"/>
        </w:trPr>
        <w:tc>
          <w:tcPr>
            <w:tcW w:w="820" w:type="dxa"/>
            <w:vAlign w:val="bottom"/>
          </w:tcPr>
          <w:p>
            <w:pPr>
              <w:ind w:left="40"/>
              <w:spacing w:after="0"/>
              <w:rPr>
                <w:sz w:val="20"/>
                <w:szCs w:val="20"/>
                <w:color w:val="auto"/>
              </w:rPr>
            </w:pPr>
            <w:r>
              <w:rPr>
                <w:rFonts w:ascii="Arial" w:cs="Arial" w:eastAsia="Arial" w:hAnsi="Arial"/>
                <w:sz w:val="14"/>
                <w:szCs w:val="14"/>
                <w:color w:val="auto"/>
              </w:rPr>
              <w:t>Maryland</w:t>
            </w:r>
          </w:p>
        </w:tc>
        <w:tc>
          <w:tcPr>
            <w:tcW w:w="680" w:type="dxa"/>
            <w:vAlign w:val="bottom"/>
          </w:tcPr>
          <w:p>
            <w:pPr>
              <w:ind w:left="20"/>
              <w:spacing w:after="0"/>
              <w:rPr>
                <w:sz w:val="20"/>
                <w:szCs w:val="20"/>
                <w:color w:val="auto"/>
              </w:rPr>
            </w:pPr>
            <w:r>
              <w:rPr>
                <w:rFonts w:ascii="Arial" w:cs="Arial" w:eastAsia="Arial" w:hAnsi="Arial"/>
                <w:sz w:val="14"/>
                <w:szCs w:val="14"/>
                <w:color w:val="auto"/>
              </w:rPr>
              <w:t>EMD006</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399</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518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399</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514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913</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127</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256"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2013</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center"/>
              <w:ind w:left="548"/>
              <w:spacing w:after="0"/>
              <w:rPr>
                <w:sz w:val="20"/>
                <w:szCs w:val="20"/>
                <w:color w:val="auto"/>
              </w:rPr>
            </w:pPr>
            <w:r>
              <w:rPr>
                <w:rFonts w:ascii="Arial" w:cs="Arial" w:eastAsia="Arial" w:hAnsi="Arial"/>
                <w:sz w:val="14"/>
                <w:szCs w:val="14"/>
                <w:b w:val="1"/>
                <w:bCs w:val="1"/>
                <w:color w:val="auto"/>
                <w:w w:val="94"/>
              </w:rPr>
              <w:t>Gross Amount Carried</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Initial Cost to Company</w:t>
            </w: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Cost</w:t>
            </w:r>
          </w:p>
        </w:tc>
        <w:tc>
          <w:tcPr>
            <w:tcW w:w="7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2"/>
              </w:rPr>
              <w:t>at Close of Period</w:t>
            </w:r>
          </w:p>
        </w:tc>
        <w:tc>
          <w:tcPr>
            <w:tcW w:w="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Building and</w:t>
            </w: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7"/>
              </w:rPr>
              <w:t>Capitalized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4"/>
              </w:rPr>
              <w:t>Building and</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Depreciable</w:t>
            </w:r>
          </w:p>
        </w:tc>
        <w:tc>
          <w:tcPr>
            <w:tcW w:w="0" w:type="dxa"/>
            <w:vAlign w:val="bottom"/>
          </w:tcPr>
          <w:p>
            <w:pPr>
              <w:spacing w:after="0"/>
              <w:rPr>
                <w:sz w:val="1"/>
                <w:szCs w:val="1"/>
                <w:color w:val="auto"/>
              </w:rPr>
            </w:pPr>
          </w:p>
        </w:tc>
      </w:tr>
      <w:tr>
        <w:trPr>
          <w:trHeight w:val="149"/>
        </w:trPr>
        <w:tc>
          <w:tcPr>
            <w:tcW w:w="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State</w:t>
            </w: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Subsequent to</w:t>
            </w: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Land</w:t>
            </w: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6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220" w:type="dxa"/>
            <w:vAlign w:val="bottom"/>
            <w:vMerge w:val="restart"/>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92"/>
        </w:trPr>
        <w:tc>
          <w:tcPr>
            <w:tcW w:w="92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w w:val="93"/>
              </w:rPr>
              <w:t>Encumbrances</w:t>
            </w:r>
          </w:p>
        </w:tc>
        <w:tc>
          <w:tcPr>
            <w:tcW w:w="44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Improvements</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Acquisition(2)</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Improvements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Depreciation</w:t>
            </w:r>
          </w:p>
        </w:tc>
        <w:tc>
          <w:tcPr>
            <w:tcW w:w="2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6"/>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EMD007</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649</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649</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833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1,482</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20" w:type="dxa"/>
            <w:vAlign w:val="bottom"/>
          </w:tcPr>
          <w:p>
            <w:pPr>
              <w:ind w:left="40"/>
              <w:spacing w:after="0"/>
              <w:rPr>
                <w:sz w:val="20"/>
                <w:szCs w:val="20"/>
                <w:color w:val="auto"/>
              </w:rPr>
            </w:pPr>
            <w:r>
              <w:rPr>
                <w:rFonts w:ascii="Arial" w:cs="Arial" w:eastAsia="Arial" w:hAnsi="Arial"/>
                <w:sz w:val="14"/>
                <w:szCs w:val="14"/>
                <w:color w:val="auto"/>
              </w:rPr>
              <w:t>Maryland</w:t>
            </w:r>
          </w:p>
        </w:tc>
        <w:tc>
          <w:tcPr>
            <w:tcW w:w="680" w:type="dxa"/>
            <w:vAlign w:val="bottom"/>
          </w:tcPr>
          <w:p>
            <w:pPr>
              <w:ind w:left="20"/>
              <w:spacing w:after="0"/>
              <w:rPr>
                <w:sz w:val="20"/>
                <w:szCs w:val="20"/>
                <w:color w:val="auto"/>
              </w:rPr>
            </w:pPr>
            <w:r>
              <w:rPr>
                <w:rFonts w:ascii="Arial" w:cs="Arial" w:eastAsia="Arial" w:hAnsi="Arial"/>
                <w:sz w:val="14"/>
                <w:szCs w:val="14"/>
                <w:color w:val="auto"/>
              </w:rPr>
              <w:t>EMD008</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366</w:t>
            </w:r>
          </w:p>
        </w:tc>
        <w:tc>
          <w:tcPr>
            <w:tcW w:w="1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473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366</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470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836</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116</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EMD009</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398</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398</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512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20" w:type="dxa"/>
            <w:vAlign w:val="bottom"/>
          </w:tcPr>
          <w:p>
            <w:pPr>
              <w:ind w:left="40"/>
              <w:spacing w:after="0"/>
              <w:rPr>
                <w:sz w:val="20"/>
                <w:szCs w:val="20"/>
                <w:color w:val="auto"/>
              </w:rPr>
            </w:pPr>
            <w:r>
              <w:rPr>
                <w:rFonts w:ascii="Arial" w:cs="Arial" w:eastAsia="Arial" w:hAnsi="Arial"/>
                <w:sz w:val="14"/>
                <w:szCs w:val="14"/>
                <w:color w:val="auto"/>
              </w:rPr>
              <w:t>Maryland</w:t>
            </w:r>
          </w:p>
        </w:tc>
        <w:tc>
          <w:tcPr>
            <w:tcW w:w="680" w:type="dxa"/>
            <w:vAlign w:val="bottom"/>
          </w:tcPr>
          <w:p>
            <w:pPr>
              <w:ind w:left="20"/>
              <w:spacing w:after="0"/>
              <w:rPr>
                <w:sz w:val="20"/>
                <w:szCs w:val="20"/>
                <w:color w:val="auto"/>
              </w:rPr>
            </w:pPr>
            <w:r>
              <w:rPr>
                <w:rFonts w:ascii="Arial" w:cs="Arial" w:eastAsia="Arial" w:hAnsi="Arial"/>
                <w:sz w:val="14"/>
                <w:szCs w:val="14"/>
                <w:color w:val="auto"/>
              </w:rPr>
              <w:t>EMD011</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1,126</w:t>
            </w:r>
          </w:p>
        </w:tc>
        <w:tc>
          <w:tcPr>
            <w:tcW w:w="1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1,458</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1,126</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1,458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2,584</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359</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2"/>
              </w:rPr>
              <w:t>Massachusetts</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EMA001</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523</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523</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672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1,195</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20" w:type="dxa"/>
            <w:vAlign w:val="bottom"/>
          </w:tcPr>
          <w:p>
            <w:pPr>
              <w:ind w:left="40"/>
              <w:spacing w:after="0"/>
              <w:rPr>
                <w:sz w:val="20"/>
                <w:szCs w:val="20"/>
                <w:color w:val="auto"/>
              </w:rPr>
            </w:pPr>
            <w:r>
              <w:rPr>
                <w:rFonts w:ascii="Arial" w:cs="Arial" w:eastAsia="Arial" w:hAnsi="Arial"/>
                <w:sz w:val="14"/>
                <w:szCs w:val="14"/>
                <w:color w:val="auto"/>
                <w:w w:val="92"/>
              </w:rPr>
              <w:t>Massachusetts</w:t>
            </w:r>
          </w:p>
        </w:tc>
        <w:tc>
          <w:tcPr>
            <w:tcW w:w="680" w:type="dxa"/>
            <w:vAlign w:val="bottom"/>
          </w:tcPr>
          <w:p>
            <w:pPr>
              <w:ind w:left="20"/>
              <w:spacing w:after="0"/>
              <w:rPr>
                <w:sz w:val="20"/>
                <w:szCs w:val="20"/>
                <w:color w:val="auto"/>
              </w:rPr>
            </w:pPr>
            <w:r>
              <w:rPr>
                <w:rFonts w:ascii="Arial" w:cs="Arial" w:eastAsia="Arial" w:hAnsi="Arial"/>
                <w:sz w:val="14"/>
                <w:szCs w:val="14"/>
                <w:color w:val="auto"/>
              </w:rPr>
              <w:t>EMA002</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548</w:t>
            </w:r>
          </w:p>
        </w:tc>
        <w:tc>
          <w:tcPr>
            <w:tcW w:w="1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711</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548</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711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1,259</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175</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2"/>
              </w:rPr>
              <w:t>Massachusetts</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EMA003</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519</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519</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667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1,186</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20" w:type="dxa"/>
            <w:vAlign w:val="bottom"/>
          </w:tcPr>
          <w:p>
            <w:pPr>
              <w:ind w:left="40"/>
              <w:spacing w:after="0"/>
              <w:rPr>
                <w:sz w:val="20"/>
                <w:szCs w:val="20"/>
                <w:color w:val="auto"/>
              </w:rPr>
            </w:pPr>
            <w:r>
              <w:rPr>
                <w:rFonts w:ascii="Arial" w:cs="Arial" w:eastAsia="Arial" w:hAnsi="Arial"/>
                <w:sz w:val="14"/>
                <w:szCs w:val="14"/>
                <w:color w:val="auto"/>
                <w:w w:val="92"/>
              </w:rPr>
              <w:t>Massachusetts</w:t>
            </w:r>
          </w:p>
        </w:tc>
        <w:tc>
          <w:tcPr>
            <w:tcW w:w="680" w:type="dxa"/>
            <w:vAlign w:val="bottom"/>
          </w:tcPr>
          <w:p>
            <w:pPr>
              <w:ind w:left="20"/>
              <w:spacing w:after="0"/>
              <w:rPr>
                <w:sz w:val="20"/>
                <w:szCs w:val="20"/>
                <w:color w:val="auto"/>
              </w:rPr>
            </w:pPr>
            <w:r>
              <w:rPr>
                <w:rFonts w:ascii="Arial" w:cs="Arial" w:eastAsia="Arial" w:hAnsi="Arial"/>
                <w:sz w:val="14"/>
                <w:szCs w:val="14"/>
                <w:color w:val="auto"/>
              </w:rPr>
              <w:t>EMA004</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344</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445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789</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109</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Michigan</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EMI002</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516</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516</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662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1,178</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20" w:type="dxa"/>
            <w:vAlign w:val="bottom"/>
          </w:tcPr>
          <w:p>
            <w:pPr>
              <w:ind w:left="40"/>
              <w:spacing w:after="0"/>
              <w:rPr>
                <w:sz w:val="20"/>
                <w:szCs w:val="20"/>
                <w:color w:val="auto"/>
              </w:rPr>
            </w:pPr>
            <w:r>
              <w:rPr>
                <w:rFonts w:ascii="Arial" w:cs="Arial" w:eastAsia="Arial" w:hAnsi="Arial"/>
                <w:sz w:val="14"/>
                <w:szCs w:val="14"/>
                <w:color w:val="auto"/>
              </w:rPr>
              <w:t>Michigan</w:t>
            </w:r>
          </w:p>
        </w:tc>
        <w:tc>
          <w:tcPr>
            <w:tcW w:w="680" w:type="dxa"/>
            <w:vAlign w:val="bottom"/>
          </w:tcPr>
          <w:p>
            <w:pPr>
              <w:ind w:left="20"/>
              <w:spacing w:after="0"/>
              <w:rPr>
                <w:sz w:val="20"/>
                <w:szCs w:val="20"/>
                <w:color w:val="auto"/>
              </w:rPr>
            </w:pPr>
            <w:r>
              <w:rPr>
                <w:rFonts w:ascii="Arial" w:cs="Arial" w:eastAsia="Arial" w:hAnsi="Arial"/>
                <w:sz w:val="14"/>
                <w:szCs w:val="14"/>
                <w:color w:val="auto"/>
              </w:rPr>
              <w:t>EMI003</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554</w:t>
            </w:r>
          </w:p>
        </w:tc>
        <w:tc>
          <w:tcPr>
            <w:tcW w:w="1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718</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554</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718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1,272</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177</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Michigan</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EMI004</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387</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387</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496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883</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20" w:type="dxa"/>
            <w:vAlign w:val="bottom"/>
          </w:tcPr>
          <w:p>
            <w:pPr>
              <w:ind w:left="40"/>
              <w:spacing w:after="0"/>
              <w:rPr>
                <w:sz w:val="20"/>
                <w:szCs w:val="20"/>
                <w:color w:val="auto"/>
              </w:rPr>
            </w:pPr>
            <w:r>
              <w:rPr>
                <w:rFonts w:ascii="Arial" w:cs="Arial" w:eastAsia="Arial" w:hAnsi="Arial"/>
                <w:sz w:val="14"/>
                <w:szCs w:val="14"/>
                <w:color w:val="auto"/>
              </w:rPr>
              <w:t>Michigan</w:t>
            </w:r>
          </w:p>
        </w:tc>
        <w:tc>
          <w:tcPr>
            <w:tcW w:w="680" w:type="dxa"/>
            <w:vAlign w:val="bottom"/>
          </w:tcPr>
          <w:p>
            <w:pPr>
              <w:ind w:left="20"/>
              <w:spacing w:after="0"/>
              <w:rPr>
                <w:sz w:val="20"/>
                <w:szCs w:val="20"/>
                <w:color w:val="auto"/>
              </w:rPr>
            </w:pPr>
            <w:r>
              <w:rPr>
                <w:rFonts w:ascii="Arial" w:cs="Arial" w:eastAsia="Arial" w:hAnsi="Arial"/>
                <w:sz w:val="14"/>
                <w:szCs w:val="14"/>
                <w:color w:val="auto"/>
              </w:rPr>
              <w:t>EMI005</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533</w:t>
            </w:r>
          </w:p>
        </w:tc>
        <w:tc>
          <w:tcPr>
            <w:tcW w:w="1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691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533</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685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1,218</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170</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Michigan</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EMI006</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356</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460</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356</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460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816</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20" w:type="dxa"/>
            <w:vAlign w:val="bottom"/>
          </w:tcPr>
          <w:p>
            <w:pPr>
              <w:ind w:left="40"/>
              <w:spacing w:after="0"/>
              <w:rPr>
                <w:sz w:val="20"/>
                <w:szCs w:val="20"/>
                <w:color w:val="auto"/>
              </w:rPr>
            </w:pPr>
            <w:r>
              <w:rPr>
                <w:rFonts w:ascii="Arial" w:cs="Arial" w:eastAsia="Arial" w:hAnsi="Arial"/>
                <w:sz w:val="14"/>
                <w:szCs w:val="14"/>
                <w:color w:val="auto"/>
              </w:rPr>
              <w:t>Minnesota</w:t>
            </w:r>
          </w:p>
        </w:tc>
        <w:tc>
          <w:tcPr>
            <w:tcW w:w="680" w:type="dxa"/>
            <w:vAlign w:val="bottom"/>
          </w:tcPr>
          <w:p>
            <w:pPr>
              <w:ind w:left="20"/>
              <w:spacing w:after="0"/>
              <w:rPr>
                <w:sz w:val="20"/>
                <w:szCs w:val="20"/>
                <w:color w:val="auto"/>
              </w:rPr>
            </w:pPr>
            <w:r>
              <w:rPr>
                <w:rFonts w:ascii="Arial" w:cs="Arial" w:eastAsia="Arial" w:hAnsi="Arial"/>
                <w:sz w:val="14"/>
                <w:szCs w:val="14"/>
                <w:color w:val="auto"/>
              </w:rPr>
              <w:t>EMN001</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666</w:t>
            </w:r>
          </w:p>
        </w:tc>
        <w:tc>
          <w:tcPr>
            <w:tcW w:w="1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861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666</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855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1,521</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212</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Minnesota</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EMN002</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2,962</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15,384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2,962</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15,384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18,346</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2,507</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20" w:type="dxa"/>
            <w:vAlign w:val="bottom"/>
          </w:tcPr>
          <w:p>
            <w:pPr>
              <w:ind w:left="40"/>
              <w:spacing w:after="0"/>
              <w:rPr>
                <w:sz w:val="20"/>
                <w:szCs w:val="20"/>
                <w:color w:val="auto"/>
              </w:rPr>
            </w:pPr>
            <w:r>
              <w:rPr>
                <w:rFonts w:ascii="Arial" w:cs="Arial" w:eastAsia="Arial" w:hAnsi="Arial"/>
                <w:sz w:val="14"/>
                <w:szCs w:val="14"/>
                <w:color w:val="auto"/>
              </w:rPr>
              <w:t>Minnesota</w:t>
            </w:r>
          </w:p>
        </w:tc>
        <w:tc>
          <w:tcPr>
            <w:tcW w:w="680" w:type="dxa"/>
            <w:vAlign w:val="bottom"/>
          </w:tcPr>
          <w:p>
            <w:pPr>
              <w:ind w:left="20"/>
              <w:spacing w:after="0"/>
              <w:rPr>
                <w:sz w:val="20"/>
                <w:szCs w:val="20"/>
                <w:color w:val="auto"/>
              </w:rPr>
            </w:pPr>
            <w:r>
              <w:rPr>
                <w:rFonts w:ascii="Arial" w:cs="Arial" w:eastAsia="Arial" w:hAnsi="Arial"/>
                <w:sz w:val="14"/>
                <w:szCs w:val="14"/>
                <w:color w:val="auto"/>
              </w:rPr>
              <w:t>EMN004</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2,437</w:t>
            </w:r>
          </w:p>
        </w:tc>
        <w:tc>
          <w:tcPr>
            <w:tcW w:w="1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8,715</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679</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2,437</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9,394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11,831</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1,939</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2006</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Missouri</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EMO001</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432</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334</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432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766</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20" w:type="dxa"/>
            <w:vAlign w:val="bottom"/>
          </w:tcPr>
          <w:p>
            <w:pPr>
              <w:ind w:left="40"/>
              <w:spacing w:after="0"/>
              <w:rPr>
                <w:sz w:val="20"/>
                <w:szCs w:val="20"/>
                <w:color w:val="auto"/>
              </w:rPr>
            </w:pPr>
            <w:r>
              <w:rPr>
                <w:rFonts w:ascii="Arial" w:cs="Arial" w:eastAsia="Arial" w:hAnsi="Arial"/>
                <w:sz w:val="14"/>
                <w:szCs w:val="14"/>
                <w:color w:val="auto"/>
              </w:rPr>
              <w:t>Missouri</w:t>
            </w:r>
          </w:p>
        </w:tc>
        <w:tc>
          <w:tcPr>
            <w:tcW w:w="680" w:type="dxa"/>
            <w:vAlign w:val="bottom"/>
          </w:tcPr>
          <w:p>
            <w:pPr>
              <w:ind w:left="20"/>
              <w:spacing w:after="0"/>
              <w:rPr>
                <w:sz w:val="20"/>
                <w:szCs w:val="20"/>
                <w:color w:val="auto"/>
              </w:rPr>
            </w:pPr>
            <w:r>
              <w:rPr>
                <w:rFonts w:ascii="Arial" w:cs="Arial" w:eastAsia="Arial" w:hAnsi="Arial"/>
                <w:sz w:val="14"/>
                <w:szCs w:val="14"/>
                <w:color w:val="auto"/>
              </w:rPr>
              <w:t>EMO002</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404</w:t>
            </w:r>
          </w:p>
        </w:tc>
        <w:tc>
          <w:tcPr>
            <w:tcW w:w="1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523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404</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519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923</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129</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Missouri</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EMO003</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462</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462</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593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1,055</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20" w:type="dxa"/>
            <w:vAlign w:val="bottom"/>
          </w:tcPr>
          <w:p>
            <w:pPr>
              <w:ind w:left="40"/>
              <w:spacing w:after="0"/>
              <w:rPr>
                <w:sz w:val="20"/>
                <w:szCs w:val="20"/>
                <w:color w:val="auto"/>
              </w:rPr>
            </w:pPr>
            <w:r>
              <w:rPr>
                <w:rFonts w:ascii="Arial" w:cs="Arial" w:eastAsia="Arial" w:hAnsi="Arial"/>
                <w:sz w:val="14"/>
                <w:szCs w:val="14"/>
                <w:color w:val="auto"/>
              </w:rPr>
              <w:t>Missouri</w:t>
            </w:r>
          </w:p>
        </w:tc>
        <w:tc>
          <w:tcPr>
            <w:tcW w:w="680" w:type="dxa"/>
            <w:vAlign w:val="bottom"/>
          </w:tcPr>
          <w:p>
            <w:pPr>
              <w:ind w:left="20"/>
              <w:spacing w:after="0"/>
              <w:rPr>
                <w:sz w:val="20"/>
                <w:szCs w:val="20"/>
                <w:color w:val="auto"/>
              </w:rPr>
            </w:pPr>
            <w:r>
              <w:rPr>
                <w:rFonts w:ascii="Arial" w:cs="Arial" w:eastAsia="Arial" w:hAnsi="Arial"/>
                <w:sz w:val="14"/>
                <w:szCs w:val="14"/>
                <w:color w:val="auto"/>
              </w:rPr>
              <w:t>EMO004</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878</w:t>
            </w:r>
          </w:p>
        </w:tc>
        <w:tc>
          <w:tcPr>
            <w:tcW w:w="1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1,139</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878</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1,139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2,017</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280</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Jersey</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ENJ001</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1,560</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1,560</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2,004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3,564</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497</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20" w:type="dxa"/>
            <w:vAlign w:val="bottom"/>
          </w:tcPr>
          <w:p>
            <w:pPr>
              <w:ind w:left="40"/>
              <w:spacing w:after="0"/>
              <w:rPr>
                <w:sz w:val="20"/>
                <w:szCs w:val="20"/>
                <w:color w:val="auto"/>
              </w:rPr>
            </w:pPr>
            <w:r>
              <w:rPr>
                <w:rFonts w:ascii="Arial" w:cs="Arial" w:eastAsia="Arial" w:hAnsi="Arial"/>
                <w:sz w:val="14"/>
                <w:szCs w:val="14"/>
                <w:color w:val="auto"/>
              </w:rPr>
              <w:t>New Jersey</w:t>
            </w:r>
          </w:p>
        </w:tc>
        <w:tc>
          <w:tcPr>
            <w:tcW w:w="680" w:type="dxa"/>
            <w:vAlign w:val="bottom"/>
          </w:tcPr>
          <w:p>
            <w:pPr>
              <w:ind w:left="20"/>
              <w:spacing w:after="0"/>
              <w:rPr>
                <w:sz w:val="20"/>
                <w:szCs w:val="20"/>
                <w:color w:val="auto"/>
              </w:rPr>
            </w:pPr>
            <w:r>
              <w:rPr>
                <w:rFonts w:ascii="Arial" w:cs="Arial" w:eastAsia="Arial" w:hAnsi="Arial"/>
                <w:sz w:val="14"/>
                <w:szCs w:val="14"/>
                <w:color w:val="auto"/>
              </w:rPr>
              <w:t>ENJ002</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830</w:t>
            </w:r>
          </w:p>
        </w:tc>
        <w:tc>
          <w:tcPr>
            <w:tcW w:w="1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1,075</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830</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1,075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1,905</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264</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Nevada</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ENV001</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440</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440</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565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1,005</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20" w:type="dxa"/>
            <w:vAlign w:val="bottom"/>
          </w:tcPr>
          <w:p>
            <w:pPr>
              <w:ind w:left="40"/>
              <w:spacing w:after="0"/>
              <w:rPr>
                <w:sz w:val="20"/>
                <w:szCs w:val="20"/>
                <w:color w:val="auto"/>
              </w:rPr>
            </w:pPr>
            <w:r>
              <w:rPr>
                <w:rFonts w:ascii="Arial" w:cs="Arial" w:eastAsia="Arial" w:hAnsi="Arial"/>
                <w:sz w:val="14"/>
                <w:szCs w:val="14"/>
                <w:color w:val="auto"/>
              </w:rPr>
              <w:t>New York</w:t>
            </w:r>
          </w:p>
        </w:tc>
        <w:tc>
          <w:tcPr>
            <w:tcW w:w="680" w:type="dxa"/>
            <w:vAlign w:val="bottom"/>
          </w:tcPr>
          <w:p>
            <w:pPr>
              <w:ind w:left="20"/>
              <w:spacing w:after="0"/>
              <w:rPr>
                <w:sz w:val="20"/>
                <w:szCs w:val="20"/>
                <w:color w:val="auto"/>
              </w:rPr>
            </w:pPr>
            <w:r>
              <w:rPr>
                <w:rFonts w:ascii="Arial" w:cs="Arial" w:eastAsia="Arial" w:hAnsi="Arial"/>
                <w:sz w:val="14"/>
                <w:szCs w:val="14"/>
                <w:color w:val="auto"/>
              </w:rPr>
              <w:t>ENY001</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603</w:t>
            </w:r>
          </w:p>
        </w:tc>
        <w:tc>
          <w:tcPr>
            <w:tcW w:w="1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779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603</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773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1,376</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192</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York</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ENY002</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442</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571</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442</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571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1,013</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20" w:type="dxa"/>
            <w:vAlign w:val="bottom"/>
          </w:tcPr>
          <w:p>
            <w:pPr>
              <w:ind w:left="40"/>
              <w:spacing w:after="0"/>
              <w:rPr>
                <w:sz w:val="20"/>
                <w:szCs w:val="20"/>
                <w:color w:val="auto"/>
              </w:rPr>
            </w:pPr>
            <w:r>
              <w:rPr>
                <w:rFonts w:ascii="Arial" w:cs="Arial" w:eastAsia="Arial" w:hAnsi="Arial"/>
                <w:sz w:val="14"/>
                <w:szCs w:val="14"/>
                <w:color w:val="auto"/>
              </w:rPr>
              <w:t>New York</w:t>
            </w:r>
          </w:p>
        </w:tc>
        <w:tc>
          <w:tcPr>
            <w:tcW w:w="680" w:type="dxa"/>
            <w:vAlign w:val="bottom"/>
          </w:tcPr>
          <w:p>
            <w:pPr>
              <w:ind w:left="20"/>
              <w:spacing w:after="0"/>
              <w:rPr>
                <w:sz w:val="20"/>
                <w:szCs w:val="20"/>
                <w:color w:val="auto"/>
              </w:rPr>
            </w:pPr>
            <w:r>
              <w:rPr>
                <w:rFonts w:ascii="Arial" w:cs="Arial" w:eastAsia="Arial" w:hAnsi="Arial"/>
                <w:sz w:val="14"/>
                <w:szCs w:val="14"/>
                <w:color w:val="auto"/>
              </w:rPr>
              <w:t>ENY003</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562</w:t>
            </w:r>
          </w:p>
        </w:tc>
        <w:tc>
          <w:tcPr>
            <w:tcW w:w="1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728</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562</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728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1,290</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179</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York</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ENY004</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385</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496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881</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20" w:type="dxa"/>
            <w:vAlign w:val="bottom"/>
          </w:tcPr>
          <w:p>
            <w:pPr>
              <w:ind w:left="40"/>
              <w:spacing w:after="0"/>
              <w:rPr>
                <w:sz w:val="20"/>
                <w:szCs w:val="20"/>
                <w:color w:val="auto"/>
              </w:rPr>
            </w:pPr>
            <w:r>
              <w:rPr>
                <w:rFonts w:ascii="Arial" w:cs="Arial" w:eastAsia="Arial" w:hAnsi="Arial"/>
                <w:sz w:val="14"/>
                <w:szCs w:val="14"/>
                <w:color w:val="auto"/>
              </w:rPr>
              <w:t>New York</w:t>
            </w:r>
          </w:p>
        </w:tc>
        <w:tc>
          <w:tcPr>
            <w:tcW w:w="680" w:type="dxa"/>
            <w:vAlign w:val="bottom"/>
          </w:tcPr>
          <w:p>
            <w:pPr>
              <w:ind w:left="20"/>
              <w:spacing w:after="0"/>
              <w:rPr>
                <w:sz w:val="20"/>
                <w:szCs w:val="20"/>
                <w:color w:val="auto"/>
              </w:rPr>
            </w:pPr>
            <w:r>
              <w:rPr>
                <w:rFonts w:ascii="Arial" w:cs="Arial" w:eastAsia="Arial" w:hAnsi="Arial"/>
                <w:sz w:val="14"/>
                <w:szCs w:val="14"/>
                <w:color w:val="auto"/>
              </w:rPr>
              <w:t>ENY005</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350</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453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803</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111</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York</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ENY007</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494</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640</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494</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640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1,134</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20" w:type="dxa"/>
            <w:vAlign w:val="bottom"/>
          </w:tcPr>
          <w:p>
            <w:pPr>
              <w:ind w:left="40"/>
              <w:spacing w:after="0"/>
              <w:rPr>
                <w:sz w:val="20"/>
                <w:szCs w:val="20"/>
                <w:color w:val="auto"/>
              </w:rPr>
            </w:pPr>
            <w:r>
              <w:rPr>
                <w:rFonts w:ascii="Arial" w:cs="Arial" w:eastAsia="Arial" w:hAnsi="Arial"/>
                <w:sz w:val="14"/>
                <w:szCs w:val="14"/>
                <w:color w:val="auto"/>
              </w:rPr>
              <w:t>New York</w:t>
            </w:r>
          </w:p>
        </w:tc>
        <w:tc>
          <w:tcPr>
            <w:tcW w:w="680" w:type="dxa"/>
            <w:vAlign w:val="bottom"/>
          </w:tcPr>
          <w:p>
            <w:pPr>
              <w:ind w:left="20"/>
              <w:spacing w:after="0"/>
              <w:rPr>
                <w:sz w:val="20"/>
                <w:szCs w:val="20"/>
                <w:color w:val="auto"/>
              </w:rPr>
            </w:pPr>
            <w:r>
              <w:rPr>
                <w:rFonts w:ascii="Arial" w:cs="Arial" w:eastAsia="Arial" w:hAnsi="Arial"/>
                <w:sz w:val="14"/>
                <w:szCs w:val="14"/>
                <w:color w:val="auto"/>
              </w:rPr>
              <w:t>ENY006</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421</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326</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421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747</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104</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York</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ENY008</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411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731</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20" w:type="dxa"/>
            <w:vAlign w:val="bottom"/>
          </w:tcPr>
          <w:p>
            <w:pPr>
              <w:ind w:left="40"/>
              <w:spacing w:after="0"/>
              <w:rPr>
                <w:sz w:val="20"/>
                <w:szCs w:val="20"/>
                <w:color w:val="auto"/>
              </w:rPr>
            </w:pPr>
            <w:r>
              <w:rPr>
                <w:rFonts w:ascii="Arial" w:cs="Arial" w:eastAsia="Arial" w:hAnsi="Arial"/>
                <w:sz w:val="14"/>
                <w:szCs w:val="14"/>
                <w:color w:val="auto"/>
              </w:rPr>
              <w:t>New York</w:t>
            </w:r>
          </w:p>
        </w:tc>
        <w:tc>
          <w:tcPr>
            <w:tcW w:w="680" w:type="dxa"/>
            <w:vAlign w:val="bottom"/>
          </w:tcPr>
          <w:p>
            <w:pPr>
              <w:ind w:left="20"/>
              <w:spacing w:after="0"/>
              <w:rPr>
                <w:sz w:val="20"/>
                <w:szCs w:val="20"/>
                <w:color w:val="auto"/>
              </w:rPr>
            </w:pPr>
            <w:r>
              <w:rPr>
                <w:rFonts w:ascii="Arial" w:cs="Arial" w:eastAsia="Arial" w:hAnsi="Arial"/>
                <w:sz w:val="14"/>
                <w:szCs w:val="14"/>
                <w:color w:val="auto"/>
              </w:rPr>
              <w:t>ENY009</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516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399</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512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911</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127</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York</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ENY010</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959</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959</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1,231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2,190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920" w:type="dxa"/>
            <w:vAlign w:val="bottom"/>
          </w:tcPr>
          <w:p>
            <w:pPr>
              <w:ind w:left="40"/>
              <w:spacing w:after="0"/>
              <w:rPr>
                <w:sz w:val="20"/>
                <w:szCs w:val="20"/>
                <w:color w:val="auto"/>
              </w:rPr>
            </w:pPr>
            <w:r>
              <w:rPr>
                <w:rFonts w:ascii="Arial" w:cs="Arial" w:eastAsia="Arial" w:hAnsi="Arial"/>
                <w:sz w:val="14"/>
                <w:szCs w:val="14"/>
                <w:color w:val="auto"/>
              </w:rPr>
              <w:t>New York</w:t>
            </w:r>
          </w:p>
        </w:tc>
        <w:tc>
          <w:tcPr>
            <w:tcW w:w="680" w:type="dxa"/>
            <w:vAlign w:val="bottom"/>
          </w:tcPr>
          <w:p>
            <w:pPr>
              <w:ind w:left="20"/>
              <w:spacing w:after="0"/>
              <w:rPr>
                <w:sz w:val="20"/>
                <w:szCs w:val="20"/>
                <w:color w:val="auto"/>
              </w:rPr>
            </w:pPr>
            <w:r>
              <w:rPr>
                <w:rFonts w:ascii="Arial" w:cs="Arial" w:eastAsia="Arial" w:hAnsi="Arial"/>
                <w:sz w:val="14"/>
                <w:szCs w:val="14"/>
                <w:color w:val="auto"/>
              </w:rPr>
              <w:t>ENY011</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587</w:t>
            </w:r>
          </w:p>
        </w:tc>
        <w:tc>
          <w:tcPr>
            <w:tcW w:w="1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761</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587</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761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1,348</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187</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York</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ENY012</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521</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521</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670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1,191</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256"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2013</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center"/>
              <w:ind w:left="548"/>
              <w:spacing w:after="0"/>
              <w:rPr>
                <w:sz w:val="20"/>
                <w:szCs w:val="20"/>
                <w:color w:val="auto"/>
              </w:rPr>
            </w:pPr>
            <w:r>
              <w:rPr>
                <w:rFonts w:ascii="Arial" w:cs="Arial" w:eastAsia="Arial" w:hAnsi="Arial"/>
                <w:sz w:val="14"/>
                <w:szCs w:val="14"/>
                <w:b w:val="1"/>
                <w:bCs w:val="1"/>
                <w:color w:val="auto"/>
                <w:w w:val="94"/>
              </w:rPr>
              <w:t>Gross Amount Carried</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4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Initial Cost to Company</w:t>
            </w: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Cost</w:t>
            </w:r>
          </w:p>
        </w:tc>
        <w:tc>
          <w:tcPr>
            <w:tcW w:w="7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2"/>
              </w:rPr>
              <w:t>at Close of Period</w:t>
            </w:r>
          </w:p>
        </w:tc>
        <w:tc>
          <w:tcPr>
            <w:tcW w:w="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Building and</w:t>
            </w: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7"/>
              </w:rPr>
              <w:t>Capitalized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4"/>
              </w:rPr>
              <w:t>Building and</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Depreciable</w:t>
            </w:r>
          </w:p>
        </w:tc>
        <w:tc>
          <w:tcPr>
            <w:tcW w:w="0" w:type="dxa"/>
            <w:vAlign w:val="bottom"/>
          </w:tcPr>
          <w:p>
            <w:pPr>
              <w:spacing w:after="0"/>
              <w:rPr>
                <w:sz w:val="1"/>
                <w:szCs w:val="1"/>
                <w:color w:val="auto"/>
              </w:rPr>
            </w:pPr>
          </w:p>
        </w:tc>
      </w:tr>
      <w:tr>
        <w:trPr>
          <w:trHeight w:val="149"/>
        </w:trPr>
        <w:tc>
          <w:tcPr>
            <w:tcW w:w="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State</w:t>
            </w: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Subsequent to</w:t>
            </w: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Land</w:t>
            </w: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6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220" w:type="dxa"/>
            <w:vAlign w:val="bottom"/>
            <w:vMerge w:val="restart"/>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92"/>
        </w:trPr>
        <w:tc>
          <w:tcPr>
            <w:tcW w:w="840" w:type="dxa"/>
            <w:vAlign w:val="bottom"/>
            <w:tcBorders>
              <w:bottom w:val="single" w:sz="8" w:color="auto"/>
            </w:tcBorders>
            <w:vMerge w:val="continue"/>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w w:val="93"/>
              </w:rPr>
              <w:t>Encumbrances</w:t>
            </w:r>
          </w:p>
        </w:tc>
        <w:tc>
          <w:tcPr>
            <w:tcW w:w="48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Improvements</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Acquisition(2)</w:t>
            </w:r>
          </w:p>
        </w:tc>
        <w:tc>
          <w:tcPr>
            <w:tcW w:w="10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Improvements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Depreciation</w:t>
            </w:r>
          </w:p>
        </w:tc>
        <w:tc>
          <w:tcPr>
            <w:tcW w:w="22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840" w:type="dxa"/>
            <w:vAlign w:val="bottom"/>
          </w:tcPr>
          <w:p>
            <w:pPr>
              <w:ind w:left="40"/>
              <w:spacing w:after="0"/>
              <w:rPr>
                <w:sz w:val="20"/>
                <w:szCs w:val="20"/>
                <w:color w:val="auto"/>
              </w:rPr>
            </w:pPr>
            <w:r>
              <w:rPr>
                <w:rFonts w:ascii="Arial" w:cs="Arial" w:eastAsia="Arial" w:hAnsi="Arial"/>
                <w:sz w:val="14"/>
                <w:szCs w:val="14"/>
                <w:color w:val="auto"/>
              </w:rPr>
              <w:t>New York</w:t>
            </w:r>
          </w:p>
        </w:tc>
        <w:tc>
          <w:tcPr>
            <w:tcW w:w="700" w:type="dxa"/>
            <w:vAlign w:val="bottom"/>
          </w:tcPr>
          <w:p>
            <w:pPr>
              <w:ind w:left="40"/>
              <w:spacing w:after="0"/>
              <w:rPr>
                <w:sz w:val="20"/>
                <w:szCs w:val="20"/>
                <w:color w:val="auto"/>
              </w:rPr>
            </w:pPr>
            <w:r>
              <w:rPr>
                <w:rFonts w:ascii="Arial" w:cs="Arial" w:eastAsia="Arial" w:hAnsi="Arial"/>
                <w:sz w:val="14"/>
                <w:szCs w:val="14"/>
                <w:color w:val="auto"/>
              </w:rPr>
              <w:t>ENY013</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711</w:t>
            </w:r>
          </w:p>
        </w:tc>
        <w:tc>
          <w:tcPr>
            <w:tcW w:w="1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920</w:t>
            </w:r>
          </w:p>
        </w:tc>
        <w:tc>
          <w:tcPr>
            <w:tcW w:w="1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711</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920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1,631</w:t>
            </w:r>
          </w:p>
        </w:tc>
        <w:tc>
          <w:tcPr>
            <w:tcW w:w="22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226</w:t>
            </w:r>
          </w:p>
        </w:tc>
        <w:tc>
          <w:tcPr>
            <w:tcW w:w="22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York</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ENY014</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558</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558</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717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1,275</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40" w:type="dxa"/>
            <w:vAlign w:val="bottom"/>
          </w:tcPr>
          <w:p>
            <w:pPr>
              <w:ind w:left="40"/>
              <w:spacing w:after="0"/>
              <w:rPr>
                <w:sz w:val="20"/>
                <w:szCs w:val="20"/>
                <w:color w:val="auto"/>
              </w:rPr>
            </w:pPr>
            <w:r>
              <w:rPr>
                <w:rFonts w:ascii="Arial" w:cs="Arial" w:eastAsia="Arial" w:hAnsi="Arial"/>
                <w:sz w:val="14"/>
                <w:szCs w:val="14"/>
                <w:color w:val="auto"/>
              </w:rPr>
              <w:t>New York</w:t>
            </w:r>
          </w:p>
        </w:tc>
        <w:tc>
          <w:tcPr>
            <w:tcW w:w="700" w:type="dxa"/>
            <w:vAlign w:val="bottom"/>
          </w:tcPr>
          <w:p>
            <w:pPr>
              <w:ind w:left="40"/>
              <w:spacing w:after="0"/>
              <w:rPr>
                <w:sz w:val="20"/>
                <w:szCs w:val="20"/>
                <w:color w:val="auto"/>
              </w:rPr>
            </w:pPr>
            <w:r>
              <w:rPr>
                <w:rFonts w:ascii="Arial" w:cs="Arial" w:eastAsia="Arial" w:hAnsi="Arial"/>
                <w:sz w:val="14"/>
                <w:szCs w:val="14"/>
                <w:color w:val="auto"/>
              </w:rPr>
              <w:t>ENY015</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747</w:t>
            </w:r>
          </w:p>
        </w:tc>
        <w:tc>
          <w:tcPr>
            <w:tcW w:w="1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967</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747</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967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1,714</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238</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York</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ENY016</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683</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683</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878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1,561</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40" w:type="dxa"/>
            <w:vAlign w:val="bottom"/>
          </w:tcPr>
          <w:p>
            <w:pPr>
              <w:ind w:left="40"/>
              <w:spacing w:after="0"/>
              <w:rPr>
                <w:sz w:val="20"/>
                <w:szCs w:val="20"/>
                <w:color w:val="auto"/>
              </w:rPr>
            </w:pPr>
            <w:r>
              <w:rPr>
                <w:rFonts w:ascii="Arial" w:cs="Arial" w:eastAsia="Arial" w:hAnsi="Arial"/>
                <w:sz w:val="14"/>
                <w:szCs w:val="14"/>
                <w:color w:val="auto"/>
              </w:rPr>
              <w:t>New York</w:t>
            </w:r>
          </w:p>
        </w:tc>
        <w:tc>
          <w:tcPr>
            <w:tcW w:w="700" w:type="dxa"/>
            <w:vAlign w:val="bottom"/>
          </w:tcPr>
          <w:p>
            <w:pPr>
              <w:ind w:left="40"/>
              <w:spacing w:after="0"/>
              <w:rPr>
                <w:sz w:val="20"/>
                <w:szCs w:val="20"/>
                <w:color w:val="auto"/>
              </w:rPr>
            </w:pPr>
            <w:r>
              <w:rPr>
                <w:rFonts w:ascii="Arial" w:cs="Arial" w:eastAsia="Arial" w:hAnsi="Arial"/>
                <w:sz w:val="14"/>
                <w:szCs w:val="14"/>
                <w:color w:val="auto"/>
              </w:rPr>
              <w:t>ENY017</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1,492</w:t>
            </w:r>
          </w:p>
        </w:tc>
        <w:tc>
          <w:tcPr>
            <w:tcW w:w="1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1,933</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1,492</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1,933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3,425</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475</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York</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ENY018</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1,471</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1,471</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1,890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3,361</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468</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157"/>
        </w:trPr>
        <w:tc>
          <w:tcPr>
            <w:tcW w:w="840" w:type="dxa"/>
            <w:vAlign w:val="bottom"/>
          </w:tcPr>
          <w:p>
            <w:pPr>
              <w:ind w:left="40"/>
              <w:spacing w:after="0" w:line="157" w:lineRule="exact"/>
              <w:rPr>
                <w:sz w:val="20"/>
                <w:szCs w:val="20"/>
                <w:color w:val="auto"/>
              </w:rPr>
            </w:pPr>
            <w:r>
              <w:rPr>
                <w:rFonts w:ascii="Arial" w:cs="Arial" w:eastAsia="Arial" w:hAnsi="Arial"/>
                <w:sz w:val="14"/>
                <w:szCs w:val="14"/>
                <w:color w:val="auto"/>
              </w:rPr>
              <w:t>North</w:t>
            </w: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40" w:type="dxa"/>
            <w:vAlign w:val="bottom"/>
          </w:tcPr>
          <w:p>
            <w:pPr>
              <w:ind w:left="40"/>
              <w:spacing w:after="0"/>
              <w:rPr>
                <w:sz w:val="20"/>
                <w:szCs w:val="20"/>
                <w:color w:val="auto"/>
              </w:rPr>
            </w:pPr>
            <w:r>
              <w:rPr>
                <w:rFonts w:ascii="Arial" w:cs="Arial" w:eastAsia="Arial" w:hAnsi="Arial"/>
                <w:sz w:val="14"/>
                <w:szCs w:val="14"/>
                <w:color w:val="auto"/>
              </w:rPr>
              <w:t>Carolina</w:t>
            </w:r>
          </w:p>
        </w:tc>
        <w:tc>
          <w:tcPr>
            <w:tcW w:w="700" w:type="dxa"/>
            <w:vAlign w:val="bottom"/>
          </w:tcPr>
          <w:p>
            <w:pPr>
              <w:ind w:left="40"/>
              <w:spacing w:after="0"/>
              <w:rPr>
                <w:sz w:val="20"/>
                <w:szCs w:val="20"/>
                <w:color w:val="auto"/>
              </w:rPr>
            </w:pPr>
            <w:r>
              <w:rPr>
                <w:rFonts w:ascii="Arial" w:cs="Arial" w:eastAsia="Arial" w:hAnsi="Arial"/>
                <w:sz w:val="14"/>
                <w:szCs w:val="14"/>
                <w:color w:val="auto"/>
              </w:rPr>
              <w:t>ENC001</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513</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397</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513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910</w:t>
            </w: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126</w:t>
            </w:r>
          </w:p>
        </w:tc>
        <w:tc>
          <w:tcPr>
            <w:tcW w:w="2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163"/>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w:t>
            </w:r>
          </w:p>
        </w:tc>
        <w:tc>
          <w:tcPr>
            <w:tcW w:w="7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Carolina</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ENC002</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476</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476</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611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1,087</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157"/>
        </w:trPr>
        <w:tc>
          <w:tcPr>
            <w:tcW w:w="840" w:type="dxa"/>
            <w:vAlign w:val="bottom"/>
          </w:tcPr>
          <w:p>
            <w:pPr>
              <w:ind w:left="40"/>
              <w:spacing w:after="0" w:line="157" w:lineRule="exact"/>
              <w:rPr>
                <w:sz w:val="20"/>
                <w:szCs w:val="20"/>
                <w:color w:val="auto"/>
              </w:rPr>
            </w:pPr>
            <w:r>
              <w:rPr>
                <w:rFonts w:ascii="Arial" w:cs="Arial" w:eastAsia="Arial" w:hAnsi="Arial"/>
                <w:sz w:val="14"/>
                <w:szCs w:val="14"/>
                <w:color w:val="auto"/>
              </w:rPr>
              <w:t>North</w:t>
            </w: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40" w:type="dxa"/>
            <w:vAlign w:val="bottom"/>
          </w:tcPr>
          <w:p>
            <w:pPr>
              <w:ind w:left="40"/>
              <w:spacing w:after="0"/>
              <w:rPr>
                <w:sz w:val="20"/>
                <w:szCs w:val="20"/>
                <w:color w:val="auto"/>
              </w:rPr>
            </w:pPr>
            <w:r>
              <w:rPr>
                <w:rFonts w:ascii="Arial" w:cs="Arial" w:eastAsia="Arial" w:hAnsi="Arial"/>
                <w:sz w:val="14"/>
                <w:szCs w:val="14"/>
                <w:color w:val="auto"/>
              </w:rPr>
              <w:t>Carolina</w:t>
            </w:r>
          </w:p>
        </w:tc>
        <w:tc>
          <w:tcPr>
            <w:tcW w:w="700" w:type="dxa"/>
            <w:vAlign w:val="bottom"/>
          </w:tcPr>
          <w:p>
            <w:pPr>
              <w:ind w:left="40"/>
              <w:spacing w:after="0"/>
              <w:rPr>
                <w:sz w:val="20"/>
                <w:szCs w:val="20"/>
                <w:color w:val="auto"/>
              </w:rPr>
            </w:pPr>
            <w:r>
              <w:rPr>
                <w:rFonts w:ascii="Arial" w:cs="Arial" w:eastAsia="Arial" w:hAnsi="Arial"/>
                <w:sz w:val="14"/>
                <w:szCs w:val="14"/>
                <w:color w:val="auto"/>
              </w:rPr>
              <w:t>ENC003</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410</w:t>
            </w:r>
          </w:p>
        </w:tc>
        <w:tc>
          <w:tcPr>
            <w:tcW w:w="1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530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410</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526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936</w:t>
            </w: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130</w:t>
            </w:r>
          </w:p>
        </w:tc>
        <w:tc>
          <w:tcPr>
            <w:tcW w:w="2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163"/>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w:t>
            </w:r>
          </w:p>
        </w:tc>
        <w:tc>
          <w:tcPr>
            <w:tcW w:w="7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Carolina</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ENC004</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402</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516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918</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157"/>
        </w:trPr>
        <w:tc>
          <w:tcPr>
            <w:tcW w:w="840" w:type="dxa"/>
            <w:vAlign w:val="bottom"/>
          </w:tcPr>
          <w:p>
            <w:pPr>
              <w:ind w:left="40"/>
              <w:spacing w:after="0" w:line="157" w:lineRule="exact"/>
              <w:rPr>
                <w:sz w:val="20"/>
                <w:szCs w:val="20"/>
                <w:color w:val="auto"/>
              </w:rPr>
            </w:pPr>
            <w:r>
              <w:rPr>
                <w:rFonts w:ascii="Arial" w:cs="Arial" w:eastAsia="Arial" w:hAnsi="Arial"/>
                <w:sz w:val="14"/>
                <w:szCs w:val="14"/>
                <w:color w:val="auto"/>
              </w:rPr>
              <w:t>North</w:t>
            </w: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40" w:type="dxa"/>
            <w:vAlign w:val="bottom"/>
          </w:tcPr>
          <w:p>
            <w:pPr>
              <w:ind w:left="40"/>
              <w:spacing w:after="0"/>
              <w:rPr>
                <w:sz w:val="20"/>
                <w:szCs w:val="20"/>
                <w:color w:val="auto"/>
              </w:rPr>
            </w:pPr>
            <w:r>
              <w:rPr>
                <w:rFonts w:ascii="Arial" w:cs="Arial" w:eastAsia="Arial" w:hAnsi="Arial"/>
                <w:sz w:val="14"/>
                <w:szCs w:val="14"/>
                <w:color w:val="auto"/>
              </w:rPr>
              <w:t>Carolina</w:t>
            </w:r>
          </w:p>
        </w:tc>
        <w:tc>
          <w:tcPr>
            <w:tcW w:w="700" w:type="dxa"/>
            <w:vAlign w:val="bottom"/>
          </w:tcPr>
          <w:p>
            <w:pPr>
              <w:ind w:left="40"/>
              <w:spacing w:after="0"/>
              <w:rPr>
                <w:sz w:val="20"/>
                <w:szCs w:val="20"/>
                <w:color w:val="auto"/>
              </w:rPr>
            </w:pPr>
            <w:r>
              <w:rPr>
                <w:rFonts w:ascii="Arial" w:cs="Arial" w:eastAsia="Arial" w:hAnsi="Arial"/>
                <w:sz w:val="14"/>
                <w:szCs w:val="14"/>
                <w:color w:val="auto"/>
              </w:rPr>
              <w:t>ENC005</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948</w:t>
            </w:r>
          </w:p>
        </w:tc>
        <w:tc>
          <w:tcPr>
            <w:tcW w:w="1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1,227</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948</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1,227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2,175</w:t>
            </w: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302</w:t>
            </w:r>
          </w:p>
        </w:tc>
        <w:tc>
          <w:tcPr>
            <w:tcW w:w="2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163"/>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w:t>
            </w:r>
          </w:p>
        </w:tc>
        <w:tc>
          <w:tcPr>
            <w:tcW w:w="7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Carolina</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ENC006</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333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592</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157"/>
        </w:trPr>
        <w:tc>
          <w:tcPr>
            <w:tcW w:w="840" w:type="dxa"/>
            <w:vAlign w:val="bottom"/>
          </w:tcPr>
          <w:p>
            <w:pPr>
              <w:ind w:left="40"/>
              <w:spacing w:after="0" w:line="157" w:lineRule="exact"/>
              <w:rPr>
                <w:sz w:val="20"/>
                <w:szCs w:val="20"/>
                <w:color w:val="auto"/>
              </w:rPr>
            </w:pPr>
            <w:r>
              <w:rPr>
                <w:rFonts w:ascii="Arial" w:cs="Arial" w:eastAsia="Arial" w:hAnsi="Arial"/>
                <w:sz w:val="14"/>
                <w:szCs w:val="14"/>
                <w:color w:val="auto"/>
              </w:rPr>
              <w:t>North</w:t>
            </w: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40" w:type="dxa"/>
            <w:vAlign w:val="bottom"/>
          </w:tcPr>
          <w:p>
            <w:pPr>
              <w:ind w:left="40"/>
              <w:spacing w:after="0"/>
              <w:rPr>
                <w:sz w:val="20"/>
                <w:szCs w:val="20"/>
                <w:color w:val="auto"/>
              </w:rPr>
            </w:pPr>
            <w:r>
              <w:rPr>
                <w:rFonts w:ascii="Arial" w:cs="Arial" w:eastAsia="Arial" w:hAnsi="Arial"/>
                <w:sz w:val="14"/>
                <w:szCs w:val="14"/>
                <w:color w:val="auto"/>
              </w:rPr>
              <w:t>Carolina</w:t>
            </w:r>
          </w:p>
        </w:tc>
        <w:tc>
          <w:tcPr>
            <w:tcW w:w="700" w:type="dxa"/>
            <w:vAlign w:val="bottom"/>
          </w:tcPr>
          <w:p>
            <w:pPr>
              <w:ind w:left="40"/>
              <w:spacing w:after="0"/>
              <w:rPr>
                <w:sz w:val="20"/>
                <w:szCs w:val="20"/>
                <w:color w:val="auto"/>
              </w:rPr>
            </w:pPr>
            <w:r>
              <w:rPr>
                <w:rFonts w:ascii="Arial" w:cs="Arial" w:eastAsia="Arial" w:hAnsi="Arial"/>
                <w:sz w:val="14"/>
                <w:szCs w:val="14"/>
                <w:color w:val="auto"/>
              </w:rPr>
              <w:t>ENC007</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349</w:t>
            </w:r>
          </w:p>
        </w:tc>
        <w:tc>
          <w:tcPr>
            <w:tcW w:w="1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349</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452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801</w:t>
            </w: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111</w:t>
            </w:r>
          </w:p>
        </w:tc>
        <w:tc>
          <w:tcPr>
            <w:tcW w:w="2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163"/>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w:t>
            </w:r>
          </w:p>
        </w:tc>
        <w:tc>
          <w:tcPr>
            <w:tcW w:w="7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Carolina</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ENC008</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640</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828</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640</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828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1,468</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157"/>
        </w:trPr>
        <w:tc>
          <w:tcPr>
            <w:tcW w:w="840" w:type="dxa"/>
            <w:vAlign w:val="bottom"/>
          </w:tcPr>
          <w:p>
            <w:pPr>
              <w:ind w:left="40"/>
              <w:spacing w:after="0" w:line="157" w:lineRule="exact"/>
              <w:rPr>
                <w:sz w:val="20"/>
                <w:szCs w:val="20"/>
                <w:color w:val="auto"/>
              </w:rPr>
            </w:pPr>
            <w:r>
              <w:rPr>
                <w:rFonts w:ascii="Arial" w:cs="Arial" w:eastAsia="Arial" w:hAnsi="Arial"/>
                <w:sz w:val="14"/>
                <w:szCs w:val="14"/>
                <w:color w:val="auto"/>
              </w:rPr>
              <w:t>North</w:t>
            </w: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40" w:type="dxa"/>
            <w:vAlign w:val="bottom"/>
          </w:tcPr>
          <w:p>
            <w:pPr>
              <w:ind w:left="40"/>
              <w:spacing w:after="0"/>
              <w:rPr>
                <w:sz w:val="20"/>
                <w:szCs w:val="20"/>
                <w:color w:val="auto"/>
              </w:rPr>
            </w:pPr>
            <w:r>
              <w:rPr>
                <w:rFonts w:ascii="Arial" w:cs="Arial" w:eastAsia="Arial" w:hAnsi="Arial"/>
                <w:sz w:val="14"/>
                <w:szCs w:val="14"/>
                <w:color w:val="auto"/>
              </w:rPr>
              <w:t>Carolina</w:t>
            </w:r>
          </w:p>
        </w:tc>
        <w:tc>
          <w:tcPr>
            <w:tcW w:w="700" w:type="dxa"/>
            <w:vAlign w:val="bottom"/>
          </w:tcPr>
          <w:p>
            <w:pPr>
              <w:ind w:left="40"/>
              <w:spacing w:after="0"/>
              <w:rPr>
                <w:sz w:val="20"/>
                <w:szCs w:val="20"/>
                <w:color w:val="auto"/>
              </w:rPr>
            </w:pPr>
            <w:r>
              <w:rPr>
                <w:rFonts w:ascii="Arial" w:cs="Arial" w:eastAsia="Arial" w:hAnsi="Arial"/>
                <w:sz w:val="14"/>
                <w:szCs w:val="14"/>
                <w:color w:val="auto"/>
              </w:rPr>
              <w:t>ENC009</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409</w:t>
            </w:r>
          </w:p>
        </w:tc>
        <w:tc>
          <w:tcPr>
            <w:tcW w:w="1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531</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409</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531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940</w:t>
            </w: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130</w:t>
            </w:r>
          </w:p>
        </w:tc>
        <w:tc>
          <w:tcPr>
            <w:tcW w:w="2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163"/>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w:t>
            </w:r>
          </w:p>
        </w:tc>
        <w:tc>
          <w:tcPr>
            <w:tcW w:w="7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Carolina</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ENC010</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965</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965</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1,239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2,204</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157"/>
        </w:trPr>
        <w:tc>
          <w:tcPr>
            <w:tcW w:w="840" w:type="dxa"/>
            <w:vAlign w:val="bottom"/>
          </w:tcPr>
          <w:p>
            <w:pPr>
              <w:ind w:left="40"/>
              <w:spacing w:after="0" w:line="157" w:lineRule="exact"/>
              <w:rPr>
                <w:sz w:val="20"/>
                <w:szCs w:val="20"/>
                <w:color w:val="auto"/>
              </w:rPr>
            </w:pPr>
            <w:r>
              <w:rPr>
                <w:rFonts w:ascii="Arial" w:cs="Arial" w:eastAsia="Arial" w:hAnsi="Arial"/>
                <w:sz w:val="14"/>
                <w:szCs w:val="14"/>
                <w:color w:val="auto"/>
              </w:rPr>
              <w:t>North</w:t>
            </w: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40" w:type="dxa"/>
            <w:vAlign w:val="bottom"/>
          </w:tcPr>
          <w:p>
            <w:pPr>
              <w:ind w:left="40"/>
              <w:spacing w:after="0"/>
              <w:rPr>
                <w:sz w:val="20"/>
                <w:szCs w:val="20"/>
                <w:color w:val="auto"/>
              </w:rPr>
            </w:pPr>
            <w:r>
              <w:rPr>
                <w:rFonts w:ascii="Arial" w:cs="Arial" w:eastAsia="Arial" w:hAnsi="Arial"/>
                <w:sz w:val="14"/>
                <w:szCs w:val="14"/>
                <w:color w:val="auto"/>
              </w:rPr>
              <w:t>Carolina</w:t>
            </w:r>
          </w:p>
        </w:tc>
        <w:tc>
          <w:tcPr>
            <w:tcW w:w="700" w:type="dxa"/>
            <w:vAlign w:val="bottom"/>
          </w:tcPr>
          <w:p>
            <w:pPr>
              <w:ind w:left="40"/>
              <w:spacing w:after="0"/>
              <w:rPr>
                <w:sz w:val="20"/>
                <w:szCs w:val="20"/>
                <w:color w:val="auto"/>
              </w:rPr>
            </w:pPr>
            <w:r>
              <w:rPr>
                <w:rFonts w:ascii="Arial" w:cs="Arial" w:eastAsia="Arial" w:hAnsi="Arial"/>
                <w:sz w:val="14"/>
                <w:szCs w:val="14"/>
                <w:color w:val="auto"/>
              </w:rPr>
              <w:t>ENC011</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475</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615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1,090</w:t>
            </w: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151</w:t>
            </w:r>
          </w:p>
        </w:tc>
        <w:tc>
          <w:tcPr>
            <w:tcW w:w="2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163"/>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w:t>
            </w:r>
          </w:p>
        </w:tc>
        <w:tc>
          <w:tcPr>
            <w:tcW w:w="7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Carolina</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ENC012</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494</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494</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634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1,128</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40" w:type="dxa"/>
            <w:vAlign w:val="bottom"/>
          </w:tcPr>
          <w:p>
            <w:pPr>
              <w:ind w:left="40"/>
              <w:spacing w:after="0"/>
              <w:rPr>
                <w:sz w:val="20"/>
                <w:szCs w:val="20"/>
                <w:color w:val="auto"/>
              </w:rPr>
            </w:pPr>
            <w:r>
              <w:rPr>
                <w:rFonts w:ascii="Arial" w:cs="Arial" w:eastAsia="Arial" w:hAnsi="Arial"/>
                <w:sz w:val="14"/>
                <w:szCs w:val="14"/>
                <w:color w:val="auto"/>
              </w:rPr>
              <w:t>Ohio</w:t>
            </w:r>
          </w:p>
        </w:tc>
        <w:tc>
          <w:tcPr>
            <w:tcW w:w="700" w:type="dxa"/>
            <w:vAlign w:val="bottom"/>
          </w:tcPr>
          <w:p>
            <w:pPr>
              <w:ind w:left="40"/>
              <w:spacing w:after="0"/>
              <w:rPr>
                <w:sz w:val="20"/>
                <w:szCs w:val="20"/>
                <w:color w:val="auto"/>
              </w:rPr>
            </w:pPr>
            <w:r>
              <w:rPr>
                <w:rFonts w:ascii="Arial" w:cs="Arial" w:eastAsia="Arial" w:hAnsi="Arial"/>
                <w:sz w:val="14"/>
                <w:szCs w:val="14"/>
                <w:color w:val="auto"/>
              </w:rPr>
              <w:t>EOH001</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562</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434</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562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996</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138</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Ohio</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EOH002</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967</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967</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1,243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2,210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308</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40" w:type="dxa"/>
            <w:vAlign w:val="bottom"/>
          </w:tcPr>
          <w:p>
            <w:pPr>
              <w:ind w:left="40"/>
              <w:spacing w:after="0"/>
              <w:rPr>
                <w:sz w:val="20"/>
                <w:szCs w:val="20"/>
                <w:color w:val="auto"/>
              </w:rPr>
            </w:pPr>
            <w:r>
              <w:rPr>
                <w:rFonts w:ascii="Arial" w:cs="Arial" w:eastAsia="Arial" w:hAnsi="Arial"/>
                <w:sz w:val="14"/>
                <w:szCs w:val="14"/>
                <w:color w:val="auto"/>
              </w:rPr>
              <w:t>Ohio</w:t>
            </w:r>
          </w:p>
        </w:tc>
        <w:tc>
          <w:tcPr>
            <w:tcW w:w="700" w:type="dxa"/>
            <w:vAlign w:val="bottom"/>
          </w:tcPr>
          <w:p>
            <w:pPr>
              <w:ind w:left="40"/>
              <w:spacing w:after="0"/>
              <w:rPr>
                <w:sz w:val="20"/>
                <w:szCs w:val="20"/>
                <w:color w:val="auto"/>
              </w:rPr>
            </w:pPr>
            <w:r>
              <w:rPr>
                <w:rFonts w:ascii="Arial" w:cs="Arial" w:eastAsia="Arial" w:hAnsi="Arial"/>
                <w:sz w:val="14"/>
                <w:szCs w:val="14"/>
                <w:color w:val="auto"/>
              </w:rPr>
              <w:t>EOH003</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365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281</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643</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Ohio</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EOH004</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393</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508</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393</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508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901</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40" w:type="dxa"/>
            <w:vAlign w:val="bottom"/>
          </w:tcPr>
          <w:p>
            <w:pPr>
              <w:ind w:left="40"/>
              <w:spacing w:after="0"/>
              <w:rPr>
                <w:sz w:val="20"/>
                <w:szCs w:val="20"/>
                <w:color w:val="auto"/>
              </w:rPr>
            </w:pPr>
            <w:r>
              <w:rPr>
                <w:rFonts w:ascii="Arial" w:cs="Arial" w:eastAsia="Arial" w:hAnsi="Arial"/>
                <w:sz w:val="14"/>
                <w:szCs w:val="14"/>
                <w:color w:val="auto"/>
              </w:rPr>
              <w:t>Oklahoma</w:t>
            </w:r>
          </w:p>
        </w:tc>
        <w:tc>
          <w:tcPr>
            <w:tcW w:w="700" w:type="dxa"/>
            <w:vAlign w:val="bottom"/>
          </w:tcPr>
          <w:p>
            <w:pPr>
              <w:ind w:left="40"/>
              <w:spacing w:after="0"/>
              <w:rPr>
                <w:sz w:val="20"/>
                <w:szCs w:val="20"/>
                <w:color w:val="auto"/>
              </w:rPr>
            </w:pPr>
            <w:r>
              <w:rPr>
                <w:rFonts w:ascii="Arial" w:cs="Arial" w:eastAsia="Arial" w:hAnsi="Arial"/>
                <w:sz w:val="14"/>
                <w:szCs w:val="14"/>
                <w:color w:val="auto"/>
              </w:rPr>
              <w:t>EOK001</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431</w:t>
            </w:r>
          </w:p>
        </w:tc>
        <w:tc>
          <w:tcPr>
            <w:tcW w:w="1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557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431</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553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984</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137</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Oklahoma</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EOK002</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954</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1,235</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954</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1,235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2,189</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304</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40" w:type="dxa"/>
            <w:vAlign w:val="bottom"/>
          </w:tcPr>
          <w:p>
            <w:pPr>
              <w:ind w:left="40"/>
              <w:spacing w:after="0"/>
              <w:rPr>
                <w:sz w:val="20"/>
                <w:szCs w:val="20"/>
                <w:color w:val="auto"/>
              </w:rPr>
            </w:pPr>
            <w:r>
              <w:rPr>
                <w:rFonts w:ascii="Arial" w:cs="Arial" w:eastAsia="Arial" w:hAnsi="Arial"/>
                <w:sz w:val="14"/>
                <w:szCs w:val="14"/>
                <w:color w:val="auto"/>
              </w:rPr>
              <w:t>Oregon</w:t>
            </w:r>
          </w:p>
        </w:tc>
        <w:tc>
          <w:tcPr>
            <w:tcW w:w="700" w:type="dxa"/>
            <w:vAlign w:val="bottom"/>
          </w:tcPr>
          <w:p>
            <w:pPr>
              <w:ind w:left="40"/>
              <w:spacing w:after="0"/>
              <w:rPr>
                <w:sz w:val="20"/>
                <w:szCs w:val="20"/>
                <w:color w:val="auto"/>
              </w:rPr>
            </w:pPr>
            <w:r>
              <w:rPr>
                <w:rFonts w:ascii="Arial" w:cs="Arial" w:eastAsia="Arial" w:hAnsi="Arial"/>
                <w:sz w:val="14"/>
                <w:szCs w:val="14"/>
                <w:color w:val="auto"/>
              </w:rPr>
              <w:t>EOR002</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508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393</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504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897</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125</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3"/>
              </w:rPr>
              <w:t>Pennsylvania</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EPA001</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407</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527</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407</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527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934</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40" w:type="dxa"/>
            <w:vAlign w:val="bottom"/>
          </w:tcPr>
          <w:p>
            <w:pPr>
              <w:ind w:left="40"/>
              <w:spacing w:after="0"/>
              <w:rPr>
                <w:sz w:val="20"/>
                <w:szCs w:val="20"/>
                <w:color w:val="auto"/>
              </w:rPr>
            </w:pPr>
            <w:r>
              <w:rPr>
                <w:rFonts w:ascii="Arial" w:cs="Arial" w:eastAsia="Arial" w:hAnsi="Arial"/>
                <w:sz w:val="14"/>
                <w:szCs w:val="14"/>
                <w:color w:val="auto"/>
                <w:w w:val="93"/>
              </w:rPr>
              <w:t>Pennsylvania</w:t>
            </w:r>
          </w:p>
        </w:tc>
        <w:tc>
          <w:tcPr>
            <w:tcW w:w="700" w:type="dxa"/>
            <w:vAlign w:val="bottom"/>
          </w:tcPr>
          <w:p>
            <w:pPr>
              <w:ind w:left="40"/>
              <w:spacing w:after="0"/>
              <w:rPr>
                <w:sz w:val="20"/>
                <w:szCs w:val="20"/>
                <w:color w:val="auto"/>
              </w:rPr>
            </w:pPr>
            <w:r>
              <w:rPr>
                <w:rFonts w:ascii="Arial" w:cs="Arial" w:eastAsia="Arial" w:hAnsi="Arial"/>
                <w:sz w:val="14"/>
                <w:szCs w:val="14"/>
                <w:color w:val="auto"/>
              </w:rPr>
              <w:t>EPA002</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421</w:t>
            </w:r>
          </w:p>
        </w:tc>
        <w:tc>
          <w:tcPr>
            <w:tcW w:w="1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544</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421</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544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965</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134</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3"/>
              </w:rPr>
              <w:t>Pennsylvania</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EPA003</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409</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409</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524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933</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40" w:type="dxa"/>
            <w:vAlign w:val="bottom"/>
          </w:tcPr>
          <w:p>
            <w:pPr>
              <w:ind w:left="40"/>
              <w:spacing w:after="0"/>
              <w:rPr>
                <w:sz w:val="20"/>
                <w:szCs w:val="20"/>
                <w:color w:val="auto"/>
              </w:rPr>
            </w:pPr>
            <w:r>
              <w:rPr>
                <w:rFonts w:ascii="Arial" w:cs="Arial" w:eastAsia="Arial" w:hAnsi="Arial"/>
                <w:sz w:val="14"/>
                <w:szCs w:val="14"/>
                <w:color w:val="auto"/>
                <w:w w:val="93"/>
              </w:rPr>
              <w:t>Pennsylvania</w:t>
            </w:r>
          </w:p>
        </w:tc>
        <w:tc>
          <w:tcPr>
            <w:tcW w:w="700" w:type="dxa"/>
            <w:vAlign w:val="bottom"/>
          </w:tcPr>
          <w:p>
            <w:pPr>
              <w:ind w:left="40"/>
              <w:spacing w:after="0"/>
              <w:rPr>
                <w:sz w:val="20"/>
                <w:szCs w:val="20"/>
                <w:color w:val="auto"/>
              </w:rPr>
            </w:pPr>
            <w:r>
              <w:rPr>
                <w:rFonts w:ascii="Arial" w:cs="Arial" w:eastAsia="Arial" w:hAnsi="Arial"/>
                <w:sz w:val="14"/>
                <w:szCs w:val="14"/>
                <w:color w:val="auto"/>
              </w:rPr>
              <w:t>EPA004</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527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407</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524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931</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130</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Puerto Rico</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EPR001</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950</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1,230</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950</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1,230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40" w:type="dxa"/>
            <w:vAlign w:val="bottom"/>
          </w:tcPr>
          <w:p>
            <w:pPr>
              <w:ind w:left="40"/>
              <w:spacing w:after="0"/>
              <w:rPr>
                <w:sz w:val="20"/>
                <w:szCs w:val="20"/>
                <w:color w:val="auto"/>
              </w:rPr>
            </w:pPr>
            <w:r>
              <w:rPr>
                <w:rFonts w:ascii="Arial" w:cs="Arial" w:eastAsia="Arial" w:hAnsi="Arial"/>
                <w:sz w:val="14"/>
                <w:szCs w:val="14"/>
                <w:color w:val="auto"/>
                <w:w w:val="94"/>
              </w:rPr>
              <w:t>Rhode Island</w:t>
            </w:r>
          </w:p>
        </w:tc>
        <w:tc>
          <w:tcPr>
            <w:tcW w:w="700" w:type="dxa"/>
            <w:vAlign w:val="bottom"/>
          </w:tcPr>
          <w:p>
            <w:pPr>
              <w:ind w:left="40"/>
              <w:spacing w:after="0"/>
              <w:rPr>
                <w:sz w:val="20"/>
                <w:szCs w:val="20"/>
                <w:color w:val="auto"/>
              </w:rPr>
            </w:pPr>
            <w:r>
              <w:rPr>
                <w:rFonts w:ascii="Arial" w:cs="Arial" w:eastAsia="Arial" w:hAnsi="Arial"/>
                <w:sz w:val="14"/>
                <w:szCs w:val="14"/>
                <w:color w:val="auto"/>
              </w:rPr>
              <w:t>ERI001</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850</w:t>
            </w:r>
          </w:p>
        </w:tc>
        <w:tc>
          <w:tcPr>
            <w:tcW w:w="1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850</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1,092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1,942</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271</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163"/>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South</w:t>
            </w:r>
          </w:p>
        </w:tc>
        <w:tc>
          <w:tcPr>
            <w:tcW w:w="7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Carolina</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ESC001</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943</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943</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1,211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2,154</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157"/>
        </w:trPr>
        <w:tc>
          <w:tcPr>
            <w:tcW w:w="840" w:type="dxa"/>
            <w:vAlign w:val="bottom"/>
          </w:tcPr>
          <w:p>
            <w:pPr>
              <w:ind w:left="40"/>
              <w:spacing w:after="0" w:line="157" w:lineRule="exact"/>
              <w:rPr>
                <w:sz w:val="20"/>
                <w:szCs w:val="20"/>
                <w:color w:val="auto"/>
              </w:rPr>
            </w:pPr>
            <w:r>
              <w:rPr>
                <w:rFonts w:ascii="Arial" w:cs="Arial" w:eastAsia="Arial" w:hAnsi="Arial"/>
                <w:sz w:val="14"/>
                <w:szCs w:val="14"/>
                <w:color w:val="auto"/>
              </w:rPr>
              <w:t>South</w:t>
            </w: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40" w:type="dxa"/>
            <w:vAlign w:val="bottom"/>
          </w:tcPr>
          <w:p>
            <w:pPr>
              <w:ind w:left="40"/>
              <w:spacing w:after="0"/>
              <w:rPr>
                <w:sz w:val="20"/>
                <w:szCs w:val="20"/>
                <w:color w:val="auto"/>
              </w:rPr>
            </w:pPr>
            <w:r>
              <w:rPr>
                <w:rFonts w:ascii="Arial" w:cs="Arial" w:eastAsia="Arial" w:hAnsi="Arial"/>
                <w:sz w:val="14"/>
                <w:szCs w:val="14"/>
                <w:color w:val="auto"/>
              </w:rPr>
              <w:t>Carolina</w:t>
            </w:r>
          </w:p>
        </w:tc>
        <w:tc>
          <w:tcPr>
            <w:tcW w:w="700" w:type="dxa"/>
            <w:vAlign w:val="bottom"/>
          </w:tcPr>
          <w:p>
            <w:pPr>
              <w:ind w:left="40"/>
              <w:spacing w:after="0"/>
              <w:rPr>
                <w:sz w:val="20"/>
                <w:szCs w:val="20"/>
                <w:color w:val="auto"/>
              </w:rPr>
            </w:pPr>
            <w:r>
              <w:rPr>
                <w:rFonts w:ascii="Arial" w:cs="Arial" w:eastAsia="Arial" w:hAnsi="Arial"/>
                <w:sz w:val="14"/>
                <w:szCs w:val="14"/>
                <w:color w:val="auto"/>
              </w:rPr>
              <w:t>ESC002</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332</w:t>
            </w:r>
          </w:p>
        </w:tc>
        <w:tc>
          <w:tcPr>
            <w:tcW w:w="1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332</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429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761</w:t>
            </w: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106</w:t>
            </w:r>
          </w:p>
        </w:tc>
        <w:tc>
          <w:tcPr>
            <w:tcW w:w="2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163"/>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South</w:t>
            </w:r>
          </w:p>
        </w:tc>
        <w:tc>
          <w:tcPr>
            <w:tcW w:w="7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Carolina</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ESC003</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924</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1,196</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924</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1,196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2,120</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294</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58"/>
        </w:trPr>
        <w:tc>
          <w:tcPr>
            <w:tcW w:w="840" w:type="dxa"/>
            <w:vAlign w:val="bottom"/>
          </w:tcPr>
          <w:p>
            <w:pPr>
              <w:ind w:left="40"/>
              <w:spacing w:after="0"/>
              <w:rPr>
                <w:sz w:val="20"/>
                <w:szCs w:val="20"/>
                <w:color w:val="auto"/>
              </w:rPr>
            </w:pPr>
            <w:r>
              <w:rPr>
                <w:rFonts w:ascii="Arial" w:cs="Arial" w:eastAsia="Arial" w:hAnsi="Arial"/>
                <w:sz w:val="14"/>
                <w:szCs w:val="14"/>
                <w:color w:val="auto"/>
              </w:rPr>
              <w:t>Tennessee</w:t>
            </w:r>
          </w:p>
        </w:tc>
        <w:tc>
          <w:tcPr>
            <w:tcW w:w="700" w:type="dxa"/>
            <w:vAlign w:val="bottom"/>
          </w:tcPr>
          <w:p>
            <w:pPr>
              <w:ind w:left="40"/>
              <w:spacing w:after="0"/>
              <w:rPr>
                <w:sz w:val="20"/>
                <w:szCs w:val="20"/>
                <w:color w:val="auto"/>
              </w:rPr>
            </w:pPr>
            <w:r>
              <w:rPr>
                <w:rFonts w:ascii="Arial" w:cs="Arial" w:eastAsia="Arial" w:hAnsi="Arial"/>
                <w:sz w:val="14"/>
                <w:szCs w:val="14"/>
                <w:color w:val="auto"/>
              </w:rPr>
              <w:t>ETN001</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260</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338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598</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83</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56" w:right="239" w:bottom="1440" w:gutter="0" w:footer="0" w:header="0"/>
        </w:sectPr>
      </w:pPr>
    </w:p>
    <w:p>
      <w:pPr>
        <w:spacing w:after="0" w:line="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420"/>
          </w:cols>
          <w:pgMar w:left="240" w:top="256" w:right="239" w:bottom="1440" w:gutter="0" w:footer="0" w:header="0"/>
          <w:type w:val="continuous"/>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2013</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center"/>
              <w:ind w:left="548"/>
              <w:spacing w:after="0"/>
              <w:rPr>
                <w:sz w:val="20"/>
                <w:szCs w:val="20"/>
                <w:color w:val="auto"/>
              </w:rPr>
            </w:pPr>
            <w:r>
              <w:rPr>
                <w:rFonts w:ascii="Arial" w:cs="Arial" w:eastAsia="Arial" w:hAnsi="Arial"/>
                <w:sz w:val="14"/>
                <w:szCs w:val="14"/>
                <w:b w:val="1"/>
                <w:bCs w:val="1"/>
                <w:color w:val="auto"/>
                <w:w w:val="94"/>
              </w:rPr>
              <w:t>Gross Amount Carried</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Initial Cost to Company</w:t>
            </w: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Cost</w:t>
            </w:r>
          </w:p>
        </w:tc>
        <w:tc>
          <w:tcPr>
            <w:tcW w:w="7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2"/>
              </w:rPr>
              <w:t>at Close of Period</w:t>
            </w:r>
          </w:p>
        </w:tc>
        <w:tc>
          <w:tcPr>
            <w:tcW w:w="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Building and</w:t>
            </w: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7"/>
              </w:rPr>
              <w:t>Capitalized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4"/>
              </w:rPr>
              <w:t>Building and</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Depreciable</w:t>
            </w:r>
          </w:p>
        </w:tc>
        <w:tc>
          <w:tcPr>
            <w:tcW w:w="0" w:type="dxa"/>
            <w:vAlign w:val="bottom"/>
          </w:tcPr>
          <w:p>
            <w:pPr>
              <w:spacing w:after="0"/>
              <w:rPr>
                <w:sz w:val="1"/>
                <w:szCs w:val="1"/>
                <w:color w:val="auto"/>
              </w:rPr>
            </w:pPr>
          </w:p>
        </w:tc>
      </w:tr>
      <w:tr>
        <w:trPr>
          <w:trHeight w:val="149"/>
        </w:trPr>
        <w:tc>
          <w:tcPr>
            <w:tcW w:w="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State</w:t>
            </w: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Land</w:t>
            </w:r>
          </w:p>
        </w:tc>
        <w:tc>
          <w:tcPr>
            <w:tcW w:w="120" w:type="dxa"/>
            <w:vAlign w:val="bottom"/>
            <w:vMerge w:val="restart"/>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Subsequent to</w:t>
            </w: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Land</w:t>
            </w: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6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220" w:type="dxa"/>
            <w:vAlign w:val="bottom"/>
            <w:vMerge w:val="restart"/>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92"/>
        </w:trPr>
        <w:tc>
          <w:tcPr>
            <w:tcW w:w="82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w w:val="93"/>
              </w:rPr>
              <w:t>Encumbrances</w:t>
            </w:r>
          </w:p>
        </w:tc>
        <w:tc>
          <w:tcPr>
            <w:tcW w:w="4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Improvements</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Acquisition(2)</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Improvements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Depreciation</w:t>
            </w:r>
          </w:p>
        </w:tc>
        <w:tc>
          <w:tcPr>
            <w:tcW w:w="2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Texas</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ETX001</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1,045</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1,353</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1,045</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1,353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2,398</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333</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Texas</w:t>
            </w:r>
          </w:p>
        </w:tc>
        <w:tc>
          <w:tcPr>
            <w:tcW w:w="680" w:type="dxa"/>
            <w:vAlign w:val="bottom"/>
          </w:tcPr>
          <w:p>
            <w:pPr>
              <w:ind w:left="20"/>
              <w:spacing w:after="0"/>
              <w:rPr>
                <w:sz w:val="20"/>
                <w:szCs w:val="20"/>
                <w:color w:val="auto"/>
              </w:rPr>
            </w:pPr>
            <w:r>
              <w:rPr>
                <w:rFonts w:ascii="Arial" w:cs="Arial" w:eastAsia="Arial" w:hAnsi="Arial"/>
                <w:sz w:val="14"/>
                <w:szCs w:val="14"/>
                <w:color w:val="auto"/>
              </w:rPr>
              <w:t>ETX002</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593</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767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593</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761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1,354</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189</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Texas</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ETX003</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985</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1,276</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985</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1,276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2,261</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314</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Texas</w:t>
            </w:r>
          </w:p>
        </w:tc>
        <w:tc>
          <w:tcPr>
            <w:tcW w:w="680" w:type="dxa"/>
            <w:vAlign w:val="bottom"/>
          </w:tcPr>
          <w:p>
            <w:pPr>
              <w:ind w:left="20"/>
              <w:spacing w:after="0"/>
              <w:rPr>
                <w:sz w:val="20"/>
                <w:szCs w:val="20"/>
                <w:color w:val="auto"/>
              </w:rPr>
            </w:pPr>
            <w:r>
              <w:rPr>
                <w:rFonts w:ascii="Arial" w:cs="Arial" w:eastAsia="Arial" w:hAnsi="Arial"/>
                <w:sz w:val="14"/>
                <w:szCs w:val="14"/>
                <w:color w:val="auto"/>
              </w:rPr>
              <w:t>ETX004</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838</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1,083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838</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1,075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1,913</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267</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Texas</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ETX005</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528</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528</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677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1,205</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Texas</w:t>
            </w:r>
          </w:p>
        </w:tc>
        <w:tc>
          <w:tcPr>
            <w:tcW w:w="680" w:type="dxa"/>
            <w:vAlign w:val="bottom"/>
          </w:tcPr>
          <w:p>
            <w:pPr>
              <w:ind w:left="20"/>
              <w:spacing w:after="0"/>
              <w:rPr>
                <w:sz w:val="20"/>
                <w:szCs w:val="20"/>
                <w:color w:val="auto"/>
              </w:rPr>
            </w:pPr>
            <w:r>
              <w:rPr>
                <w:rFonts w:ascii="Arial" w:cs="Arial" w:eastAsia="Arial" w:hAnsi="Arial"/>
                <w:sz w:val="14"/>
                <w:szCs w:val="14"/>
                <w:color w:val="auto"/>
              </w:rPr>
              <w:t>ETX006</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480</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622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480</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618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1,098</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153</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Texas</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ETX007</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975</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975</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1,251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2,226</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310</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Texas</w:t>
            </w:r>
          </w:p>
        </w:tc>
        <w:tc>
          <w:tcPr>
            <w:tcW w:w="680" w:type="dxa"/>
            <w:vAlign w:val="bottom"/>
          </w:tcPr>
          <w:p>
            <w:pPr>
              <w:ind w:left="20"/>
              <w:spacing w:after="0"/>
              <w:rPr>
                <w:sz w:val="20"/>
                <w:szCs w:val="20"/>
                <w:color w:val="auto"/>
              </w:rPr>
            </w:pPr>
            <w:r>
              <w:rPr>
                <w:rFonts w:ascii="Arial" w:cs="Arial" w:eastAsia="Arial" w:hAnsi="Arial"/>
                <w:sz w:val="14"/>
                <w:szCs w:val="14"/>
                <w:color w:val="auto"/>
              </w:rPr>
              <w:t>ETX008</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1,108</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1,433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1,108</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1,423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2,531</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353</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Texas</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ETX009</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425</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425</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491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916</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Texas</w:t>
            </w:r>
          </w:p>
        </w:tc>
        <w:tc>
          <w:tcPr>
            <w:tcW w:w="680" w:type="dxa"/>
            <w:vAlign w:val="bottom"/>
          </w:tcPr>
          <w:p>
            <w:pPr>
              <w:ind w:left="20"/>
              <w:spacing w:after="0"/>
              <w:rPr>
                <w:sz w:val="20"/>
                <w:szCs w:val="20"/>
                <w:color w:val="auto"/>
              </w:rPr>
            </w:pPr>
            <w:r>
              <w:rPr>
                <w:rFonts w:ascii="Arial" w:cs="Arial" w:eastAsia="Arial" w:hAnsi="Arial"/>
                <w:sz w:val="14"/>
                <w:szCs w:val="14"/>
                <w:color w:val="auto"/>
              </w:rPr>
              <w:t>ETX010</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518</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671</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518</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671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1,189</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165</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Texas</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ETX011</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758</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981</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758</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982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1,740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Texas</w:t>
            </w:r>
          </w:p>
        </w:tc>
        <w:tc>
          <w:tcPr>
            <w:tcW w:w="680" w:type="dxa"/>
            <w:vAlign w:val="bottom"/>
          </w:tcPr>
          <w:p>
            <w:pPr>
              <w:ind w:left="20"/>
              <w:spacing w:after="0"/>
              <w:rPr>
                <w:sz w:val="20"/>
                <w:szCs w:val="20"/>
                <w:color w:val="auto"/>
              </w:rPr>
            </w:pPr>
            <w:r>
              <w:rPr>
                <w:rFonts w:ascii="Arial" w:cs="Arial" w:eastAsia="Arial" w:hAnsi="Arial"/>
                <w:sz w:val="14"/>
                <w:szCs w:val="14"/>
                <w:color w:val="auto"/>
              </w:rPr>
              <w:t>ETX013</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375</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485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375</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482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857</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119</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Texas</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ETX014</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438</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438</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563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1,001</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Texas</w:t>
            </w:r>
          </w:p>
        </w:tc>
        <w:tc>
          <w:tcPr>
            <w:tcW w:w="680" w:type="dxa"/>
            <w:vAlign w:val="bottom"/>
          </w:tcPr>
          <w:p>
            <w:pPr>
              <w:ind w:left="20"/>
              <w:spacing w:after="0"/>
              <w:rPr>
                <w:sz w:val="20"/>
                <w:szCs w:val="20"/>
                <w:color w:val="auto"/>
              </w:rPr>
            </w:pPr>
            <w:r>
              <w:rPr>
                <w:rFonts w:ascii="Arial" w:cs="Arial" w:eastAsia="Arial" w:hAnsi="Arial"/>
                <w:sz w:val="14"/>
                <w:szCs w:val="14"/>
                <w:color w:val="auto"/>
              </w:rPr>
              <w:t>ETX017</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561</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726</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561</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726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1,287</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179</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Texas</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ETX018</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753</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976</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753</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976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1,729</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Texas</w:t>
            </w:r>
          </w:p>
        </w:tc>
        <w:tc>
          <w:tcPr>
            <w:tcW w:w="680" w:type="dxa"/>
            <w:vAlign w:val="bottom"/>
          </w:tcPr>
          <w:p>
            <w:pPr>
              <w:ind w:left="20"/>
              <w:spacing w:after="0"/>
              <w:rPr>
                <w:sz w:val="20"/>
                <w:szCs w:val="20"/>
                <w:color w:val="auto"/>
              </w:rPr>
            </w:pPr>
            <w:r>
              <w:rPr>
                <w:rFonts w:ascii="Arial" w:cs="Arial" w:eastAsia="Arial" w:hAnsi="Arial"/>
                <w:sz w:val="14"/>
                <w:szCs w:val="14"/>
                <w:color w:val="auto"/>
              </w:rPr>
              <w:t>ETX019</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521</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675</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521</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675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1,196</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166</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Texas</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ETX020</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634</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634</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815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1,449</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Texas</w:t>
            </w:r>
          </w:p>
        </w:tc>
        <w:tc>
          <w:tcPr>
            <w:tcW w:w="680" w:type="dxa"/>
            <w:vAlign w:val="bottom"/>
          </w:tcPr>
          <w:p>
            <w:pPr>
              <w:ind w:left="20"/>
              <w:spacing w:after="0"/>
              <w:rPr>
                <w:sz w:val="20"/>
                <w:szCs w:val="20"/>
                <w:color w:val="auto"/>
              </w:rPr>
            </w:pPr>
            <w:r>
              <w:rPr>
                <w:rFonts w:ascii="Arial" w:cs="Arial" w:eastAsia="Arial" w:hAnsi="Arial"/>
                <w:sz w:val="14"/>
                <w:szCs w:val="14"/>
                <w:color w:val="auto"/>
              </w:rPr>
              <w:t>ETX021</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379</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491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379</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866</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121</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Texas</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ETX022</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592</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766</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592</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766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1,358</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Utah</w:t>
            </w:r>
          </w:p>
        </w:tc>
        <w:tc>
          <w:tcPr>
            <w:tcW w:w="680" w:type="dxa"/>
            <w:vAlign w:val="bottom"/>
          </w:tcPr>
          <w:p>
            <w:pPr>
              <w:ind w:left="20"/>
              <w:spacing w:after="0"/>
              <w:rPr>
                <w:sz w:val="20"/>
                <w:szCs w:val="20"/>
                <w:color w:val="auto"/>
              </w:rPr>
            </w:pPr>
            <w:r>
              <w:rPr>
                <w:rFonts w:ascii="Arial" w:cs="Arial" w:eastAsia="Arial" w:hAnsi="Arial"/>
                <w:sz w:val="14"/>
                <w:szCs w:val="14"/>
                <w:color w:val="auto"/>
              </w:rPr>
              <w:t>EUT001</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624</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808</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624</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808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1,432</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199</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EVA001</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1,134</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1,467</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1,134</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1,467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2,601</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361</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Virginia</w:t>
            </w:r>
          </w:p>
        </w:tc>
        <w:tc>
          <w:tcPr>
            <w:tcW w:w="680" w:type="dxa"/>
            <w:vAlign w:val="bottom"/>
          </w:tcPr>
          <w:p>
            <w:pPr>
              <w:ind w:left="20"/>
              <w:spacing w:after="0"/>
              <w:rPr>
                <w:sz w:val="20"/>
                <w:szCs w:val="20"/>
                <w:color w:val="auto"/>
              </w:rPr>
            </w:pPr>
            <w:r>
              <w:rPr>
                <w:rFonts w:ascii="Arial" w:cs="Arial" w:eastAsia="Arial" w:hAnsi="Arial"/>
                <w:sz w:val="14"/>
                <w:szCs w:val="14"/>
                <w:color w:val="auto"/>
              </w:rPr>
              <w:t>EVA002</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845</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1,094</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845</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1,094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1,939</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269</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EVA003</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884</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884</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1,136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2,020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Virginia</w:t>
            </w:r>
          </w:p>
        </w:tc>
        <w:tc>
          <w:tcPr>
            <w:tcW w:w="680" w:type="dxa"/>
            <w:vAlign w:val="bottom"/>
          </w:tcPr>
          <w:p>
            <w:pPr>
              <w:ind w:left="20"/>
              <w:spacing w:after="0"/>
              <w:rPr>
                <w:sz w:val="20"/>
                <w:szCs w:val="20"/>
                <w:color w:val="auto"/>
              </w:rPr>
            </w:pPr>
            <w:r>
              <w:rPr>
                <w:rFonts w:ascii="Arial" w:cs="Arial" w:eastAsia="Arial" w:hAnsi="Arial"/>
                <w:sz w:val="14"/>
                <w:szCs w:val="14"/>
                <w:color w:val="auto"/>
              </w:rPr>
              <w:t>EVA004</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953</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1,233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953</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1,223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2,176</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303</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EVA005</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487</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632</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487</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632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1,119</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Virginia</w:t>
            </w:r>
          </w:p>
        </w:tc>
        <w:tc>
          <w:tcPr>
            <w:tcW w:w="680" w:type="dxa"/>
            <w:vAlign w:val="bottom"/>
          </w:tcPr>
          <w:p>
            <w:pPr>
              <w:ind w:left="20"/>
              <w:spacing w:after="0"/>
              <w:rPr>
                <w:sz w:val="20"/>
                <w:szCs w:val="20"/>
                <w:color w:val="auto"/>
              </w:rPr>
            </w:pPr>
            <w:r>
              <w:rPr>
                <w:rFonts w:ascii="Arial" w:cs="Arial" w:eastAsia="Arial" w:hAnsi="Arial"/>
                <w:sz w:val="14"/>
                <w:szCs w:val="14"/>
                <w:color w:val="auto"/>
              </w:rPr>
              <w:t>EVA006</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425</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550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425</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546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971</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135</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EVA007</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1,151</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1,151</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1,479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2,630</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367</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Virginia</w:t>
            </w:r>
          </w:p>
        </w:tc>
        <w:tc>
          <w:tcPr>
            <w:tcW w:w="680" w:type="dxa"/>
            <w:vAlign w:val="bottom"/>
          </w:tcPr>
          <w:p>
            <w:pPr>
              <w:ind w:left="20"/>
              <w:spacing w:after="0"/>
              <w:rPr>
                <w:sz w:val="20"/>
                <w:szCs w:val="20"/>
                <w:color w:val="auto"/>
              </w:rPr>
            </w:pPr>
            <w:r>
              <w:rPr>
                <w:rFonts w:ascii="Arial" w:cs="Arial" w:eastAsia="Arial" w:hAnsi="Arial"/>
                <w:sz w:val="14"/>
                <w:szCs w:val="14"/>
                <w:color w:val="auto"/>
              </w:rPr>
              <w:t>EVA008</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546</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707</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546</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707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1,253</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174</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EVA009</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851</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1,103</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851</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1,103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1,954</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271</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Virginia</w:t>
            </w:r>
          </w:p>
        </w:tc>
        <w:tc>
          <w:tcPr>
            <w:tcW w:w="680" w:type="dxa"/>
            <w:vAlign w:val="bottom"/>
          </w:tcPr>
          <w:p>
            <w:pPr>
              <w:ind w:left="20"/>
              <w:spacing w:after="0"/>
              <w:rPr>
                <w:sz w:val="20"/>
                <w:szCs w:val="20"/>
                <w:color w:val="auto"/>
              </w:rPr>
            </w:pPr>
            <w:r>
              <w:rPr>
                <w:rFonts w:ascii="Arial" w:cs="Arial" w:eastAsia="Arial" w:hAnsi="Arial"/>
                <w:sz w:val="14"/>
                <w:szCs w:val="14"/>
                <w:color w:val="auto"/>
              </w:rPr>
              <w:t>EVA010</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819</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1,061</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819</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1,061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1,880</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261</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EVA011</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958</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1,240</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958</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1,240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2,198</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Virginia</w:t>
            </w:r>
          </w:p>
        </w:tc>
        <w:tc>
          <w:tcPr>
            <w:tcW w:w="680" w:type="dxa"/>
            <w:vAlign w:val="bottom"/>
          </w:tcPr>
          <w:p>
            <w:pPr>
              <w:ind w:left="20"/>
              <w:spacing w:after="0"/>
              <w:rPr>
                <w:sz w:val="20"/>
                <w:szCs w:val="20"/>
                <w:color w:val="auto"/>
              </w:rPr>
            </w:pPr>
            <w:r>
              <w:rPr>
                <w:rFonts w:ascii="Arial" w:cs="Arial" w:eastAsia="Arial" w:hAnsi="Arial"/>
                <w:sz w:val="14"/>
                <w:szCs w:val="14"/>
                <w:color w:val="auto"/>
              </w:rPr>
              <w:t>EVA012</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788</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1,020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788</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1,012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1,800</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251</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EVA013</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554</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554</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711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1,265</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4"/>
                <w:szCs w:val="14"/>
                <w:color w:val="auto"/>
              </w:rPr>
              <w:t>Washington</w:t>
            </w:r>
          </w:p>
        </w:tc>
        <w:tc>
          <w:tcPr>
            <w:tcW w:w="680" w:type="dxa"/>
            <w:vAlign w:val="bottom"/>
          </w:tcPr>
          <w:p>
            <w:pPr>
              <w:ind w:left="20"/>
              <w:spacing w:after="0"/>
              <w:rPr>
                <w:sz w:val="20"/>
                <w:szCs w:val="20"/>
                <w:color w:val="auto"/>
              </w:rPr>
            </w:pPr>
            <w:r>
              <w:rPr>
                <w:rFonts w:ascii="Arial" w:cs="Arial" w:eastAsia="Arial" w:hAnsi="Arial"/>
                <w:sz w:val="14"/>
                <w:szCs w:val="14"/>
                <w:color w:val="auto"/>
              </w:rPr>
              <w:t>EWA001</w:t>
            </w:r>
          </w:p>
        </w:tc>
        <w:tc>
          <w:tcPr>
            <w:tcW w:w="84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1,500</w:t>
            </w: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6,500</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1,500</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6,500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8,000</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1,927</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2003</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Wisconsin</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EWI001</w:t>
            </w:r>
          </w:p>
        </w:tc>
        <w:tc>
          <w:tcPr>
            <w:tcW w:w="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521</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673</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521</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675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1,196</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256"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2013</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6"/>
          </w:tcPr>
          <w:p>
            <w:pPr>
              <w:jc w:val="center"/>
              <w:ind w:left="388"/>
              <w:spacing w:after="0"/>
              <w:rPr>
                <w:sz w:val="20"/>
                <w:szCs w:val="20"/>
                <w:color w:val="auto"/>
              </w:rPr>
            </w:pPr>
            <w:r>
              <w:rPr>
                <w:rFonts w:ascii="Arial" w:cs="Arial" w:eastAsia="Arial" w:hAnsi="Arial"/>
                <w:sz w:val="14"/>
                <w:szCs w:val="14"/>
                <w:b w:val="1"/>
                <w:bCs w:val="1"/>
                <w:color w:val="auto"/>
                <w:w w:val="94"/>
              </w:rPr>
              <w:t>Gross Amount Carried</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w w:val="97"/>
              </w:rPr>
              <w:t>Initial Cost to Company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at Close of Period</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Building and</w:t>
            </w: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7"/>
              </w:rPr>
              <w:t>Capitalized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Building and</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1"/>
                <w:szCs w:val="11"/>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Depreciable</w:t>
            </w:r>
          </w:p>
        </w:tc>
        <w:tc>
          <w:tcPr>
            <w:tcW w:w="0" w:type="dxa"/>
            <w:vAlign w:val="bottom"/>
          </w:tcPr>
          <w:p>
            <w:pPr>
              <w:spacing w:after="0"/>
              <w:rPr>
                <w:sz w:val="1"/>
                <w:szCs w:val="1"/>
                <w:color w:val="auto"/>
              </w:rPr>
            </w:pPr>
          </w:p>
        </w:tc>
      </w:tr>
      <w:tr>
        <w:trPr>
          <w:trHeight w:val="149"/>
        </w:trPr>
        <w:tc>
          <w:tcPr>
            <w:tcW w:w="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State</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Subsequent to</w:t>
            </w:r>
          </w:p>
        </w:tc>
        <w:tc>
          <w:tcPr>
            <w:tcW w:w="160" w:type="dxa"/>
            <w:vAlign w:val="bottom"/>
          </w:tcPr>
          <w:p>
            <w:pPr>
              <w:spacing w:after="0"/>
              <w:rPr>
                <w:sz w:val="12"/>
                <w:szCs w:val="12"/>
                <w:color w:val="auto"/>
              </w:rPr>
            </w:pPr>
          </w:p>
        </w:tc>
        <w:tc>
          <w:tcPr>
            <w:tcW w:w="6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Land</w:t>
            </w:r>
          </w:p>
        </w:tc>
        <w:tc>
          <w:tcPr>
            <w:tcW w:w="1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220" w:type="dxa"/>
            <w:vAlign w:val="bottom"/>
            <w:vMerge w:val="restart"/>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92"/>
        </w:trPr>
        <w:tc>
          <w:tcPr>
            <w:tcW w:w="840" w:type="dxa"/>
            <w:vAlign w:val="bottom"/>
            <w:tcBorders>
              <w:bottom w:val="single" w:sz="8" w:color="auto"/>
            </w:tcBorders>
            <w:vMerge w:val="continue"/>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w w:val="93"/>
              </w:rPr>
              <w:t>Encumbrances</w:t>
            </w:r>
          </w:p>
        </w:tc>
        <w:tc>
          <w:tcPr>
            <w:tcW w:w="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Improvements</w:t>
            </w:r>
          </w:p>
        </w:tc>
        <w:tc>
          <w:tcPr>
            <w:tcW w:w="100" w:type="dxa"/>
            <w:vAlign w:val="bottom"/>
          </w:tcPr>
          <w:p>
            <w:pPr>
              <w:spacing w:after="0"/>
              <w:rPr>
                <w:sz w:val="16"/>
                <w:szCs w:val="16"/>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Acquisition(2)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Improvements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Depreciation</w:t>
            </w:r>
          </w:p>
        </w:tc>
        <w:tc>
          <w:tcPr>
            <w:tcW w:w="22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840" w:type="dxa"/>
            <w:vAlign w:val="bottom"/>
          </w:tcPr>
          <w:p>
            <w:pPr>
              <w:ind w:left="40"/>
              <w:spacing w:after="0"/>
              <w:rPr>
                <w:sz w:val="20"/>
                <w:szCs w:val="20"/>
                <w:color w:val="auto"/>
              </w:rPr>
            </w:pPr>
            <w:r>
              <w:rPr>
                <w:rFonts w:ascii="Arial" w:cs="Arial" w:eastAsia="Arial" w:hAnsi="Arial"/>
                <w:sz w:val="14"/>
                <w:szCs w:val="14"/>
                <w:color w:val="auto"/>
              </w:rPr>
              <w:t>Wisconsin</w:t>
            </w:r>
          </w:p>
        </w:tc>
        <w:tc>
          <w:tcPr>
            <w:tcW w:w="700" w:type="dxa"/>
            <w:vAlign w:val="bottom"/>
          </w:tcPr>
          <w:p>
            <w:pPr>
              <w:ind w:left="40"/>
              <w:spacing w:after="0"/>
              <w:rPr>
                <w:sz w:val="20"/>
                <w:szCs w:val="20"/>
                <w:color w:val="auto"/>
              </w:rPr>
            </w:pPr>
            <w:r>
              <w:rPr>
                <w:rFonts w:ascii="Arial" w:cs="Arial" w:eastAsia="Arial" w:hAnsi="Arial"/>
                <w:sz w:val="14"/>
                <w:szCs w:val="14"/>
                <w:color w:val="auto"/>
              </w:rPr>
              <w:t>EWI002</w:t>
            </w:r>
          </w:p>
        </w:tc>
        <w:tc>
          <w:tcPr>
            <w:tcW w:w="320" w:type="dxa"/>
            <w:vAlign w:val="bottom"/>
          </w:tcPr>
          <w:p>
            <w:pPr>
              <w:spacing w:after="0"/>
              <w:rPr>
                <w:sz w:val="21"/>
                <w:szCs w:val="21"/>
                <w:color w:val="auto"/>
              </w:rPr>
            </w:pPr>
          </w:p>
        </w:tc>
        <w:tc>
          <w:tcPr>
            <w:tcW w:w="500" w:type="dxa"/>
            <w:vAlign w:val="bottom"/>
          </w:tcPr>
          <w:p>
            <w:pPr>
              <w:ind w:left="24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948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132</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Wisconsin</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EWI003</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1,238</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40" w:type="dxa"/>
            <w:vAlign w:val="bottom"/>
          </w:tcPr>
          <w:p>
            <w:pPr>
              <w:ind w:left="40"/>
              <w:spacing w:after="0"/>
              <w:rPr>
                <w:sz w:val="20"/>
                <w:szCs w:val="20"/>
                <w:color w:val="auto"/>
              </w:rPr>
            </w:pPr>
            <w:r>
              <w:rPr>
                <w:rFonts w:ascii="Arial" w:cs="Arial" w:eastAsia="Arial" w:hAnsi="Arial"/>
                <w:sz w:val="14"/>
                <w:szCs w:val="14"/>
                <w:color w:val="auto"/>
              </w:rPr>
              <w:t>Wisconsin</w:t>
            </w:r>
          </w:p>
        </w:tc>
        <w:tc>
          <w:tcPr>
            <w:tcW w:w="700" w:type="dxa"/>
            <w:vAlign w:val="bottom"/>
          </w:tcPr>
          <w:p>
            <w:pPr>
              <w:ind w:left="40"/>
              <w:spacing w:after="0"/>
              <w:rPr>
                <w:sz w:val="20"/>
                <w:szCs w:val="20"/>
                <w:color w:val="auto"/>
              </w:rPr>
            </w:pPr>
            <w:r>
              <w:rPr>
                <w:rFonts w:ascii="Arial" w:cs="Arial" w:eastAsia="Arial" w:hAnsi="Arial"/>
                <w:sz w:val="14"/>
                <w:szCs w:val="14"/>
                <w:color w:val="auto"/>
              </w:rPr>
              <w:t>EWI004</w:t>
            </w:r>
          </w:p>
        </w:tc>
        <w:tc>
          <w:tcPr>
            <w:tcW w:w="320" w:type="dxa"/>
            <w:vAlign w:val="bottom"/>
          </w:tcPr>
          <w:p>
            <w:pPr>
              <w:spacing w:after="0"/>
              <w:rPr>
                <w:sz w:val="22"/>
                <w:szCs w:val="22"/>
                <w:color w:val="auto"/>
              </w:rPr>
            </w:pPr>
          </w:p>
        </w:tc>
        <w:tc>
          <w:tcPr>
            <w:tcW w:w="500" w:type="dxa"/>
            <w:vAlign w:val="bottom"/>
          </w:tcPr>
          <w:p>
            <w:pPr>
              <w:ind w:left="24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793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1,025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793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1,810</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252</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0"/>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Wisconsin</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EWI005</w:t>
            </w:r>
          </w:p>
        </w:tc>
        <w:tc>
          <w:tcPr>
            <w:tcW w:w="32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1,455</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1,124</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1,455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2,579</w:t>
            </w:r>
          </w:p>
        </w:tc>
        <w:tc>
          <w:tcPr>
            <w:tcW w:w="2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358</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50"/>
        </w:trPr>
        <w:tc>
          <w:tcPr>
            <w:tcW w:w="840" w:type="dxa"/>
            <w:vAlign w:val="bottom"/>
          </w:tcPr>
          <w:p>
            <w:pPr>
              <w:ind w:left="40"/>
              <w:spacing w:after="0"/>
              <w:rPr>
                <w:sz w:val="20"/>
                <w:szCs w:val="20"/>
                <w:color w:val="auto"/>
              </w:rPr>
            </w:pPr>
            <w:r>
              <w:rPr>
                <w:rFonts w:ascii="Arial" w:cs="Arial" w:eastAsia="Arial" w:hAnsi="Arial"/>
                <w:sz w:val="14"/>
                <w:szCs w:val="14"/>
                <w:color w:val="auto"/>
              </w:rPr>
              <w:t>Subtotal</w:t>
            </w:r>
          </w:p>
        </w:tc>
        <w:tc>
          <w:tcPr>
            <w:tcW w:w="700" w:type="dxa"/>
            <w:vAlign w:val="bottom"/>
          </w:tcPr>
          <w:p>
            <w:pPr>
              <w:spacing w:after="0"/>
              <w:rPr>
                <w:sz w:val="21"/>
                <w:szCs w:val="21"/>
                <w:color w:val="auto"/>
              </w:rPr>
            </w:pPr>
          </w:p>
        </w:tc>
        <w:tc>
          <w:tcPr>
            <w:tcW w:w="320" w:type="dxa"/>
            <w:vAlign w:val="bottom"/>
          </w:tcPr>
          <w:p>
            <w:pPr>
              <w:jc w:val="right"/>
              <w:ind w:right="154"/>
              <w:spacing w:after="0"/>
              <w:rPr>
                <w:sz w:val="20"/>
                <w:szCs w:val="20"/>
                <w:color w:val="auto"/>
              </w:rPr>
            </w:pPr>
            <w:r>
              <w:rPr>
                <w:rFonts w:ascii="Arial" w:cs="Arial" w:eastAsia="Arial" w:hAnsi="Arial"/>
                <w:sz w:val="14"/>
                <w:szCs w:val="14"/>
                <w:color w:val="auto"/>
              </w:rPr>
              <w:t>$</w:t>
            </w:r>
          </w:p>
        </w:tc>
        <w:tc>
          <w:tcPr>
            <w:tcW w:w="500" w:type="dxa"/>
            <w:vAlign w:val="bottom"/>
          </w:tcPr>
          <w:p>
            <w:pPr>
              <w:ind w:lef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133,448</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253,122</w:t>
            </w:r>
          </w:p>
        </w:tc>
        <w:tc>
          <w:tcPr>
            <w:tcW w:w="100" w:type="dxa"/>
            <w:vAlign w:val="bottom"/>
          </w:tcPr>
          <w:p>
            <w:pPr>
              <w:spacing w:after="0"/>
              <w:rPr>
                <w:sz w:val="21"/>
                <w:szCs w:val="21"/>
                <w:color w:val="auto"/>
              </w:rPr>
            </w:pP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88,867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w w:val="98"/>
              </w:rPr>
              <w:t>133,431</w:t>
            </w:r>
          </w:p>
        </w:tc>
        <w:tc>
          <w:tcPr>
            <w:tcW w:w="3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342,006</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w w:val="90"/>
              </w:rPr>
              <w:t>475,437</w:t>
            </w:r>
          </w:p>
        </w:tc>
        <w:tc>
          <w:tcPr>
            <w:tcW w:w="2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77,763</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RETAIL:</w:t>
            </w:r>
          </w:p>
        </w:tc>
        <w:tc>
          <w:tcPr>
            <w:tcW w:w="7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4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40" w:type="dxa"/>
            <w:vAlign w:val="bottom"/>
          </w:tcPr>
          <w:p>
            <w:pPr>
              <w:ind w:left="40"/>
              <w:spacing w:after="0"/>
              <w:rPr>
                <w:sz w:val="20"/>
                <w:szCs w:val="20"/>
                <w:color w:val="auto"/>
              </w:rPr>
            </w:pPr>
            <w:r>
              <w:rPr>
                <w:rFonts w:ascii="Arial" w:cs="Arial" w:eastAsia="Arial" w:hAnsi="Arial"/>
                <w:sz w:val="14"/>
                <w:szCs w:val="14"/>
                <w:color w:val="auto"/>
              </w:rPr>
              <w:t>Arizona</w:t>
            </w:r>
          </w:p>
        </w:tc>
        <w:tc>
          <w:tcPr>
            <w:tcW w:w="700" w:type="dxa"/>
            <w:vAlign w:val="bottom"/>
          </w:tcPr>
          <w:p>
            <w:pPr>
              <w:ind w:left="40"/>
              <w:spacing w:after="0"/>
              <w:rPr>
                <w:sz w:val="20"/>
                <w:szCs w:val="20"/>
                <w:color w:val="auto"/>
              </w:rPr>
            </w:pPr>
            <w:r>
              <w:rPr>
                <w:rFonts w:ascii="Arial" w:cs="Arial" w:eastAsia="Arial" w:hAnsi="Arial"/>
                <w:sz w:val="14"/>
                <w:szCs w:val="14"/>
                <w:color w:val="auto"/>
              </w:rPr>
              <w:t>RAZ003</w:t>
            </w:r>
          </w:p>
        </w:tc>
        <w:tc>
          <w:tcPr>
            <w:tcW w:w="320" w:type="dxa"/>
            <w:vAlign w:val="bottom"/>
          </w:tcPr>
          <w:p>
            <w:pPr>
              <w:spacing w:after="0"/>
              <w:rPr>
                <w:sz w:val="22"/>
                <w:szCs w:val="22"/>
                <w:color w:val="auto"/>
              </w:rPr>
            </w:pPr>
          </w:p>
        </w:tc>
        <w:tc>
          <w:tcPr>
            <w:tcW w:w="500" w:type="dxa"/>
            <w:vAlign w:val="bottom"/>
          </w:tcPr>
          <w:p>
            <w:pPr>
              <w:ind w:lef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2,625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4,875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536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2,625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5,411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8,036</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258</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Arizona</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RAZ004</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4,056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4,652</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2009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64"/>
        </w:trPr>
        <w:tc>
          <w:tcPr>
            <w:tcW w:w="840" w:type="dxa"/>
            <w:vAlign w:val="bottom"/>
          </w:tcPr>
          <w:p>
            <w:pPr>
              <w:ind w:left="40"/>
              <w:spacing w:after="0"/>
              <w:rPr>
                <w:sz w:val="20"/>
                <w:szCs w:val="20"/>
                <w:color w:val="auto"/>
              </w:rPr>
            </w:pPr>
            <w:r>
              <w:rPr>
                <w:rFonts w:ascii="Arial" w:cs="Arial" w:eastAsia="Arial" w:hAnsi="Arial"/>
                <w:sz w:val="14"/>
                <w:szCs w:val="14"/>
                <w:color w:val="auto"/>
              </w:rPr>
              <w:t>Arizona</w:t>
            </w:r>
          </w:p>
        </w:tc>
        <w:tc>
          <w:tcPr>
            <w:tcW w:w="700" w:type="dxa"/>
            <w:vAlign w:val="bottom"/>
          </w:tcPr>
          <w:p>
            <w:pPr>
              <w:ind w:left="40"/>
              <w:spacing w:after="0"/>
              <w:rPr>
                <w:sz w:val="20"/>
                <w:szCs w:val="20"/>
                <w:color w:val="auto"/>
              </w:rPr>
            </w:pPr>
            <w:r>
              <w:rPr>
                <w:rFonts w:ascii="Arial" w:cs="Arial" w:eastAsia="Arial" w:hAnsi="Arial"/>
                <w:sz w:val="14"/>
                <w:szCs w:val="14"/>
                <w:color w:val="auto"/>
              </w:rPr>
              <w:t>RAZ005</w:t>
            </w:r>
          </w:p>
        </w:tc>
        <w:tc>
          <w:tcPr>
            <w:tcW w:w="320" w:type="dxa"/>
            <w:vAlign w:val="bottom"/>
          </w:tcPr>
          <w:p>
            <w:pPr>
              <w:spacing w:after="0"/>
              <w:rPr>
                <w:sz w:val="22"/>
                <w:szCs w:val="22"/>
                <w:color w:val="auto"/>
              </w:rPr>
            </w:pPr>
          </w:p>
        </w:tc>
        <w:tc>
          <w:tcPr>
            <w:tcW w:w="500" w:type="dxa"/>
            <w:vAlign w:val="bottom"/>
          </w:tcPr>
          <w:p>
            <w:pPr>
              <w:ind w:left="24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2,657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2,666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2,657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2,389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5,046</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225</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2011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RCA001</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3,181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5,750</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322</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2010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40" w:type="dxa"/>
            <w:vAlign w:val="bottom"/>
          </w:tcPr>
          <w:p>
            <w:pPr>
              <w:ind w:left="40"/>
              <w:spacing w:after="0"/>
              <w:rPr>
                <w:sz w:val="20"/>
                <w:szCs w:val="20"/>
                <w:color w:val="auto"/>
              </w:rPr>
            </w:pPr>
            <w:r>
              <w:rPr>
                <w:rFonts w:ascii="Arial" w:cs="Arial" w:eastAsia="Arial" w:hAnsi="Arial"/>
                <w:sz w:val="14"/>
                <w:szCs w:val="14"/>
                <w:color w:val="auto"/>
              </w:rPr>
              <w:t>Colorado</w:t>
            </w:r>
          </w:p>
        </w:tc>
        <w:tc>
          <w:tcPr>
            <w:tcW w:w="700" w:type="dxa"/>
            <w:vAlign w:val="bottom"/>
          </w:tcPr>
          <w:p>
            <w:pPr>
              <w:ind w:left="40"/>
              <w:spacing w:after="0"/>
              <w:rPr>
                <w:sz w:val="20"/>
                <w:szCs w:val="20"/>
                <w:color w:val="auto"/>
              </w:rPr>
            </w:pPr>
            <w:r>
              <w:rPr>
                <w:rFonts w:ascii="Arial" w:cs="Arial" w:eastAsia="Arial" w:hAnsi="Arial"/>
                <w:sz w:val="14"/>
                <w:szCs w:val="14"/>
                <w:color w:val="auto"/>
              </w:rPr>
              <w:t>RCO001</w:t>
            </w:r>
          </w:p>
        </w:tc>
        <w:tc>
          <w:tcPr>
            <w:tcW w:w="320" w:type="dxa"/>
            <w:vAlign w:val="bottom"/>
          </w:tcPr>
          <w:p>
            <w:pPr>
              <w:spacing w:after="0"/>
              <w:rPr>
                <w:sz w:val="22"/>
                <w:szCs w:val="22"/>
                <w:color w:val="auto"/>
              </w:rPr>
            </w:pPr>
          </w:p>
        </w:tc>
        <w:tc>
          <w:tcPr>
            <w:tcW w:w="500" w:type="dxa"/>
            <w:vAlign w:val="bottom"/>
          </w:tcPr>
          <w:p>
            <w:pPr>
              <w:ind w:left="24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2,631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5,195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2,607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5,498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8,105</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915</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2006</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Florida</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RFL003</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3,950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10,285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3,908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10,327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14,235</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1,897</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2005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40" w:type="dxa"/>
            <w:vAlign w:val="bottom"/>
          </w:tcPr>
          <w:p>
            <w:pPr>
              <w:ind w:left="40"/>
              <w:spacing w:after="0"/>
              <w:rPr>
                <w:sz w:val="20"/>
                <w:szCs w:val="20"/>
                <w:color w:val="auto"/>
              </w:rPr>
            </w:pPr>
            <w:r>
              <w:rPr>
                <w:rFonts w:ascii="Arial" w:cs="Arial" w:eastAsia="Arial" w:hAnsi="Arial"/>
                <w:sz w:val="14"/>
                <w:szCs w:val="14"/>
                <w:color w:val="auto"/>
              </w:rPr>
              <w:t>Hawaii</w:t>
            </w:r>
          </w:p>
        </w:tc>
        <w:tc>
          <w:tcPr>
            <w:tcW w:w="700" w:type="dxa"/>
            <w:vAlign w:val="bottom"/>
          </w:tcPr>
          <w:p>
            <w:pPr>
              <w:ind w:left="40"/>
              <w:spacing w:after="0"/>
              <w:rPr>
                <w:sz w:val="20"/>
                <w:szCs w:val="20"/>
                <w:color w:val="auto"/>
              </w:rPr>
            </w:pPr>
            <w:r>
              <w:rPr>
                <w:rFonts w:ascii="Arial" w:cs="Arial" w:eastAsia="Arial" w:hAnsi="Arial"/>
                <w:sz w:val="14"/>
                <w:szCs w:val="14"/>
                <w:color w:val="auto"/>
              </w:rPr>
              <w:t>RHI001</w:t>
            </w:r>
          </w:p>
        </w:tc>
        <w:tc>
          <w:tcPr>
            <w:tcW w:w="320" w:type="dxa"/>
            <w:vAlign w:val="bottom"/>
          </w:tcPr>
          <w:p>
            <w:pPr>
              <w:spacing w:after="0"/>
              <w:rPr>
                <w:sz w:val="22"/>
                <w:szCs w:val="22"/>
                <w:color w:val="auto"/>
              </w:rPr>
            </w:pPr>
          </w:p>
        </w:tc>
        <w:tc>
          <w:tcPr>
            <w:tcW w:w="500" w:type="dxa"/>
            <w:vAlign w:val="bottom"/>
          </w:tcPr>
          <w:p>
            <w:pPr>
              <w:ind w:lef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3,393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21,155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3,332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3,393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24,487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27,880</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2,792</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Illinois</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RIL002</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14,934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29,675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14,934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31,367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46,301</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1,495</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2012</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40" w:type="dxa"/>
            <w:vAlign w:val="bottom"/>
          </w:tcPr>
          <w:p>
            <w:pPr>
              <w:ind w:left="40"/>
              <w:spacing w:after="0"/>
              <w:rPr>
                <w:sz w:val="20"/>
                <w:szCs w:val="20"/>
                <w:color w:val="auto"/>
              </w:rPr>
            </w:pPr>
            <w:r>
              <w:rPr>
                <w:rFonts w:ascii="Arial" w:cs="Arial" w:eastAsia="Arial" w:hAnsi="Arial"/>
                <w:sz w:val="14"/>
                <w:szCs w:val="14"/>
                <w:color w:val="auto"/>
              </w:rPr>
              <w:t>Illinois</w:t>
            </w:r>
          </w:p>
        </w:tc>
        <w:tc>
          <w:tcPr>
            <w:tcW w:w="700" w:type="dxa"/>
            <w:vAlign w:val="bottom"/>
          </w:tcPr>
          <w:p>
            <w:pPr>
              <w:ind w:left="40"/>
              <w:spacing w:after="0"/>
              <w:rPr>
                <w:sz w:val="20"/>
                <w:szCs w:val="20"/>
                <w:color w:val="auto"/>
              </w:rPr>
            </w:pPr>
            <w:r>
              <w:rPr>
                <w:rFonts w:ascii="Arial" w:cs="Arial" w:eastAsia="Arial" w:hAnsi="Arial"/>
                <w:sz w:val="14"/>
                <w:szCs w:val="14"/>
                <w:color w:val="auto"/>
              </w:rPr>
              <w:t>RIL001</w:t>
            </w:r>
          </w:p>
        </w:tc>
        <w:tc>
          <w:tcPr>
            <w:tcW w:w="320" w:type="dxa"/>
            <w:vAlign w:val="bottom"/>
          </w:tcPr>
          <w:p>
            <w:pPr>
              <w:spacing w:after="0"/>
              <w:rPr>
                <w:sz w:val="22"/>
                <w:szCs w:val="22"/>
                <w:color w:val="auto"/>
              </w:rPr>
            </w:pPr>
          </w:p>
        </w:tc>
        <w:tc>
          <w:tcPr>
            <w:tcW w:w="500" w:type="dxa"/>
            <w:vAlign w:val="bottom"/>
          </w:tcPr>
          <w:p>
            <w:pPr>
              <w:ind w:left="24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695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1,031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1,031</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221</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2010</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Mexico</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RNM001</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8,370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8,398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10,103</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1,418</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2005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40" w:type="dxa"/>
            <w:vAlign w:val="bottom"/>
          </w:tcPr>
          <w:p>
            <w:pPr>
              <w:ind w:left="40"/>
              <w:spacing w:after="0"/>
              <w:rPr>
                <w:sz w:val="20"/>
                <w:szCs w:val="20"/>
                <w:color w:val="auto"/>
              </w:rPr>
            </w:pPr>
            <w:r>
              <w:rPr>
                <w:rFonts w:ascii="Arial" w:cs="Arial" w:eastAsia="Arial" w:hAnsi="Arial"/>
                <w:sz w:val="14"/>
                <w:szCs w:val="14"/>
                <w:color w:val="auto"/>
              </w:rPr>
              <w:t>New York</w:t>
            </w:r>
          </w:p>
        </w:tc>
        <w:tc>
          <w:tcPr>
            <w:tcW w:w="700" w:type="dxa"/>
            <w:vAlign w:val="bottom"/>
          </w:tcPr>
          <w:p>
            <w:pPr>
              <w:ind w:left="40"/>
              <w:spacing w:after="0"/>
              <w:rPr>
                <w:sz w:val="20"/>
                <w:szCs w:val="20"/>
                <w:color w:val="auto"/>
              </w:rPr>
            </w:pPr>
            <w:r>
              <w:rPr>
                <w:rFonts w:ascii="Arial" w:cs="Arial" w:eastAsia="Arial" w:hAnsi="Arial"/>
                <w:sz w:val="14"/>
                <w:szCs w:val="14"/>
                <w:color w:val="auto"/>
              </w:rPr>
              <w:t>RNY001</w:t>
            </w:r>
          </w:p>
        </w:tc>
        <w:tc>
          <w:tcPr>
            <w:tcW w:w="320" w:type="dxa"/>
            <w:vAlign w:val="bottom"/>
          </w:tcPr>
          <w:p>
            <w:pPr>
              <w:spacing w:after="0"/>
              <w:rPr>
                <w:sz w:val="22"/>
                <w:szCs w:val="22"/>
                <w:color w:val="auto"/>
              </w:rPr>
            </w:pPr>
          </w:p>
        </w:tc>
        <w:tc>
          <w:tcPr>
            <w:tcW w:w="500" w:type="dxa"/>
            <w:vAlign w:val="bottom"/>
          </w:tcPr>
          <w:p>
            <w:pPr>
              <w:ind w:left="24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731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6,073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699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711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6,792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7,503</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1,538</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2005</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3"/>
              </w:rPr>
              <w:t>Pennsylvania</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RPA001</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5,687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56,950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5,687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58,704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64,391</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4,439</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2011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157"/>
        </w:trPr>
        <w:tc>
          <w:tcPr>
            <w:tcW w:w="840" w:type="dxa"/>
            <w:vAlign w:val="bottom"/>
          </w:tcPr>
          <w:p>
            <w:pPr>
              <w:ind w:left="40"/>
              <w:spacing w:after="0" w:line="157" w:lineRule="exact"/>
              <w:rPr>
                <w:sz w:val="20"/>
                <w:szCs w:val="20"/>
                <w:color w:val="auto"/>
              </w:rPr>
            </w:pPr>
            <w:r>
              <w:rPr>
                <w:rFonts w:ascii="Arial" w:cs="Arial" w:eastAsia="Arial" w:hAnsi="Arial"/>
                <w:sz w:val="14"/>
                <w:szCs w:val="14"/>
                <w:color w:val="auto"/>
              </w:rPr>
              <w:t>South</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40" w:type="dxa"/>
            <w:vAlign w:val="bottom"/>
          </w:tcPr>
          <w:p>
            <w:pPr>
              <w:ind w:left="40"/>
              <w:spacing w:after="0"/>
              <w:rPr>
                <w:sz w:val="20"/>
                <w:szCs w:val="20"/>
                <w:color w:val="auto"/>
              </w:rPr>
            </w:pPr>
            <w:r>
              <w:rPr>
                <w:rFonts w:ascii="Arial" w:cs="Arial" w:eastAsia="Arial" w:hAnsi="Arial"/>
                <w:sz w:val="14"/>
                <w:szCs w:val="14"/>
                <w:color w:val="auto"/>
              </w:rPr>
              <w:t>Carolina</w:t>
            </w:r>
          </w:p>
        </w:tc>
        <w:tc>
          <w:tcPr>
            <w:tcW w:w="700" w:type="dxa"/>
            <w:vAlign w:val="bottom"/>
          </w:tcPr>
          <w:p>
            <w:pPr>
              <w:ind w:left="40"/>
              <w:spacing w:after="0"/>
              <w:rPr>
                <w:sz w:val="20"/>
                <w:szCs w:val="20"/>
                <w:color w:val="auto"/>
              </w:rPr>
            </w:pPr>
            <w:r>
              <w:rPr>
                <w:rFonts w:ascii="Arial" w:cs="Arial" w:eastAsia="Arial" w:hAnsi="Arial"/>
                <w:sz w:val="14"/>
                <w:szCs w:val="14"/>
                <w:color w:val="auto"/>
              </w:rPr>
              <w:t>RSC001</w:t>
            </w:r>
          </w:p>
        </w:tc>
        <w:tc>
          <w:tcPr>
            <w:tcW w:w="320" w:type="dxa"/>
            <w:vAlign w:val="bottom"/>
          </w:tcPr>
          <w:p>
            <w:pPr>
              <w:spacing w:after="0"/>
              <w:rPr>
                <w:sz w:val="16"/>
                <w:szCs w:val="16"/>
                <w:color w:val="auto"/>
              </w:rPr>
            </w:pPr>
          </w:p>
        </w:tc>
        <w:tc>
          <w:tcPr>
            <w:tcW w:w="500" w:type="dxa"/>
            <w:vAlign w:val="bottom"/>
          </w:tcPr>
          <w:p>
            <w:pPr>
              <w:ind w:lef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2,126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1,337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947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2,284</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158</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2007</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Texas</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RTX001</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3,538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4,215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3,514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4,410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7,924</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1,112</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2005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40" w:type="dxa"/>
            <w:vAlign w:val="bottom"/>
          </w:tcPr>
          <w:p>
            <w:pPr>
              <w:ind w:left="40"/>
              <w:spacing w:after="0"/>
              <w:rPr>
                <w:sz w:val="20"/>
                <w:szCs w:val="20"/>
                <w:color w:val="auto"/>
              </w:rPr>
            </w:pPr>
            <w:r>
              <w:rPr>
                <w:rFonts w:ascii="Arial" w:cs="Arial" w:eastAsia="Arial" w:hAnsi="Arial"/>
                <w:sz w:val="14"/>
                <w:szCs w:val="14"/>
                <w:color w:val="auto"/>
              </w:rPr>
              <w:t>Texas</w:t>
            </w:r>
          </w:p>
        </w:tc>
        <w:tc>
          <w:tcPr>
            <w:tcW w:w="700" w:type="dxa"/>
            <w:vAlign w:val="bottom"/>
          </w:tcPr>
          <w:p>
            <w:pPr>
              <w:ind w:left="40"/>
              <w:spacing w:after="0"/>
              <w:rPr>
                <w:sz w:val="20"/>
                <w:szCs w:val="20"/>
                <w:color w:val="auto"/>
              </w:rPr>
            </w:pPr>
            <w:r>
              <w:rPr>
                <w:rFonts w:ascii="Arial" w:cs="Arial" w:eastAsia="Arial" w:hAnsi="Arial"/>
                <w:sz w:val="14"/>
                <w:szCs w:val="14"/>
                <w:color w:val="auto"/>
              </w:rPr>
              <w:t>RTX002</w:t>
            </w:r>
          </w:p>
        </w:tc>
        <w:tc>
          <w:tcPr>
            <w:tcW w:w="320" w:type="dxa"/>
            <w:vAlign w:val="bottom"/>
          </w:tcPr>
          <w:p>
            <w:pPr>
              <w:spacing w:after="0"/>
              <w:rPr>
                <w:sz w:val="22"/>
                <w:szCs w:val="22"/>
                <w:color w:val="auto"/>
              </w:rPr>
            </w:pPr>
          </w:p>
        </w:tc>
        <w:tc>
          <w:tcPr>
            <w:tcW w:w="500" w:type="dxa"/>
            <w:vAlign w:val="bottom"/>
          </w:tcPr>
          <w:p>
            <w:pPr>
              <w:ind w:lef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1,225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2,275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(791)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1,225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1,484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2,709</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2010</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Texas</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RTX003</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1,391</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2010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64"/>
        </w:trPr>
        <w:tc>
          <w:tcPr>
            <w:tcW w:w="840" w:type="dxa"/>
            <w:vAlign w:val="bottom"/>
          </w:tcPr>
          <w:p>
            <w:pPr>
              <w:ind w:left="40"/>
              <w:spacing w:after="0"/>
              <w:rPr>
                <w:sz w:val="20"/>
                <w:szCs w:val="20"/>
                <w:color w:val="auto"/>
              </w:rPr>
            </w:pPr>
            <w:r>
              <w:rPr>
                <w:rFonts w:ascii="Arial" w:cs="Arial" w:eastAsia="Arial" w:hAnsi="Arial"/>
                <w:sz w:val="14"/>
                <w:szCs w:val="14"/>
                <w:color w:val="auto"/>
              </w:rPr>
              <w:t>Utah</w:t>
            </w:r>
          </w:p>
        </w:tc>
        <w:tc>
          <w:tcPr>
            <w:tcW w:w="700" w:type="dxa"/>
            <w:vAlign w:val="bottom"/>
          </w:tcPr>
          <w:p>
            <w:pPr>
              <w:ind w:left="40"/>
              <w:spacing w:after="0"/>
              <w:rPr>
                <w:sz w:val="20"/>
                <w:szCs w:val="20"/>
                <w:color w:val="auto"/>
              </w:rPr>
            </w:pPr>
            <w:r>
              <w:rPr>
                <w:rFonts w:ascii="Arial" w:cs="Arial" w:eastAsia="Arial" w:hAnsi="Arial"/>
                <w:sz w:val="14"/>
                <w:szCs w:val="14"/>
                <w:color w:val="auto"/>
              </w:rPr>
              <w:t>RUT001</w:t>
            </w:r>
          </w:p>
        </w:tc>
        <w:tc>
          <w:tcPr>
            <w:tcW w:w="320" w:type="dxa"/>
            <w:vAlign w:val="bottom"/>
          </w:tcPr>
          <w:p>
            <w:pPr>
              <w:spacing w:after="0"/>
              <w:rPr>
                <w:sz w:val="22"/>
                <w:szCs w:val="22"/>
                <w:color w:val="auto"/>
              </w:rPr>
            </w:pPr>
          </w:p>
        </w:tc>
        <w:tc>
          <w:tcPr>
            <w:tcW w:w="500" w:type="dxa"/>
            <w:vAlign w:val="bottom"/>
          </w:tcPr>
          <w:p>
            <w:pPr>
              <w:ind w:left="24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3,502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5,975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3,502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5,975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9,477</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1,082</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2005</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RVA001</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4,720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16,711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4,720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16,711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21,431</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674</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2011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Washington</w:t>
            </w:r>
          </w:p>
        </w:tc>
        <w:tc>
          <w:tcPr>
            <w:tcW w:w="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RWA001</w:t>
            </w:r>
          </w:p>
        </w:tc>
        <w:tc>
          <w:tcPr>
            <w:tcW w:w="3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311</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tcPr>
          <w:p>
            <w:pPr>
              <w:jc w:val="center"/>
              <w:ind w:left="148"/>
              <w:spacing w:after="0"/>
              <w:rPr>
                <w:sz w:val="20"/>
                <w:szCs w:val="20"/>
                <w:color w:val="auto"/>
              </w:rPr>
            </w:pPr>
            <w:r>
              <w:rPr>
                <w:rFonts w:ascii="Arial" w:cs="Arial" w:eastAsia="Arial" w:hAnsi="Arial"/>
                <w:sz w:val="14"/>
                <w:szCs w:val="14"/>
                <w:color w:val="auto"/>
                <w:w w:val="89"/>
              </w:rPr>
              <w:t>2012</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56"/>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Subtotal</w:t>
            </w:r>
          </w:p>
        </w:tc>
        <w:tc>
          <w:tcPr>
            <w:tcW w:w="7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54"/>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60,136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154,415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34,009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58,219</w:t>
            </w:r>
          </w:p>
        </w:tc>
        <w:tc>
          <w:tcPr>
            <w:tcW w:w="3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190,341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0"/>
              </w:rPr>
              <w:t>248,560</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18,680</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840" w:type="dxa"/>
            <w:vAlign w:val="bottom"/>
          </w:tcPr>
          <w:p>
            <w:pPr>
              <w:ind w:left="40"/>
              <w:spacing w:after="0"/>
              <w:rPr>
                <w:sz w:val="20"/>
                <w:szCs w:val="20"/>
                <w:color w:val="auto"/>
              </w:rPr>
            </w:pPr>
            <w:r>
              <w:rPr>
                <w:rFonts w:ascii="Arial" w:cs="Arial" w:eastAsia="Arial" w:hAnsi="Arial"/>
                <w:sz w:val="14"/>
                <w:szCs w:val="14"/>
                <w:b w:val="1"/>
                <w:bCs w:val="1"/>
                <w:color w:val="auto"/>
              </w:rPr>
              <w:t>HOTEL:</w:t>
            </w:r>
          </w:p>
        </w:tc>
        <w:tc>
          <w:tcPr>
            <w:tcW w:w="7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HCA002</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4,394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27,030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4,394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26,159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30,553</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10,632</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1998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4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700" w:type="dxa"/>
            <w:vAlign w:val="bottom"/>
          </w:tcPr>
          <w:p>
            <w:pPr>
              <w:ind w:left="40"/>
              <w:spacing w:after="0"/>
              <w:rPr>
                <w:sz w:val="20"/>
                <w:szCs w:val="20"/>
                <w:color w:val="auto"/>
              </w:rPr>
            </w:pPr>
            <w:r>
              <w:rPr>
                <w:rFonts w:ascii="Arial" w:cs="Arial" w:eastAsia="Arial" w:hAnsi="Arial"/>
                <w:sz w:val="14"/>
                <w:szCs w:val="14"/>
                <w:color w:val="auto"/>
              </w:rPr>
              <w:t>HCA003</w:t>
            </w:r>
          </w:p>
        </w:tc>
        <w:tc>
          <w:tcPr>
            <w:tcW w:w="320" w:type="dxa"/>
            <w:vAlign w:val="bottom"/>
          </w:tcPr>
          <w:p>
            <w:pPr>
              <w:spacing w:after="0"/>
              <w:rPr>
                <w:sz w:val="22"/>
                <w:szCs w:val="22"/>
                <w:color w:val="auto"/>
              </w:rPr>
            </w:pPr>
          </w:p>
        </w:tc>
        <w:tc>
          <w:tcPr>
            <w:tcW w:w="500" w:type="dxa"/>
            <w:vAlign w:val="bottom"/>
          </w:tcPr>
          <w:p>
            <w:pPr>
              <w:ind w:left="24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3,308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20,623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3,308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19,959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23,267</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8,097</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1998</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Colorado</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HCO001</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7,865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7,612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8,854</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3,081</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1998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40" w:type="dxa"/>
            <w:vAlign w:val="bottom"/>
          </w:tcPr>
          <w:p>
            <w:pPr>
              <w:ind w:left="40"/>
              <w:spacing w:after="0"/>
              <w:rPr>
                <w:sz w:val="20"/>
                <w:szCs w:val="20"/>
                <w:color w:val="auto"/>
              </w:rPr>
            </w:pPr>
            <w:r>
              <w:rPr>
                <w:rFonts w:ascii="Arial" w:cs="Arial" w:eastAsia="Arial" w:hAnsi="Arial"/>
                <w:sz w:val="14"/>
                <w:szCs w:val="14"/>
                <w:color w:val="auto"/>
              </w:rPr>
              <w:t>Georgia</w:t>
            </w:r>
          </w:p>
        </w:tc>
        <w:tc>
          <w:tcPr>
            <w:tcW w:w="700" w:type="dxa"/>
            <w:vAlign w:val="bottom"/>
          </w:tcPr>
          <w:p>
            <w:pPr>
              <w:ind w:left="40"/>
              <w:spacing w:after="0"/>
              <w:rPr>
                <w:sz w:val="20"/>
                <w:szCs w:val="20"/>
                <w:color w:val="auto"/>
              </w:rPr>
            </w:pPr>
            <w:r>
              <w:rPr>
                <w:rFonts w:ascii="Arial" w:cs="Arial" w:eastAsia="Arial" w:hAnsi="Arial"/>
                <w:sz w:val="14"/>
                <w:szCs w:val="14"/>
                <w:color w:val="auto"/>
              </w:rPr>
              <w:t>HGA001</w:t>
            </w:r>
          </w:p>
        </w:tc>
        <w:tc>
          <w:tcPr>
            <w:tcW w:w="320" w:type="dxa"/>
            <w:vAlign w:val="bottom"/>
          </w:tcPr>
          <w:p>
            <w:pPr>
              <w:spacing w:after="0"/>
              <w:rPr>
                <w:sz w:val="22"/>
                <w:szCs w:val="22"/>
                <w:color w:val="auto"/>
              </w:rPr>
            </w:pPr>
          </w:p>
        </w:tc>
        <w:tc>
          <w:tcPr>
            <w:tcW w:w="500" w:type="dxa"/>
            <w:vAlign w:val="bottom"/>
          </w:tcPr>
          <w:p>
            <w:pPr>
              <w:ind w:left="24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6,378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25,514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562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6,378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26,076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32,454</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2,813</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2010</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Hawaii</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HHI001</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17,996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17,996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6,971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17,996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24,967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42,963</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4,078</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2009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40" w:type="dxa"/>
            <w:vAlign w:val="bottom"/>
          </w:tcPr>
          <w:p>
            <w:pPr>
              <w:ind w:left="40"/>
              <w:spacing w:after="0"/>
              <w:rPr>
                <w:sz w:val="20"/>
                <w:szCs w:val="20"/>
                <w:color w:val="auto"/>
              </w:rPr>
            </w:pPr>
            <w:r>
              <w:rPr>
                <w:rFonts w:ascii="Arial" w:cs="Arial" w:eastAsia="Arial" w:hAnsi="Arial"/>
                <w:sz w:val="14"/>
                <w:szCs w:val="14"/>
                <w:color w:val="auto"/>
              </w:rPr>
              <w:t>Hawaii</w:t>
            </w:r>
          </w:p>
        </w:tc>
        <w:tc>
          <w:tcPr>
            <w:tcW w:w="700" w:type="dxa"/>
            <w:vAlign w:val="bottom"/>
          </w:tcPr>
          <w:p>
            <w:pPr>
              <w:ind w:left="40"/>
              <w:spacing w:after="0"/>
              <w:rPr>
                <w:sz w:val="20"/>
                <w:szCs w:val="20"/>
                <w:color w:val="auto"/>
              </w:rPr>
            </w:pPr>
            <w:r>
              <w:rPr>
                <w:rFonts w:ascii="Arial" w:cs="Arial" w:eastAsia="Arial" w:hAnsi="Arial"/>
                <w:sz w:val="14"/>
                <w:szCs w:val="14"/>
                <w:color w:val="auto"/>
              </w:rPr>
              <w:t>HHI002</w:t>
            </w:r>
          </w:p>
        </w:tc>
        <w:tc>
          <w:tcPr>
            <w:tcW w:w="320" w:type="dxa"/>
            <w:vAlign w:val="bottom"/>
          </w:tcPr>
          <w:p>
            <w:pPr>
              <w:spacing w:after="0"/>
              <w:rPr>
                <w:sz w:val="22"/>
                <w:szCs w:val="22"/>
                <w:color w:val="auto"/>
              </w:rPr>
            </w:pPr>
          </w:p>
        </w:tc>
        <w:tc>
          <w:tcPr>
            <w:tcW w:w="500" w:type="dxa"/>
            <w:vAlign w:val="bottom"/>
          </w:tcPr>
          <w:p>
            <w:pPr>
              <w:ind w:lef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12,000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1,090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3,000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13,090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16,090</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1,294</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2009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Utah</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HUT001</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5,620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32,695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5,620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31,637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37,257</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12,964</w:t>
            </w:r>
          </w:p>
        </w:tc>
        <w:tc>
          <w:tcPr>
            <w:tcW w:w="9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89"/>
              </w:rPr>
              <w:t>1998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64"/>
        </w:trPr>
        <w:tc>
          <w:tcPr>
            <w:tcW w:w="840" w:type="dxa"/>
            <w:vAlign w:val="bottom"/>
          </w:tcPr>
          <w:p>
            <w:pPr>
              <w:ind w:left="40"/>
              <w:spacing w:after="0"/>
              <w:rPr>
                <w:sz w:val="20"/>
                <w:szCs w:val="20"/>
                <w:color w:val="auto"/>
              </w:rPr>
            </w:pPr>
            <w:r>
              <w:rPr>
                <w:rFonts w:ascii="Arial" w:cs="Arial" w:eastAsia="Arial" w:hAnsi="Arial"/>
                <w:sz w:val="14"/>
                <w:szCs w:val="14"/>
                <w:color w:val="auto"/>
              </w:rPr>
              <w:t>Washington</w:t>
            </w:r>
          </w:p>
        </w:tc>
        <w:tc>
          <w:tcPr>
            <w:tcW w:w="700" w:type="dxa"/>
            <w:vAlign w:val="bottom"/>
          </w:tcPr>
          <w:p>
            <w:pPr>
              <w:ind w:left="40"/>
              <w:spacing w:after="0"/>
              <w:rPr>
                <w:sz w:val="20"/>
                <w:szCs w:val="20"/>
                <w:color w:val="auto"/>
              </w:rPr>
            </w:pPr>
            <w:r>
              <w:rPr>
                <w:rFonts w:ascii="Arial" w:cs="Arial" w:eastAsia="Arial" w:hAnsi="Arial"/>
                <w:sz w:val="14"/>
                <w:szCs w:val="14"/>
                <w:color w:val="auto"/>
              </w:rPr>
              <w:t>HWA004</w:t>
            </w:r>
          </w:p>
        </w:tc>
        <w:tc>
          <w:tcPr>
            <w:tcW w:w="3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5,101</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32,080</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(1,031)</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5,101</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31,049</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36,150</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12,580</w:t>
            </w:r>
          </w:p>
        </w:tc>
        <w:tc>
          <w:tcPr>
            <w:tcW w:w="90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1998</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256"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2013</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7"/>
          </w:tcPr>
          <w:p>
            <w:pPr>
              <w:jc w:val="center"/>
              <w:ind w:right="28"/>
              <w:spacing w:after="0"/>
              <w:rPr>
                <w:sz w:val="20"/>
                <w:szCs w:val="20"/>
                <w:color w:val="auto"/>
              </w:rPr>
            </w:pPr>
            <w:r>
              <w:rPr>
                <w:rFonts w:ascii="Arial" w:cs="Arial" w:eastAsia="Arial" w:hAnsi="Arial"/>
                <w:sz w:val="14"/>
                <w:szCs w:val="14"/>
                <w:b w:val="1"/>
                <w:bCs w:val="1"/>
                <w:color w:val="auto"/>
                <w:w w:val="94"/>
              </w:rPr>
              <w:t>Gross Amount Carried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w w:val="99"/>
              </w:rPr>
              <w:t>Initial Cost to Company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at Close of Period</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Building and</w:t>
            </w:r>
          </w:p>
        </w:tc>
        <w:tc>
          <w:tcPr>
            <w:tcW w:w="100" w:type="dxa"/>
            <w:vAlign w:val="bottom"/>
          </w:tcPr>
          <w:p>
            <w:pPr>
              <w:spacing w:after="0"/>
              <w:rPr>
                <w:sz w:val="11"/>
                <w:szCs w:val="11"/>
                <w:color w:val="auto"/>
              </w:rPr>
            </w:pPr>
          </w:p>
        </w:tc>
        <w:tc>
          <w:tcPr>
            <w:tcW w:w="9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4"/>
              </w:rPr>
              <w:t>Capitalized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Building and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1"/>
                <w:szCs w:val="11"/>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Depreciable</w:t>
            </w:r>
          </w:p>
        </w:tc>
        <w:tc>
          <w:tcPr>
            <w:tcW w:w="0" w:type="dxa"/>
            <w:vAlign w:val="bottom"/>
          </w:tcPr>
          <w:p>
            <w:pPr>
              <w:spacing w:after="0"/>
              <w:rPr>
                <w:sz w:val="1"/>
                <w:szCs w:val="1"/>
                <w:color w:val="auto"/>
              </w:rPr>
            </w:pPr>
          </w:p>
        </w:tc>
      </w:tr>
      <w:tr>
        <w:trPr>
          <w:trHeight w:val="149"/>
        </w:trPr>
        <w:tc>
          <w:tcPr>
            <w:tcW w:w="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State</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Subsequent to</w:t>
            </w:r>
          </w:p>
        </w:tc>
        <w:tc>
          <w:tcPr>
            <w:tcW w:w="100" w:type="dxa"/>
            <w:vAlign w:val="bottom"/>
          </w:tcPr>
          <w:p>
            <w:pPr>
              <w:spacing w:after="0"/>
              <w:rPr>
                <w:sz w:val="12"/>
                <w:szCs w:val="12"/>
                <w:color w:val="auto"/>
              </w:rPr>
            </w:pPr>
          </w:p>
        </w:tc>
        <w:tc>
          <w:tcPr>
            <w:tcW w:w="7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Land</w:t>
            </w:r>
          </w:p>
        </w:tc>
        <w:tc>
          <w:tcPr>
            <w:tcW w:w="1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92"/>
        </w:trPr>
        <w:tc>
          <w:tcPr>
            <w:tcW w:w="84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b w:val="1"/>
                <w:bCs w:val="1"/>
                <w:color w:val="auto"/>
                <w:w w:val="93"/>
              </w:rPr>
              <w:t>Encumbrances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Improvements</w:t>
            </w:r>
          </w:p>
        </w:tc>
        <w:tc>
          <w:tcPr>
            <w:tcW w:w="100" w:type="dxa"/>
            <w:vAlign w:val="bottom"/>
          </w:tcPr>
          <w:p>
            <w:pPr>
              <w:spacing w:after="0"/>
              <w:rPr>
                <w:sz w:val="16"/>
                <w:szCs w:val="16"/>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Acquisition(2)</w:t>
            </w: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Improvements</w:t>
            </w: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Depreciation</w:t>
            </w:r>
          </w:p>
        </w:tc>
        <w:tc>
          <w:tcPr>
            <w:tcW w:w="220" w:type="dxa"/>
            <w:vAlign w:val="bottom"/>
          </w:tcPr>
          <w:p>
            <w:pPr>
              <w:spacing w:after="0"/>
              <w:rPr>
                <w:sz w:val="16"/>
                <w:szCs w:val="16"/>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Acquired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8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Subtotal</w:t>
            </w:r>
          </w:p>
        </w:tc>
        <w:tc>
          <w:tcPr>
            <w:tcW w:w="7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47,039</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175,803</w:t>
            </w: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4,746</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47,039</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180,549</w:t>
            </w: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227,588</w:t>
            </w:r>
          </w:p>
        </w:tc>
        <w:tc>
          <w:tcPr>
            <w:tcW w:w="2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55,539</w:t>
            </w:r>
          </w:p>
        </w:tc>
        <w:tc>
          <w:tcPr>
            <w:tcW w:w="22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360" w:type="dxa"/>
            <w:vAlign w:val="bottom"/>
            <w:gridSpan w:val="4"/>
          </w:tcPr>
          <w:p>
            <w:pPr>
              <w:ind w:left="40"/>
              <w:spacing w:after="0"/>
              <w:rPr>
                <w:sz w:val="20"/>
                <w:szCs w:val="20"/>
                <w:color w:val="auto"/>
              </w:rPr>
            </w:pPr>
            <w:r>
              <w:rPr>
                <w:rFonts w:ascii="Arial" w:cs="Arial" w:eastAsia="Arial" w:hAnsi="Arial"/>
                <w:sz w:val="14"/>
                <w:szCs w:val="14"/>
                <w:b w:val="1"/>
                <w:bCs w:val="1"/>
                <w:color w:val="auto"/>
              </w:rPr>
              <w:t>APARTMENT/RESIDENTIAL:</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Arizona</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AAZ001</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2,423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2,423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1,921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4,344</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center"/>
              <w:ind w:left="149"/>
              <w:spacing w:after="0"/>
              <w:rPr>
                <w:sz w:val="20"/>
                <w:szCs w:val="20"/>
                <w:color w:val="auto"/>
              </w:rPr>
            </w:pPr>
            <w:r>
              <w:rPr>
                <w:rFonts w:ascii="Arial" w:cs="Arial" w:eastAsia="Arial" w:hAnsi="Arial"/>
                <w:sz w:val="14"/>
                <w:szCs w:val="14"/>
                <w:color w:val="auto"/>
                <w:w w:val="89"/>
              </w:rPr>
              <w:t>2010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64"/>
        </w:trPr>
        <w:tc>
          <w:tcPr>
            <w:tcW w:w="84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700" w:type="dxa"/>
            <w:vAlign w:val="bottom"/>
          </w:tcPr>
          <w:p>
            <w:pPr>
              <w:ind w:left="40"/>
              <w:spacing w:after="0"/>
              <w:rPr>
                <w:sz w:val="20"/>
                <w:szCs w:val="20"/>
                <w:color w:val="auto"/>
              </w:rPr>
            </w:pPr>
            <w:r>
              <w:rPr>
                <w:rFonts w:ascii="Arial" w:cs="Arial" w:eastAsia="Arial" w:hAnsi="Arial"/>
                <w:sz w:val="14"/>
                <w:szCs w:val="14"/>
                <w:color w:val="auto"/>
              </w:rPr>
              <w:t>ACA001</w:t>
            </w:r>
          </w:p>
        </w:tc>
        <w:tc>
          <w:tcPr>
            <w:tcW w:w="1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7,333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29,333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(16,179)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4,097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16,390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20,487</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center"/>
              <w:ind w:left="149"/>
              <w:spacing w:after="0"/>
              <w:rPr>
                <w:sz w:val="20"/>
                <w:szCs w:val="20"/>
                <w:color w:val="auto"/>
              </w:rPr>
            </w:pPr>
            <w:r>
              <w:rPr>
                <w:rFonts w:ascii="Arial" w:cs="Arial" w:eastAsia="Arial" w:hAnsi="Arial"/>
                <w:sz w:val="14"/>
                <w:szCs w:val="14"/>
                <w:color w:val="auto"/>
                <w:w w:val="89"/>
              </w:rPr>
              <w:t>2009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ACA002</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10,078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40,312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(38,529)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9,489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11,861</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center"/>
              <w:ind w:left="149"/>
              <w:spacing w:after="0"/>
              <w:rPr>
                <w:sz w:val="20"/>
                <w:szCs w:val="20"/>
                <w:color w:val="auto"/>
              </w:rPr>
            </w:pPr>
            <w:r>
              <w:rPr>
                <w:rFonts w:ascii="Arial" w:cs="Arial" w:eastAsia="Arial" w:hAnsi="Arial"/>
                <w:sz w:val="14"/>
                <w:szCs w:val="14"/>
                <w:color w:val="auto"/>
                <w:w w:val="89"/>
              </w:rPr>
              <w:t>2007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64"/>
        </w:trPr>
        <w:tc>
          <w:tcPr>
            <w:tcW w:w="84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700" w:type="dxa"/>
            <w:vAlign w:val="bottom"/>
          </w:tcPr>
          <w:p>
            <w:pPr>
              <w:ind w:left="40"/>
              <w:spacing w:after="0"/>
              <w:rPr>
                <w:sz w:val="20"/>
                <w:szCs w:val="20"/>
                <w:color w:val="auto"/>
              </w:rPr>
            </w:pPr>
            <w:r>
              <w:rPr>
                <w:rFonts w:ascii="Arial" w:cs="Arial" w:eastAsia="Arial" w:hAnsi="Arial"/>
                <w:sz w:val="14"/>
                <w:szCs w:val="14"/>
                <w:color w:val="auto"/>
              </w:rPr>
              <w:t>ACA003</w:t>
            </w:r>
          </w:p>
        </w:tc>
        <w:tc>
          <w:tcPr>
            <w:tcW w:w="1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7,654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17,859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(20,530)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2,296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2,687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4,983</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center"/>
              <w:ind w:left="149"/>
              <w:spacing w:after="0"/>
              <w:rPr>
                <w:sz w:val="20"/>
                <w:szCs w:val="20"/>
                <w:color w:val="auto"/>
              </w:rPr>
            </w:pPr>
            <w:r>
              <w:rPr>
                <w:rFonts w:ascii="Arial" w:cs="Arial" w:eastAsia="Arial" w:hAnsi="Arial"/>
                <w:sz w:val="14"/>
                <w:szCs w:val="14"/>
                <w:color w:val="auto"/>
                <w:w w:val="89"/>
              </w:rPr>
              <w:t>2013</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Florida</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AFL001</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2,394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24,206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(26,239)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361</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center"/>
              <w:ind w:left="149"/>
              <w:spacing w:after="0"/>
              <w:rPr>
                <w:sz w:val="20"/>
                <w:szCs w:val="20"/>
                <w:color w:val="auto"/>
              </w:rPr>
            </w:pPr>
            <w:r>
              <w:rPr>
                <w:rFonts w:ascii="Arial" w:cs="Arial" w:eastAsia="Arial" w:hAnsi="Arial"/>
                <w:sz w:val="14"/>
                <w:szCs w:val="14"/>
                <w:color w:val="auto"/>
                <w:w w:val="89"/>
              </w:rPr>
              <w:t>2009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64"/>
        </w:trPr>
        <w:tc>
          <w:tcPr>
            <w:tcW w:w="840" w:type="dxa"/>
            <w:vAlign w:val="bottom"/>
          </w:tcPr>
          <w:p>
            <w:pPr>
              <w:ind w:left="40"/>
              <w:spacing w:after="0"/>
              <w:rPr>
                <w:sz w:val="20"/>
                <w:szCs w:val="20"/>
                <w:color w:val="auto"/>
              </w:rPr>
            </w:pPr>
            <w:r>
              <w:rPr>
                <w:rFonts w:ascii="Arial" w:cs="Arial" w:eastAsia="Arial" w:hAnsi="Arial"/>
                <w:sz w:val="14"/>
                <w:szCs w:val="14"/>
                <w:color w:val="auto"/>
              </w:rPr>
              <w:t>Florida</w:t>
            </w:r>
          </w:p>
        </w:tc>
        <w:tc>
          <w:tcPr>
            <w:tcW w:w="700" w:type="dxa"/>
            <w:vAlign w:val="bottom"/>
          </w:tcPr>
          <w:p>
            <w:pPr>
              <w:ind w:left="40"/>
              <w:spacing w:after="0"/>
              <w:rPr>
                <w:sz w:val="20"/>
                <w:szCs w:val="20"/>
                <w:color w:val="auto"/>
              </w:rPr>
            </w:pPr>
            <w:r>
              <w:rPr>
                <w:rFonts w:ascii="Arial" w:cs="Arial" w:eastAsia="Arial" w:hAnsi="Arial"/>
                <w:sz w:val="14"/>
                <w:szCs w:val="14"/>
                <w:color w:val="auto"/>
              </w:rPr>
              <w:t>AFL002</w:t>
            </w:r>
          </w:p>
        </w:tc>
        <w:tc>
          <w:tcPr>
            <w:tcW w:w="1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6,540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15,260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6,540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14,433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20,973</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center"/>
              <w:ind w:left="149"/>
              <w:spacing w:after="0"/>
              <w:rPr>
                <w:sz w:val="20"/>
                <w:szCs w:val="20"/>
                <w:color w:val="auto"/>
              </w:rPr>
            </w:pPr>
            <w:r>
              <w:rPr>
                <w:rFonts w:ascii="Arial" w:cs="Arial" w:eastAsia="Arial" w:hAnsi="Arial"/>
                <w:sz w:val="14"/>
                <w:szCs w:val="14"/>
                <w:color w:val="auto"/>
                <w:w w:val="89"/>
              </w:rPr>
              <w:t>2010</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Florida</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AFL003</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30,900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30,900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(55,614)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3,093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3,093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6,186</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center"/>
              <w:ind w:left="149"/>
              <w:spacing w:after="0"/>
              <w:rPr>
                <w:sz w:val="20"/>
                <w:szCs w:val="20"/>
                <w:color w:val="auto"/>
              </w:rPr>
            </w:pPr>
            <w:r>
              <w:rPr>
                <w:rFonts w:ascii="Arial" w:cs="Arial" w:eastAsia="Arial" w:hAnsi="Arial"/>
                <w:sz w:val="14"/>
                <w:szCs w:val="14"/>
                <w:color w:val="auto"/>
                <w:w w:val="89"/>
              </w:rPr>
              <w:t>2011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64"/>
        </w:trPr>
        <w:tc>
          <w:tcPr>
            <w:tcW w:w="840" w:type="dxa"/>
            <w:vAlign w:val="bottom"/>
          </w:tcPr>
          <w:p>
            <w:pPr>
              <w:ind w:left="40"/>
              <w:spacing w:after="0"/>
              <w:rPr>
                <w:sz w:val="20"/>
                <w:szCs w:val="20"/>
                <w:color w:val="auto"/>
              </w:rPr>
            </w:pPr>
            <w:r>
              <w:rPr>
                <w:rFonts w:ascii="Arial" w:cs="Arial" w:eastAsia="Arial" w:hAnsi="Arial"/>
                <w:sz w:val="14"/>
                <w:szCs w:val="14"/>
                <w:color w:val="auto"/>
              </w:rPr>
              <w:t>Georgia</w:t>
            </w:r>
          </w:p>
        </w:tc>
        <w:tc>
          <w:tcPr>
            <w:tcW w:w="700" w:type="dxa"/>
            <w:vAlign w:val="bottom"/>
          </w:tcPr>
          <w:p>
            <w:pPr>
              <w:ind w:left="40"/>
              <w:spacing w:after="0"/>
              <w:rPr>
                <w:sz w:val="20"/>
                <w:szCs w:val="20"/>
                <w:color w:val="auto"/>
              </w:rPr>
            </w:pPr>
            <w:r>
              <w:rPr>
                <w:rFonts w:ascii="Arial" w:cs="Arial" w:eastAsia="Arial" w:hAnsi="Arial"/>
                <w:sz w:val="14"/>
                <w:szCs w:val="14"/>
                <w:color w:val="auto"/>
              </w:rPr>
              <w:t>AGA001</w:t>
            </w:r>
          </w:p>
        </w:tc>
        <w:tc>
          <w:tcPr>
            <w:tcW w:w="1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2,963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11,850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5,148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3,992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15,969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19,961</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center"/>
              <w:ind w:left="149"/>
              <w:spacing w:after="0"/>
              <w:rPr>
                <w:sz w:val="20"/>
                <w:szCs w:val="20"/>
                <w:color w:val="auto"/>
              </w:rPr>
            </w:pPr>
            <w:r>
              <w:rPr>
                <w:rFonts w:ascii="Arial" w:cs="Arial" w:eastAsia="Arial" w:hAnsi="Arial"/>
                <w:sz w:val="14"/>
                <w:szCs w:val="14"/>
                <w:color w:val="auto"/>
                <w:w w:val="89"/>
              </w:rPr>
              <w:t>2010</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Hawaii</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AHI001</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8,080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12,120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1,665</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center"/>
              <w:ind w:left="149"/>
              <w:spacing w:after="0"/>
              <w:rPr>
                <w:sz w:val="20"/>
                <w:szCs w:val="20"/>
                <w:color w:val="auto"/>
              </w:rPr>
            </w:pPr>
            <w:r>
              <w:rPr>
                <w:rFonts w:ascii="Arial" w:cs="Arial" w:eastAsia="Arial" w:hAnsi="Arial"/>
                <w:sz w:val="14"/>
                <w:szCs w:val="14"/>
                <w:color w:val="auto"/>
                <w:w w:val="89"/>
              </w:rPr>
              <w:t>2010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64"/>
        </w:trPr>
        <w:tc>
          <w:tcPr>
            <w:tcW w:w="840" w:type="dxa"/>
            <w:vAlign w:val="bottom"/>
          </w:tcPr>
          <w:p>
            <w:pPr>
              <w:ind w:left="40"/>
              <w:spacing w:after="0"/>
              <w:rPr>
                <w:sz w:val="20"/>
                <w:szCs w:val="20"/>
                <w:color w:val="auto"/>
              </w:rPr>
            </w:pPr>
            <w:r>
              <w:rPr>
                <w:rFonts w:ascii="Arial" w:cs="Arial" w:eastAsia="Arial" w:hAnsi="Arial"/>
                <w:sz w:val="14"/>
                <w:szCs w:val="14"/>
                <w:color w:val="auto"/>
              </w:rPr>
              <w:t>Hawaii</w:t>
            </w:r>
          </w:p>
        </w:tc>
        <w:tc>
          <w:tcPr>
            <w:tcW w:w="700" w:type="dxa"/>
            <w:vAlign w:val="bottom"/>
          </w:tcPr>
          <w:p>
            <w:pPr>
              <w:ind w:left="40"/>
              <w:spacing w:after="0"/>
              <w:rPr>
                <w:sz w:val="20"/>
                <w:szCs w:val="20"/>
                <w:color w:val="auto"/>
              </w:rPr>
            </w:pPr>
            <w:r>
              <w:rPr>
                <w:rFonts w:ascii="Arial" w:cs="Arial" w:eastAsia="Arial" w:hAnsi="Arial"/>
                <w:sz w:val="14"/>
                <w:szCs w:val="14"/>
                <w:color w:val="auto"/>
              </w:rPr>
              <w:t>AHI003</w:t>
            </w:r>
          </w:p>
        </w:tc>
        <w:tc>
          <w:tcPr>
            <w:tcW w:w="1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3,483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9,417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(10,090)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759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2,051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2,810</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center"/>
              <w:ind w:left="149"/>
              <w:spacing w:after="0"/>
              <w:rPr>
                <w:sz w:val="20"/>
                <w:szCs w:val="20"/>
                <w:color w:val="auto"/>
              </w:rPr>
            </w:pPr>
            <w:r>
              <w:rPr>
                <w:rFonts w:ascii="Arial" w:cs="Arial" w:eastAsia="Arial" w:hAnsi="Arial"/>
                <w:sz w:val="14"/>
                <w:szCs w:val="14"/>
                <w:color w:val="auto"/>
                <w:w w:val="89"/>
              </w:rPr>
              <w:t>2009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Nevada</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ANZ001</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18,117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106,829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(103,327)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3,134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18,485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21,619</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center"/>
              <w:ind w:left="149"/>
              <w:spacing w:after="0"/>
              <w:rPr>
                <w:sz w:val="20"/>
                <w:szCs w:val="20"/>
                <w:color w:val="auto"/>
              </w:rPr>
            </w:pPr>
            <w:r>
              <w:rPr>
                <w:rFonts w:ascii="Arial" w:cs="Arial" w:eastAsia="Arial" w:hAnsi="Arial"/>
                <w:sz w:val="14"/>
                <w:szCs w:val="14"/>
                <w:color w:val="auto"/>
                <w:w w:val="89"/>
              </w:rPr>
              <w:t>2009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64"/>
        </w:trPr>
        <w:tc>
          <w:tcPr>
            <w:tcW w:w="840" w:type="dxa"/>
            <w:vAlign w:val="bottom"/>
          </w:tcPr>
          <w:p>
            <w:pPr>
              <w:ind w:left="40"/>
              <w:spacing w:after="0"/>
              <w:rPr>
                <w:sz w:val="20"/>
                <w:szCs w:val="20"/>
                <w:color w:val="auto"/>
              </w:rPr>
            </w:pPr>
            <w:r>
              <w:rPr>
                <w:rFonts w:ascii="Arial" w:cs="Arial" w:eastAsia="Arial" w:hAnsi="Arial"/>
                <w:sz w:val="14"/>
                <w:szCs w:val="14"/>
                <w:color w:val="auto"/>
              </w:rPr>
              <w:t>New Jersey</w:t>
            </w:r>
          </w:p>
        </w:tc>
        <w:tc>
          <w:tcPr>
            <w:tcW w:w="700" w:type="dxa"/>
            <w:vAlign w:val="bottom"/>
          </w:tcPr>
          <w:p>
            <w:pPr>
              <w:ind w:left="40"/>
              <w:spacing w:after="0"/>
              <w:rPr>
                <w:sz w:val="20"/>
                <w:szCs w:val="20"/>
                <w:color w:val="auto"/>
              </w:rPr>
            </w:pPr>
            <w:r>
              <w:rPr>
                <w:rFonts w:ascii="Arial" w:cs="Arial" w:eastAsia="Arial" w:hAnsi="Arial"/>
                <w:sz w:val="14"/>
                <w:szCs w:val="14"/>
                <w:color w:val="auto"/>
              </w:rPr>
              <w:t>ANJ001</w:t>
            </w:r>
          </w:p>
        </w:tc>
        <w:tc>
          <w:tcPr>
            <w:tcW w:w="1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36,405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64,719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(89,134)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4,316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7,674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11,990</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center"/>
              <w:ind w:left="149"/>
              <w:spacing w:after="0"/>
              <w:rPr>
                <w:sz w:val="20"/>
                <w:szCs w:val="20"/>
                <w:color w:val="auto"/>
              </w:rPr>
            </w:pPr>
            <w:r>
              <w:rPr>
                <w:rFonts w:ascii="Arial" w:cs="Arial" w:eastAsia="Arial" w:hAnsi="Arial"/>
                <w:sz w:val="14"/>
                <w:szCs w:val="14"/>
                <w:color w:val="auto"/>
                <w:w w:val="89"/>
              </w:rPr>
              <w:t>2009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3"/>
              </w:rPr>
              <w:t>Pennsylvania</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APA001</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44,438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82,527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(93,932)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11,562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21,471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33,033</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center"/>
              <w:ind w:left="149"/>
              <w:spacing w:after="0"/>
              <w:rPr>
                <w:sz w:val="20"/>
                <w:szCs w:val="20"/>
                <w:color w:val="auto"/>
              </w:rPr>
            </w:pPr>
            <w:r>
              <w:rPr>
                <w:rFonts w:ascii="Arial" w:cs="Arial" w:eastAsia="Arial" w:hAnsi="Arial"/>
                <w:sz w:val="14"/>
                <w:szCs w:val="14"/>
                <w:color w:val="auto"/>
                <w:w w:val="89"/>
              </w:rPr>
              <w:t>2012</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64"/>
        </w:trPr>
        <w:tc>
          <w:tcPr>
            <w:tcW w:w="840" w:type="dxa"/>
            <w:vAlign w:val="bottom"/>
          </w:tcPr>
          <w:p>
            <w:pPr>
              <w:ind w:left="40"/>
              <w:spacing w:after="0"/>
              <w:rPr>
                <w:sz w:val="20"/>
                <w:szCs w:val="20"/>
                <w:color w:val="auto"/>
              </w:rPr>
            </w:pPr>
            <w:r>
              <w:rPr>
                <w:rFonts w:ascii="Arial" w:cs="Arial" w:eastAsia="Arial" w:hAnsi="Arial"/>
                <w:sz w:val="14"/>
                <w:szCs w:val="14"/>
                <w:color w:val="auto"/>
                <w:w w:val="93"/>
              </w:rPr>
              <w:t>Pennsylvania</w:t>
            </w:r>
          </w:p>
        </w:tc>
        <w:tc>
          <w:tcPr>
            <w:tcW w:w="700" w:type="dxa"/>
            <w:vAlign w:val="bottom"/>
          </w:tcPr>
          <w:p>
            <w:pPr>
              <w:ind w:left="40"/>
              <w:spacing w:after="0"/>
              <w:rPr>
                <w:sz w:val="20"/>
                <w:szCs w:val="20"/>
                <w:color w:val="auto"/>
              </w:rPr>
            </w:pPr>
            <w:r>
              <w:rPr>
                <w:rFonts w:ascii="Arial" w:cs="Arial" w:eastAsia="Arial" w:hAnsi="Arial"/>
                <w:sz w:val="14"/>
                <w:szCs w:val="14"/>
                <w:color w:val="auto"/>
              </w:rPr>
              <w:t>APA002</w:t>
            </w:r>
          </w:p>
        </w:tc>
        <w:tc>
          <w:tcPr>
            <w:tcW w:w="1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15,890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29,510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(6,106)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15,891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23,403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39,294</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center"/>
              <w:ind w:left="149"/>
              <w:spacing w:after="0"/>
              <w:rPr>
                <w:sz w:val="20"/>
                <w:szCs w:val="20"/>
                <w:color w:val="auto"/>
              </w:rPr>
            </w:pPr>
            <w:r>
              <w:rPr>
                <w:rFonts w:ascii="Arial" w:cs="Arial" w:eastAsia="Arial" w:hAnsi="Arial"/>
                <w:sz w:val="14"/>
                <w:szCs w:val="14"/>
                <w:color w:val="auto"/>
                <w:w w:val="89"/>
              </w:rPr>
              <w:t>2012</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70"/>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Washington</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AWA001</w:t>
            </w:r>
          </w:p>
        </w:tc>
        <w:tc>
          <w:tcPr>
            <w:tcW w:w="1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2,342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44,478</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(40,189)</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6,298</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6,631</w:t>
            </w:r>
          </w:p>
        </w:tc>
        <w:tc>
          <w:tcPr>
            <w:tcW w:w="2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center"/>
              <w:ind w:left="149"/>
              <w:spacing w:after="0"/>
              <w:rPr>
                <w:sz w:val="20"/>
                <w:szCs w:val="20"/>
                <w:color w:val="auto"/>
              </w:rPr>
            </w:pPr>
            <w:r>
              <w:rPr>
                <w:rFonts w:ascii="Arial" w:cs="Arial" w:eastAsia="Arial" w:hAnsi="Arial"/>
                <w:sz w:val="14"/>
                <w:szCs w:val="14"/>
                <w:color w:val="auto"/>
                <w:w w:val="89"/>
              </w:rPr>
              <w:t>2009</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50"/>
        </w:trPr>
        <w:tc>
          <w:tcPr>
            <w:tcW w:w="840" w:type="dxa"/>
            <w:vAlign w:val="bottom"/>
          </w:tcPr>
          <w:p>
            <w:pPr>
              <w:ind w:left="40"/>
              <w:spacing w:after="0"/>
              <w:rPr>
                <w:sz w:val="20"/>
                <w:szCs w:val="20"/>
                <w:color w:val="auto"/>
              </w:rPr>
            </w:pPr>
            <w:r>
              <w:rPr>
                <w:rFonts w:ascii="Arial" w:cs="Arial" w:eastAsia="Arial" w:hAnsi="Arial"/>
                <w:sz w:val="14"/>
                <w:szCs w:val="14"/>
                <w:color w:val="auto"/>
              </w:rPr>
              <w:t>Subtotal</w:t>
            </w:r>
          </w:p>
        </w:tc>
        <w:tc>
          <w:tcPr>
            <w:tcW w:w="7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199,040</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519,320</w:t>
            </w:r>
          </w:p>
        </w:tc>
        <w:tc>
          <w:tcPr>
            <w:tcW w:w="10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(512,162)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61,506</w:t>
            </w:r>
          </w:p>
        </w:tc>
        <w:tc>
          <w:tcPr>
            <w:tcW w:w="2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144,692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206,198</w:t>
            </w:r>
          </w:p>
        </w:tc>
        <w:tc>
          <w:tcPr>
            <w:tcW w:w="2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5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MIXED USE:</w:t>
            </w:r>
          </w:p>
        </w:tc>
        <w:tc>
          <w:tcPr>
            <w:tcW w:w="16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4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40" w:type="dxa"/>
            <w:vAlign w:val="bottom"/>
          </w:tcPr>
          <w:p>
            <w:pPr>
              <w:ind w:left="40"/>
              <w:spacing w:after="0"/>
              <w:rPr>
                <w:sz w:val="20"/>
                <w:szCs w:val="20"/>
                <w:color w:val="auto"/>
              </w:rPr>
            </w:pPr>
            <w:r>
              <w:rPr>
                <w:rFonts w:ascii="Arial" w:cs="Arial" w:eastAsia="Arial" w:hAnsi="Arial"/>
                <w:sz w:val="14"/>
                <w:szCs w:val="14"/>
                <w:color w:val="auto"/>
              </w:rPr>
              <w:t>Arizona</w:t>
            </w:r>
          </w:p>
        </w:tc>
        <w:tc>
          <w:tcPr>
            <w:tcW w:w="700" w:type="dxa"/>
            <w:vAlign w:val="bottom"/>
          </w:tcPr>
          <w:p>
            <w:pPr>
              <w:ind w:left="40"/>
              <w:spacing w:after="0"/>
              <w:rPr>
                <w:sz w:val="20"/>
                <w:szCs w:val="20"/>
                <w:color w:val="auto"/>
              </w:rPr>
            </w:pPr>
            <w:r>
              <w:rPr>
                <w:rFonts w:ascii="Arial" w:cs="Arial" w:eastAsia="Arial" w:hAnsi="Arial"/>
                <w:sz w:val="14"/>
                <w:szCs w:val="14"/>
                <w:color w:val="auto"/>
              </w:rPr>
              <w:t>MAZ002</w:t>
            </w:r>
          </w:p>
        </w:tc>
        <w:tc>
          <w:tcPr>
            <w:tcW w:w="1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10,182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52,544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17,269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10,031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69,965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79,995</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5,035</w:t>
            </w:r>
          </w:p>
        </w:tc>
        <w:tc>
          <w:tcPr>
            <w:tcW w:w="900" w:type="dxa"/>
            <w:vAlign w:val="bottom"/>
            <w:gridSpan w:val="2"/>
          </w:tcPr>
          <w:p>
            <w:pPr>
              <w:jc w:val="center"/>
              <w:ind w:left="149"/>
              <w:spacing w:after="0"/>
              <w:rPr>
                <w:sz w:val="20"/>
                <w:szCs w:val="20"/>
                <w:color w:val="auto"/>
              </w:rPr>
            </w:pPr>
            <w:r>
              <w:rPr>
                <w:rFonts w:ascii="Arial" w:cs="Arial" w:eastAsia="Arial" w:hAnsi="Arial"/>
                <w:sz w:val="14"/>
                <w:szCs w:val="14"/>
                <w:color w:val="auto"/>
                <w:w w:val="89"/>
              </w:rPr>
              <w:t>2011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6"/>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MCA001</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5,869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5,870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6,501</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c>
          <w:tcPr>
            <w:tcW w:w="900" w:type="dxa"/>
            <w:vAlign w:val="bottom"/>
            <w:gridSpan w:val="2"/>
            <w:shd w:val="clear" w:color="auto" w:fill="CCEEFF"/>
          </w:tcPr>
          <w:p>
            <w:pPr>
              <w:jc w:val="center"/>
              <w:ind w:left="149"/>
              <w:spacing w:after="0"/>
              <w:rPr>
                <w:sz w:val="20"/>
                <w:szCs w:val="20"/>
                <w:color w:val="auto"/>
              </w:rPr>
            </w:pPr>
            <w:r>
              <w:rPr>
                <w:rFonts w:ascii="Arial" w:cs="Arial" w:eastAsia="Arial" w:hAnsi="Arial"/>
                <w:sz w:val="14"/>
                <w:szCs w:val="14"/>
                <w:color w:val="auto"/>
                <w:w w:val="89"/>
              </w:rPr>
              <w:t>2010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64"/>
        </w:trPr>
        <w:tc>
          <w:tcPr>
            <w:tcW w:w="840" w:type="dxa"/>
            <w:vAlign w:val="bottom"/>
          </w:tcPr>
          <w:p>
            <w:pPr>
              <w:ind w:left="40"/>
              <w:spacing w:after="0"/>
              <w:rPr>
                <w:sz w:val="20"/>
                <w:szCs w:val="20"/>
                <w:color w:val="auto"/>
              </w:rPr>
            </w:pPr>
            <w:r>
              <w:rPr>
                <w:rFonts w:ascii="Arial" w:cs="Arial" w:eastAsia="Arial" w:hAnsi="Arial"/>
                <w:sz w:val="14"/>
                <w:szCs w:val="14"/>
                <w:color w:val="auto"/>
              </w:rPr>
              <w:t>Florida</w:t>
            </w:r>
          </w:p>
        </w:tc>
        <w:tc>
          <w:tcPr>
            <w:tcW w:w="700" w:type="dxa"/>
            <w:vAlign w:val="bottom"/>
          </w:tcPr>
          <w:p>
            <w:pPr>
              <w:ind w:left="40"/>
              <w:spacing w:after="0"/>
              <w:rPr>
                <w:sz w:val="20"/>
                <w:szCs w:val="20"/>
                <w:color w:val="auto"/>
              </w:rPr>
            </w:pPr>
            <w:r>
              <w:rPr>
                <w:rFonts w:ascii="Arial" w:cs="Arial" w:eastAsia="Arial" w:hAnsi="Arial"/>
                <w:sz w:val="14"/>
                <w:szCs w:val="14"/>
                <w:color w:val="auto"/>
              </w:rPr>
              <w:t>MFL001</w:t>
            </w:r>
          </w:p>
        </w:tc>
        <w:tc>
          <w:tcPr>
            <w:tcW w:w="1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8,450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8,216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(2,960)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8,450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5,256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13,706</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1,392</w:t>
            </w:r>
          </w:p>
        </w:tc>
        <w:tc>
          <w:tcPr>
            <w:tcW w:w="900" w:type="dxa"/>
            <w:vAlign w:val="bottom"/>
            <w:gridSpan w:val="2"/>
          </w:tcPr>
          <w:p>
            <w:pPr>
              <w:jc w:val="center"/>
              <w:ind w:left="149"/>
              <w:spacing w:after="0"/>
              <w:rPr>
                <w:sz w:val="20"/>
                <w:szCs w:val="20"/>
                <w:color w:val="auto"/>
              </w:rPr>
            </w:pPr>
            <w:r>
              <w:rPr>
                <w:rFonts w:ascii="Arial" w:cs="Arial" w:eastAsia="Arial" w:hAnsi="Arial"/>
                <w:sz w:val="14"/>
                <w:szCs w:val="14"/>
                <w:color w:val="auto"/>
                <w:w w:val="89"/>
              </w:rPr>
              <w:t>2008</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40.0</w:t>
            </w:r>
          </w:p>
        </w:tc>
        <w:tc>
          <w:tcPr>
            <w:tcW w:w="0" w:type="dxa"/>
            <w:vAlign w:val="bottom"/>
          </w:tcPr>
          <w:p>
            <w:pPr>
              <w:spacing w:after="0"/>
              <w:rPr>
                <w:sz w:val="1"/>
                <w:szCs w:val="1"/>
                <w:color w:val="auto"/>
              </w:rPr>
            </w:pPr>
          </w:p>
        </w:tc>
      </w:tr>
      <w:tr>
        <w:trPr>
          <w:trHeight w:val="270"/>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Georgia</w:t>
            </w: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MGA001</w:t>
            </w:r>
          </w:p>
        </w:tc>
        <w:tc>
          <w:tcPr>
            <w:tcW w:w="1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4,480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17,916</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1,981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4,479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19,897</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24,377</w:t>
            </w:r>
          </w:p>
        </w:tc>
        <w:tc>
          <w:tcPr>
            <w:tcW w:w="2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496</w:t>
            </w:r>
          </w:p>
        </w:tc>
        <w:tc>
          <w:tcPr>
            <w:tcW w:w="900" w:type="dxa"/>
            <w:vAlign w:val="bottom"/>
            <w:gridSpan w:val="2"/>
            <w:shd w:val="clear" w:color="auto" w:fill="CCEEFF"/>
          </w:tcPr>
          <w:p>
            <w:pPr>
              <w:jc w:val="center"/>
              <w:ind w:left="149"/>
              <w:spacing w:after="0"/>
              <w:rPr>
                <w:sz w:val="20"/>
                <w:szCs w:val="20"/>
                <w:color w:val="auto"/>
              </w:rPr>
            </w:pPr>
            <w:r>
              <w:rPr>
                <w:rFonts w:ascii="Arial" w:cs="Arial" w:eastAsia="Arial" w:hAnsi="Arial"/>
                <w:sz w:val="14"/>
                <w:szCs w:val="14"/>
                <w:color w:val="auto"/>
                <w:w w:val="89"/>
              </w:rPr>
              <w:t>2010</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250"/>
        </w:trPr>
        <w:tc>
          <w:tcPr>
            <w:tcW w:w="8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Subtotal</w:t>
            </w:r>
          </w:p>
        </w:tc>
        <w:tc>
          <w:tcPr>
            <w:tcW w:w="7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28,981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79,305</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16,293</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28,830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95,749</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124,579</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6,967</w:t>
            </w:r>
          </w:p>
        </w:tc>
        <w:tc>
          <w:tcPr>
            <w:tcW w:w="22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7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281,429</w:t>
            </w: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9"/>
              </w:rPr>
              <w:t>1,603,209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9"/>
              </w:rPr>
              <w:t>2,230,043</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(244,180)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9"/>
              </w:rPr>
              <w:t>1,464,930</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9"/>
              </w:rPr>
              <w:t>2,124,142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9"/>
              </w:rPr>
              <w:t>3,589,072</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8"/>
                <w:szCs w:val="8"/>
                <w:color w:val="auto"/>
                <w:w w:val="71"/>
              </w:rPr>
              <w:t>(4)</w:t>
            </w:r>
            <w:r>
              <w:rPr>
                <w:rFonts w:ascii="Arial" w:cs="Arial" w:eastAsia="Arial" w:hAnsi="Arial"/>
                <w:sz w:val="12"/>
                <w:szCs w:val="12"/>
                <w:color w:val="auto"/>
                <w:w w:val="71"/>
                <w:vertAlign w:val="superscript"/>
              </w:rPr>
              <w:t>(3)</w:t>
            </w: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432,374</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properties pledged as collateral under the Company's secured credit facilities with a total book value of $1.43 billion.</w:t>
      </w:r>
    </w:p>
    <w:p>
      <w:pPr>
        <w:spacing w:after="0" w:line="13" w:lineRule="exact"/>
        <w:rPr>
          <w:rFonts w:ascii="Arial" w:cs="Arial" w:eastAsia="Arial" w:hAnsi="Arial"/>
          <w:sz w:val="14"/>
          <w:szCs w:val="14"/>
          <w:color w:val="auto"/>
        </w:rPr>
      </w:pPr>
    </w:p>
    <w:p>
      <w:pPr>
        <w:ind w:left="660" w:hanging="652"/>
        <w:spacing w:after="0"/>
        <w:tabs>
          <w:tab w:leader="none" w:pos="6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impairments and unit sales.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aggregate cost for Federal income tax purposes was approximately $3.86 billion at December 31, 2013.</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$7.9 million relating to accumulated depreciation for real estate assets held for sale as of December 31, 2013.</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256" w:right="239" w:bottom="1440" w:gutter="0" w:footer="0" w:header="0"/>
        </w:sectPr>
      </w:pPr>
    </w:p>
    <w:bookmarkStart w:id="109" w:name="page110"/>
    <w:bookmarkEnd w:id="109"/>
    <w:p>
      <w:pPr>
        <w:ind w:left="4940"/>
        <w:spacing w:after="0"/>
        <w:rPr>
          <w:sz w:val="20"/>
          <w:szCs w:val="20"/>
          <w:color w:val="auto"/>
        </w:rPr>
      </w:pPr>
      <w:r>
        <w:rPr>
          <w:rFonts w:ascii="Arial" w:cs="Arial" w:eastAsia="Arial" w:hAnsi="Arial"/>
          <w:sz w:val="18"/>
          <w:szCs w:val="18"/>
          <w:b w:val="1"/>
          <w:bCs w:val="1"/>
          <w:color w:val="auto"/>
        </w:rPr>
        <w:t>iStar Financial, Inc.</w:t>
      </w:r>
    </w:p>
    <w:p>
      <w:pPr>
        <w:spacing w:after="0" w:line="279" w:lineRule="exact"/>
        <w:rPr>
          <w:sz w:val="20"/>
          <w:szCs w:val="20"/>
          <w:color w:val="auto"/>
        </w:rPr>
      </w:pPr>
    </w:p>
    <w:p>
      <w:pPr>
        <w:jc w:val="right"/>
        <w:ind w:right="1799"/>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27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of December 31, 2013</w:t>
      </w:r>
    </w:p>
    <w:p>
      <w:pPr>
        <w:spacing w:after="0" w:line="14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60" w:hanging="352"/>
        <w:spacing w:after="0"/>
        <w:tabs>
          <w:tab w:leader="none" w:pos="3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Real Estate:</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reconciles Real Estate from January 1, 2011 to December 31, 2013:</w:t>
      </w:r>
    </w:p>
    <w:p>
      <w:pPr>
        <w:spacing w:after="0" w:line="365" w:lineRule="exact"/>
        <w:rPr>
          <w:sz w:val="20"/>
          <w:szCs w:val="20"/>
          <w:color w:val="auto"/>
        </w:rPr>
      </w:pPr>
    </w:p>
    <w:tbl>
      <w:tblPr>
        <w:tblLayout w:type="fixed"/>
        <w:tblInd w:w="1920" w:type="dxa"/>
        <w:tblCellMar>
          <w:top w:w="0" w:type="dxa"/>
          <w:left w:w="0" w:type="dxa"/>
          <w:bottom w:w="0" w:type="dxa"/>
          <w:right w:w="0" w:type="dxa"/>
        </w:tblCellMar>
      </w:tblPr>
      <w:tr>
        <w:trPr>
          <w:trHeight w:val="192"/>
        </w:trPr>
        <w:tc>
          <w:tcPr>
            <w:tcW w:w="37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2011</w:t>
            </w: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3,763,310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3,927,750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3,672,966</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Improvements and additions</w:t>
            </w: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126,664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111,760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43,671</w:t>
            </w:r>
          </w:p>
        </w:tc>
      </w:tr>
      <w:tr>
        <w:trPr>
          <w:trHeight w:val="27"/>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 through foreclosure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501,519</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Other acquisitions</w:t>
            </w: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69,379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Dispositions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(388,906)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(510,504)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(269,761)</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Impairments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(34,796)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(20,645)</w:t>
            </w:r>
          </w:p>
        </w:tc>
      </w:tr>
      <w:tr>
        <w:trPr>
          <w:trHeight w:val="27"/>
        </w:trPr>
        <w:tc>
          <w:tcPr>
            <w:tcW w:w="3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3,589,072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3,763,310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3,927,750</w:t>
            </w:r>
          </w:p>
        </w:tc>
      </w:tr>
      <w:tr>
        <w:trPr>
          <w:trHeight w:val="20"/>
        </w:trPr>
        <w:tc>
          <w:tcPr>
            <w:tcW w:w="3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360" w:hanging="352"/>
        <w:spacing w:after="0"/>
        <w:tabs>
          <w:tab w:leader="none" w:pos="3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Accumulated Depreciation:</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reconciles Accumulated Depreciation from January 1, 2011 to December 31, 2013:</w:t>
      </w:r>
    </w:p>
    <w:p>
      <w:pPr>
        <w:spacing w:after="0" w:line="365" w:lineRule="exact"/>
        <w:rPr>
          <w:sz w:val="20"/>
          <w:szCs w:val="20"/>
          <w:color w:val="auto"/>
        </w:rPr>
      </w:pPr>
    </w:p>
    <w:tbl>
      <w:tblPr>
        <w:tblLayout w:type="fixed"/>
        <w:tblInd w:w="1960" w:type="dxa"/>
        <w:tblCellMar>
          <w:top w:w="0" w:type="dxa"/>
          <w:left w:w="0" w:type="dxa"/>
          <w:bottom w:w="0" w:type="dxa"/>
          <w:right w:w="0" w:type="dxa"/>
        </w:tblCellMar>
      </w:tblPr>
      <w:tr>
        <w:trPr>
          <w:trHeight w:val="192"/>
        </w:trPr>
        <w:tc>
          <w:tcPr>
            <w:tcW w:w="35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2011</w:t>
            </w: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(388,346)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(356,810)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(327,682)</w:t>
            </w: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Additions</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(59,208)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(59,968)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(52,418)</w:t>
            </w:r>
          </w:p>
        </w:tc>
      </w:tr>
      <w:tr>
        <w:trPr>
          <w:trHeight w:val="27"/>
        </w:trPr>
        <w:tc>
          <w:tcPr>
            <w:tcW w:w="3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Dispositions</w:t>
            </w: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15,180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23,290</w:t>
            </w:r>
          </w:p>
        </w:tc>
      </w:tr>
      <w:tr>
        <w:trPr>
          <w:trHeight w:val="257"/>
        </w:trPr>
        <w:tc>
          <w:tcPr>
            <w:tcW w:w="3520" w:type="dxa"/>
            <w:vAlign w:val="bottom"/>
          </w:tcPr>
          <w:p>
            <w:pPr>
              <w:ind w:left="20"/>
              <w:spacing w:after="0"/>
              <w:rPr>
                <w:sz w:val="20"/>
                <w:szCs w:val="20"/>
                <w:color w:val="auto"/>
              </w:rPr>
            </w:pPr>
            <w:r>
              <w:rPr>
                <w:rFonts w:ascii="Arial" w:cs="Arial" w:eastAsia="Arial" w:hAnsi="Arial"/>
                <w:sz w:val="18"/>
                <w:szCs w:val="18"/>
                <w:color w:val="auto"/>
              </w:rPr>
              <w:t>Balance at December 31</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(432,374)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(388,346)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(356,810)</w:t>
            </w:r>
          </w:p>
        </w:tc>
      </w:tr>
      <w:tr>
        <w:trPr>
          <w:trHeight w:val="20"/>
        </w:trPr>
        <w:tc>
          <w:tcPr>
            <w:tcW w:w="3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46"/>
        </w:trPr>
        <w:tc>
          <w:tcPr>
            <w:tcW w:w="3520" w:type="dxa"/>
            <w:vAlign w:val="bottom"/>
          </w:tcPr>
          <w:p>
            <w:pPr>
              <w:spacing w:after="0"/>
              <w:rPr>
                <w:sz w:val="24"/>
                <w:szCs w:val="24"/>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19"/>
          </w:cols>
          <w:pgMar w:left="240" w:top="256" w:right="1440"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IV—Mortgage Loans on Real Estate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December 31, 2013</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Contractual</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Contractual</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Face</w:t>
            </w:r>
          </w:p>
        </w:tc>
        <w:tc>
          <w:tcPr>
            <w:tcW w:w="160" w:type="dxa"/>
            <w:vAlign w:val="bottom"/>
          </w:tcPr>
          <w:p>
            <w:pPr>
              <w:spacing w:after="0"/>
              <w:rPr>
                <w:sz w:val="14"/>
                <w:szCs w:val="14"/>
                <w:color w:val="auto"/>
              </w:rPr>
            </w:pPr>
          </w:p>
        </w:tc>
        <w:tc>
          <w:tcPr>
            <w:tcW w:w="840" w:type="dxa"/>
            <w:vAlign w:val="bottom"/>
          </w:tcPr>
          <w:p>
            <w:pPr>
              <w:jc w:val="center"/>
              <w:ind w:right="88"/>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Effective</w:t>
            </w: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Periodic</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Interest</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Interest</w:t>
            </w:r>
          </w:p>
        </w:tc>
        <w:tc>
          <w:tcPr>
            <w:tcW w:w="110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Prior</w:t>
            </w: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84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1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Type of Loan/Borrower</w:t>
            </w:r>
          </w:p>
        </w:tc>
        <w:tc>
          <w:tcPr>
            <w:tcW w:w="100" w:type="dxa"/>
            <w:vAlign w:val="bottom"/>
            <w:vMerge w:val="restart"/>
          </w:tcPr>
          <w:p>
            <w:pPr>
              <w:spacing w:after="0"/>
              <w:rPr>
                <w:sz w:val="12"/>
                <w:szCs w:val="12"/>
                <w:color w:val="auto"/>
              </w:rPr>
            </w:pPr>
          </w:p>
        </w:tc>
        <w:tc>
          <w:tcPr>
            <w:tcW w:w="19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Underlying Property Type</w:t>
            </w:r>
          </w:p>
        </w:tc>
        <w:tc>
          <w:tcPr>
            <w:tcW w:w="120" w:type="dxa"/>
            <w:vAlign w:val="bottom"/>
            <w:vMerge w:val="restart"/>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Accrual</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Payment</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Maturity</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5"/>
              </w:rPr>
              <w:t>Payment</w:t>
            </w:r>
          </w:p>
        </w:tc>
        <w:tc>
          <w:tcPr>
            <w:tcW w:w="1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w:t>
            </w: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Mortgages(1)</w:t>
            </w:r>
          </w:p>
        </w:tc>
        <w:tc>
          <w:tcPr>
            <w:tcW w:w="0" w:type="dxa"/>
            <w:vAlign w:val="bottom"/>
          </w:tcPr>
          <w:p>
            <w:pPr>
              <w:spacing w:after="0"/>
              <w:rPr>
                <w:sz w:val="1"/>
                <w:szCs w:val="1"/>
                <w:color w:val="auto"/>
              </w:rPr>
            </w:pPr>
          </w:p>
        </w:tc>
      </w:tr>
      <w:tr>
        <w:trPr>
          <w:trHeight w:val="192"/>
        </w:trPr>
        <w:tc>
          <w:tcPr>
            <w:tcW w:w="1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Rates</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Rates</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Dates</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Terms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Liens</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Mortgages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90"/>
        </w:trPr>
        <w:tc>
          <w:tcPr>
            <w:tcW w:w="1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Senior Mortgages:</w:t>
            </w:r>
          </w:p>
        </w:tc>
        <w:tc>
          <w:tcPr>
            <w:tcW w:w="1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1860" w:type="dxa"/>
            <w:vAlign w:val="bottom"/>
            <w:gridSpan w:val="2"/>
          </w:tcPr>
          <w:p>
            <w:pPr>
              <w:ind w:left="180"/>
              <w:spacing w:after="0"/>
              <w:rPr>
                <w:sz w:val="20"/>
                <w:szCs w:val="20"/>
                <w:color w:val="auto"/>
              </w:rPr>
            </w:pPr>
            <w:r>
              <w:rPr>
                <w:rFonts w:ascii="Arial" w:cs="Arial" w:eastAsia="Arial" w:hAnsi="Arial"/>
                <w:sz w:val="14"/>
                <w:szCs w:val="14"/>
                <w:color w:val="auto"/>
              </w:rPr>
              <w:t>Borrower A</w:t>
            </w:r>
          </w:p>
        </w:tc>
        <w:tc>
          <w:tcPr>
            <w:tcW w:w="2100" w:type="dxa"/>
            <w:vAlign w:val="bottom"/>
            <w:gridSpan w:val="2"/>
          </w:tcPr>
          <w:p>
            <w:pPr>
              <w:ind w:left="20"/>
              <w:spacing w:after="0"/>
              <w:rPr>
                <w:sz w:val="20"/>
                <w:szCs w:val="20"/>
                <w:color w:val="auto"/>
              </w:rPr>
            </w:pPr>
            <w:r>
              <w:rPr>
                <w:rFonts w:ascii="Arial" w:cs="Arial" w:eastAsia="Arial" w:hAnsi="Arial"/>
                <w:sz w:val="14"/>
                <w:szCs w:val="14"/>
                <w:color w:val="auto"/>
              </w:rPr>
              <w:t>Mixed Use/Mixed Collateral</w:t>
            </w: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LIBOR + 3.3%</w:t>
            </w:r>
          </w:p>
        </w:tc>
        <w:tc>
          <w:tcPr>
            <w:tcW w:w="1440" w:type="dxa"/>
            <w:vAlign w:val="bottom"/>
            <w:gridSpan w:val="2"/>
          </w:tcPr>
          <w:p>
            <w:pPr>
              <w:ind w:left="40"/>
              <w:spacing w:after="0"/>
              <w:rPr>
                <w:sz w:val="20"/>
                <w:szCs w:val="20"/>
                <w:color w:val="auto"/>
              </w:rPr>
            </w:pPr>
            <w:r>
              <w:rPr>
                <w:rFonts w:ascii="Arial" w:cs="Arial" w:eastAsia="Arial" w:hAnsi="Arial"/>
                <w:sz w:val="14"/>
                <w:szCs w:val="14"/>
                <w:color w:val="auto"/>
              </w:rPr>
              <w:t>LIBOR + 3.3%</w:t>
            </w: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April 2014</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IO</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92,446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92,518</w:t>
            </w:r>
          </w:p>
        </w:tc>
        <w:tc>
          <w:tcPr>
            <w:tcW w:w="0" w:type="dxa"/>
            <w:vAlign w:val="bottom"/>
          </w:tcPr>
          <w:p>
            <w:pPr>
              <w:spacing w:after="0"/>
              <w:rPr>
                <w:sz w:val="1"/>
                <w:szCs w:val="1"/>
                <w:color w:val="auto"/>
              </w:rPr>
            </w:pPr>
          </w:p>
        </w:tc>
      </w:tr>
      <w:tr>
        <w:trPr>
          <w:trHeight w:val="80"/>
        </w:trPr>
        <w:tc>
          <w:tcPr>
            <w:tcW w:w="1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Borrower B(3)</w:t>
            </w: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Entertainment/Leisure</w:t>
            </w:r>
          </w:p>
        </w:tc>
        <w:tc>
          <w:tcPr>
            <w:tcW w:w="1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April 2009</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IO</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224,223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77,427</w:t>
            </w:r>
          </w:p>
        </w:tc>
        <w:tc>
          <w:tcPr>
            <w:tcW w:w="0" w:type="dxa"/>
            <w:vAlign w:val="bottom"/>
          </w:tcPr>
          <w:p>
            <w:pPr>
              <w:spacing w:after="0"/>
              <w:rPr>
                <w:sz w:val="1"/>
                <w:szCs w:val="1"/>
                <w:color w:val="auto"/>
              </w:rPr>
            </w:pPr>
          </w:p>
        </w:tc>
      </w:tr>
      <w:tr>
        <w:trPr>
          <w:trHeight w:val="80"/>
        </w:trPr>
        <w:tc>
          <w:tcPr>
            <w:tcW w:w="1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60" w:type="dxa"/>
            <w:vAlign w:val="bottom"/>
            <w:gridSpan w:val="2"/>
          </w:tcPr>
          <w:p>
            <w:pPr>
              <w:ind w:left="180"/>
              <w:spacing w:after="0"/>
              <w:rPr>
                <w:sz w:val="20"/>
                <w:szCs w:val="20"/>
                <w:color w:val="auto"/>
              </w:rPr>
            </w:pPr>
            <w:r>
              <w:rPr>
                <w:rFonts w:ascii="Arial" w:cs="Arial" w:eastAsia="Arial" w:hAnsi="Arial"/>
                <w:sz w:val="14"/>
                <w:szCs w:val="14"/>
                <w:color w:val="auto"/>
              </w:rPr>
              <w:t>Borrower C</w:t>
            </w:r>
          </w:p>
        </w:tc>
        <w:tc>
          <w:tcPr>
            <w:tcW w:w="2100" w:type="dxa"/>
            <w:vAlign w:val="bottom"/>
            <w:gridSpan w:val="2"/>
          </w:tcPr>
          <w:p>
            <w:pPr>
              <w:ind w:left="20"/>
              <w:spacing w:after="0"/>
              <w:rPr>
                <w:sz w:val="20"/>
                <w:szCs w:val="20"/>
                <w:color w:val="auto"/>
              </w:rPr>
            </w:pPr>
            <w:r>
              <w:rPr>
                <w:rFonts w:ascii="Arial" w:cs="Arial" w:eastAsia="Arial" w:hAnsi="Arial"/>
                <w:sz w:val="14"/>
                <w:szCs w:val="14"/>
                <w:color w:val="auto"/>
              </w:rPr>
              <w:t>Apartment/Residential</w:t>
            </w: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LIBOR + 5.25%</w:t>
            </w:r>
          </w:p>
        </w:tc>
        <w:tc>
          <w:tcPr>
            <w:tcW w:w="1440" w:type="dxa"/>
            <w:vAlign w:val="bottom"/>
            <w:gridSpan w:val="2"/>
          </w:tcPr>
          <w:p>
            <w:pPr>
              <w:ind w:left="40"/>
              <w:spacing w:after="0"/>
              <w:rPr>
                <w:sz w:val="20"/>
                <w:szCs w:val="20"/>
                <w:color w:val="auto"/>
              </w:rPr>
            </w:pPr>
            <w:r>
              <w:rPr>
                <w:rFonts w:ascii="Arial" w:cs="Arial" w:eastAsia="Arial" w:hAnsi="Arial"/>
                <w:sz w:val="14"/>
                <w:szCs w:val="14"/>
                <w:color w:val="auto"/>
              </w:rPr>
              <w:t>LIBOR + 5.25%</w:t>
            </w: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May 2014</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IO</w:t>
            </w:r>
          </w:p>
        </w:tc>
        <w:tc>
          <w:tcPr>
            <w:tcW w:w="12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66,502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67,263</w:t>
            </w:r>
          </w:p>
        </w:tc>
        <w:tc>
          <w:tcPr>
            <w:tcW w:w="0" w:type="dxa"/>
            <w:vAlign w:val="bottom"/>
          </w:tcPr>
          <w:p>
            <w:pPr>
              <w:spacing w:after="0"/>
              <w:rPr>
                <w:sz w:val="1"/>
                <w:szCs w:val="1"/>
                <w:color w:val="auto"/>
              </w:rPr>
            </w:pPr>
          </w:p>
        </w:tc>
      </w:tr>
      <w:tr>
        <w:trPr>
          <w:trHeight w:val="80"/>
        </w:trPr>
        <w:tc>
          <w:tcPr>
            <w:tcW w:w="1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Borrower D(4)</w:t>
            </w: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Industrial/R&amp;D</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LIBOR + 4.5%</w:t>
            </w:r>
          </w:p>
        </w:tc>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LIBOR + 4.5%</w:t>
            </w: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2014</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IO</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65,931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64,497</w:t>
            </w:r>
          </w:p>
        </w:tc>
        <w:tc>
          <w:tcPr>
            <w:tcW w:w="0" w:type="dxa"/>
            <w:vAlign w:val="bottom"/>
          </w:tcPr>
          <w:p>
            <w:pPr>
              <w:spacing w:after="0"/>
              <w:rPr>
                <w:sz w:val="1"/>
                <w:szCs w:val="1"/>
                <w:color w:val="auto"/>
              </w:rPr>
            </w:pPr>
          </w:p>
        </w:tc>
      </w:tr>
      <w:tr>
        <w:trPr>
          <w:trHeight w:val="80"/>
        </w:trPr>
        <w:tc>
          <w:tcPr>
            <w:tcW w:w="1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60" w:type="dxa"/>
            <w:vAlign w:val="bottom"/>
            <w:gridSpan w:val="2"/>
          </w:tcPr>
          <w:p>
            <w:pPr>
              <w:ind w:left="180"/>
              <w:spacing w:after="0"/>
              <w:rPr>
                <w:sz w:val="20"/>
                <w:szCs w:val="20"/>
                <w:color w:val="auto"/>
              </w:rPr>
            </w:pPr>
            <w:r>
              <w:rPr>
                <w:rFonts w:ascii="Arial" w:cs="Arial" w:eastAsia="Arial" w:hAnsi="Arial"/>
                <w:sz w:val="14"/>
                <w:szCs w:val="14"/>
                <w:color w:val="auto"/>
              </w:rPr>
              <w:t>Borrower E(5)</w:t>
            </w:r>
          </w:p>
        </w:tc>
        <w:tc>
          <w:tcPr>
            <w:tcW w:w="2100" w:type="dxa"/>
            <w:vAlign w:val="bottom"/>
            <w:gridSpan w:val="2"/>
          </w:tcPr>
          <w:p>
            <w:pPr>
              <w:ind w:left="20"/>
              <w:spacing w:after="0"/>
              <w:rPr>
                <w:sz w:val="20"/>
                <w:szCs w:val="20"/>
                <w:color w:val="auto"/>
              </w:rPr>
            </w:pPr>
            <w:r>
              <w:rPr>
                <w:rFonts w:ascii="Arial" w:cs="Arial" w:eastAsia="Arial" w:hAnsi="Arial"/>
                <w:sz w:val="14"/>
                <w:szCs w:val="14"/>
                <w:color w:val="auto"/>
              </w:rPr>
              <w:t>Land</w:t>
            </w: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LIBOR + 3.5%</w:t>
            </w:r>
          </w:p>
        </w:tc>
        <w:tc>
          <w:tcPr>
            <w:tcW w:w="1440" w:type="dxa"/>
            <w:vAlign w:val="bottom"/>
            <w:gridSpan w:val="2"/>
          </w:tcPr>
          <w:p>
            <w:pPr>
              <w:ind w:left="40"/>
              <w:spacing w:after="0"/>
              <w:rPr>
                <w:sz w:val="20"/>
                <w:szCs w:val="20"/>
                <w:color w:val="auto"/>
              </w:rPr>
            </w:pPr>
            <w:r>
              <w:rPr>
                <w:rFonts w:ascii="Arial" w:cs="Arial" w:eastAsia="Arial" w:hAnsi="Arial"/>
                <w:sz w:val="14"/>
                <w:szCs w:val="14"/>
                <w:color w:val="auto"/>
              </w:rPr>
              <w:t>LIBOR + 3.5%</w:t>
            </w: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January 2014</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IO</w:t>
            </w:r>
          </w:p>
        </w:tc>
        <w:tc>
          <w:tcPr>
            <w:tcW w:w="12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58,175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53,569</w:t>
            </w:r>
          </w:p>
        </w:tc>
        <w:tc>
          <w:tcPr>
            <w:tcW w:w="0" w:type="dxa"/>
            <w:vAlign w:val="bottom"/>
          </w:tcPr>
          <w:p>
            <w:pPr>
              <w:spacing w:after="0"/>
              <w:rPr>
                <w:sz w:val="1"/>
                <w:szCs w:val="1"/>
                <w:color w:val="auto"/>
              </w:rPr>
            </w:pPr>
          </w:p>
        </w:tc>
      </w:tr>
      <w:tr>
        <w:trPr>
          <w:trHeight w:val="80"/>
        </w:trPr>
        <w:tc>
          <w:tcPr>
            <w:tcW w:w="1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Borrower F(6)</w:t>
            </w: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Land</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LIBOR + 1.75%</w:t>
            </w:r>
          </w:p>
        </w:tc>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LIBOR + 1.75%</w:t>
            </w: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August 2012</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IO</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75,000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30,808</w:t>
            </w:r>
          </w:p>
        </w:tc>
        <w:tc>
          <w:tcPr>
            <w:tcW w:w="0" w:type="dxa"/>
            <w:vAlign w:val="bottom"/>
          </w:tcPr>
          <w:p>
            <w:pPr>
              <w:spacing w:after="0"/>
              <w:rPr>
                <w:sz w:val="1"/>
                <w:szCs w:val="1"/>
                <w:color w:val="auto"/>
              </w:rPr>
            </w:pPr>
          </w:p>
        </w:tc>
      </w:tr>
      <w:tr>
        <w:trPr>
          <w:trHeight w:val="80"/>
        </w:trPr>
        <w:tc>
          <w:tcPr>
            <w:tcW w:w="1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60" w:type="dxa"/>
            <w:vAlign w:val="bottom"/>
            <w:gridSpan w:val="2"/>
          </w:tcPr>
          <w:p>
            <w:pPr>
              <w:ind w:left="180"/>
              <w:spacing w:after="0"/>
              <w:rPr>
                <w:sz w:val="20"/>
                <w:szCs w:val="20"/>
                <w:color w:val="auto"/>
              </w:rPr>
            </w:pPr>
            <w:r>
              <w:rPr>
                <w:rFonts w:ascii="Arial" w:cs="Arial" w:eastAsia="Arial" w:hAnsi="Arial"/>
                <w:sz w:val="14"/>
                <w:szCs w:val="14"/>
                <w:color w:val="auto"/>
              </w:rPr>
              <w:t>Borrower G(7)</w:t>
            </w:r>
          </w:p>
        </w:tc>
        <w:tc>
          <w:tcPr>
            <w:tcW w:w="2100" w:type="dxa"/>
            <w:vAlign w:val="bottom"/>
            <w:gridSpan w:val="2"/>
          </w:tcPr>
          <w:p>
            <w:pPr>
              <w:ind w:left="20"/>
              <w:spacing w:after="0"/>
              <w:rPr>
                <w:sz w:val="20"/>
                <w:szCs w:val="20"/>
                <w:color w:val="auto"/>
              </w:rPr>
            </w:pPr>
            <w:r>
              <w:rPr>
                <w:rFonts w:ascii="Arial" w:cs="Arial" w:eastAsia="Arial" w:hAnsi="Arial"/>
                <w:sz w:val="14"/>
                <w:szCs w:val="14"/>
                <w:color w:val="auto"/>
              </w:rPr>
              <w:t>Retail</w:t>
            </w: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LIBOR + 3%</w:t>
            </w:r>
          </w:p>
        </w:tc>
        <w:tc>
          <w:tcPr>
            <w:tcW w:w="1440" w:type="dxa"/>
            <w:vAlign w:val="bottom"/>
            <w:gridSpan w:val="2"/>
          </w:tcPr>
          <w:p>
            <w:pPr>
              <w:ind w:left="40"/>
              <w:spacing w:after="0"/>
              <w:rPr>
                <w:sz w:val="20"/>
                <w:szCs w:val="20"/>
                <w:color w:val="auto"/>
              </w:rPr>
            </w:pPr>
            <w:r>
              <w:rPr>
                <w:rFonts w:ascii="Arial" w:cs="Arial" w:eastAsia="Arial" w:hAnsi="Arial"/>
                <w:sz w:val="14"/>
                <w:szCs w:val="14"/>
                <w:color w:val="auto"/>
              </w:rPr>
              <w:t>LIBOR + 3%</w:t>
            </w: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July 2009</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IO</w:t>
            </w:r>
          </w:p>
        </w:tc>
        <w:tc>
          <w:tcPr>
            <w:tcW w:w="12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48,358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26,553</w:t>
            </w:r>
          </w:p>
        </w:tc>
        <w:tc>
          <w:tcPr>
            <w:tcW w:w="0" w:type="dxa"/>
            <w:vAlign w:val="bottom"/>
          </w:tcPr>
          <w:p>
            <w:pPr>
              <w:spacing w:after="0"/>
              <w:rPr>
                <w:sz w:val="1"/>
                <w:szCs w:val="1"/>
                <w:color w:val="auto"/>
              </w:rPr>
            </w:pPr>
          </w:p>
        </w:tc>
      </w:tr>
      <w:tr>
        <w:trPr>
          <w:trHeight w:val="80"/>
        </w:trPr>
        <w:tc>
          <w:tcPr>
            <w:tcW w:w="1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Borrower H</w:t>
            </w: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Retail</w:t>
            </w:r>
          </w:p>
        </w:tc>
        <w:tc>
          <w:tcPr>
            <w:tcW w:w="1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April 2017</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P&amp;I</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26,414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26,450</w:t>
            </w:r>
          </w:p>
        </w:tc>
        <w:tc>
          <w:tcPr>
            <w:tcW w:w="0" w:type="dxa"/>
            <w:vAlign w:val="bottom"/>
          </w:tcPr>
          <w:p>
            <w:pPr>
              <w:spacing w:after="0"/>
              <w:rPr>
                <w:sz w:val="1"/>
                <w:szCs w:val="1"/>
                <w:color w:val="auto"/>
              </w:rPr>
            </w:pPr>
          </w:p>
        </w:tc>
      </w:tr>
      <w:tr>
        <w:trPr>
          <w:trHeight w:val="80"/>
        </w:trPr>
        <w:tc>
          <w:tcPr>
            <w:tcW w:w="1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60" w:type="dxa"/>
            <w:vAlign w:val="bottom"/>
            <w:gridSpan w:val="2"/>
          </w:tcPr>
          <w:p>
            <w:pPr>
              <w:ind w:left="180"/>
              <w:spacing w:after="0"/>
              <w:rPr>
                <w:sz w:val="20"/>
                <w:szCs w:val="20"/>
                <w:color w:val="auto"/>
              </w:rPr>
            </w:pPr>
            <w:r>
              <w:rPr>
                <w:rFonts w:ascii="Arial" w:cs="Arial" w:eastAsia="Arial" w:hAnsi="Arial"/>
                <w:sz w:val="14"/>
                <w:szCs w:val="14"/>
                <w:color w:val="auto"/>
              </w:rPr>
              <w:t>Borrower I(8)</w:t>
            </w:r>
          </w:p>
        </w:tc>
        <w:tc>
          <w:tcPr>
            <w:tcW w:w="2100" w:type="dxa"/>
            <w:vAlign w:val="bottom"/>
            <w:gridSpan w:val="2"/>
          </w:tcPr>
          <w:p>
            <w:pPr>
              <w:ind w:left="20"/>
              <w:spacing w:after="0"/>
              <w:rPr>
                <w:sz w:val="20"/>
                <w:szCs w:val="20"/>
                <w:color w:val="auto"/>
              </w:rPr>
            </w:pPr>
            <w:r>
              <w:rPr>
                <w:rFonts w:ascii="Arial" w:cs="Arial" w:eastAsia="Arial" w:hAnsi="Arial"/>
                <w:sz w:val="14"/>
                <w:szCs w:val="14"/>
                <w:color w:val="auto"/>
              </w:rPr>
              <w:t>Land</w:t>
            </w: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LIBOR + 5.58%</w:t>
            </w:r>
          </w:p>
        </w:tc>
        <w:tc>
          <w:tcPr>
            <w:tcW w:w="1440" w:type="dxa"/>
            <w:vAlign w:val="bottom"/>
            <w:gridSpan w:val="2"/>
          </w:tcPr>
          <w:p>
            <w:pPr>
              <w:ind w:left="40"/>
              <w:spacing w:after="0"/>
              <w:rPr>
                <w:sz w:val="20"/>
                <w:szCs w:val="20"/>
                <w:color w:val="auto"/>
              </w:rPr>
            </w:pPr>
            <w:r>
              <w:rPr>
                <w:rFonts w:ascii="Arial" w:cs="Arial" w:eastAsia="Arial" w:hAnsi="Arial"/>
                <w:sz w:val="14"/>
                <w:szCs w:val="14"/>
                <w:color w:val="auto"/>
              </w:rPr>
              <w:t>LIBOR + 5.58%</w:t>
            </w: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July 2009</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IO</w:t>
            </w:r>
          </w:p>
        </w:tc>
        <w:tc>
          <w:tcPr>
            <w:tcW w:w="12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26,231</w:t>
            </w:r>
          </w:p>
        </w:tc>
        <w:tc>
          <w:tcPr>
            <w:tcW w:w="0" w:type="dxa"/>
            <w:vAlign w:val="bottom"/>
          </w:tcPr>
          <w:p>
            <w:pPr>
              <w:spacing w:after="0"/>
              <w:rPr>
                <w:sz w:val="1"/>
                <w:szCs w:val="1"/>
                <w:color w:val="auto"/>
              </w:rPr>
            </w:pPr>
          </w:p>
        </w:tc>
      </w:tr>
      <w:tr>
        <w:trPr>
          <w:trHeight w:val="80"/>
        </w:trPr>
        <w:tc>
          <w:tcPr>
            <w:tcW w:w="1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Borrower J</w:t>
            </w: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Apartment/Residential</w:t>
            </w:r>
          </w:p>
        </w:tc>
        <w:tc>
          <w:tcPr>
            <w:tcW w:w="1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2014</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IO</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26,043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26,092</w:t>
            </w:r>
          </w:p>
        </w:tc>
        <w:tc>
          <w:tcPr>
            <w:tcW w:w="0" w:type="dxa"/>
            <w:vAlign w:val="bottom"/>
          </w:tcPr>
          <w:p>
            <w:pPr>
              <w:spacing w:after="0"/>
              <w:rPr>
                <w:sz w:val="1"/>
                <w:szCs w:val="1"/>
                <w:color w:val="auto"/>
              </w:rPr>
            </w:pPr>
          </w:p>
        </w:tc>
      </w:tr>
      <w:tr>
        <w:trPr>
          <w:trHeight w:val="80"/>
        </w:trPr>
        <w:tc>
          <w:tcPr>
            <w:tcW w:w="1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860" w:type="dxa"/>
            <w:vAlign w:val="bottom"/>
            <w:gridSpan w:val="2"/>
          </w:tcPr>
          <w:p>
            <w:pPr>
              <w:ind w:left="180"/>
              <w:spacing w:after="0" w:line="157" w:lineRule="exact"/>
              <w:rPr>
                <w:sz w:val="20"/>
                <w:szCs w:val="20"/>
                <w:color w:val="auto"/>
              </w:rPr>
            </w:pPr>
            <w:r>
              <w:rPr>
                <w:rFonts w:ascii="Arial" w:cs="Arial" w:eastAsia="Arial" w:hAnsi="Arial"/>
                <w:sz w:val="14"/>
                <w:szCs w:val="14"/>
                <w:color w:val="auto"/>
              </w:rPr>
              <w:t>Senior mortgages</w:t>
            </w:r>
          </w:p>
        </w:tc>
        <w:tc>
          <w:tcPr>
            <w:tcW w:w="210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Apartment/Residential, Retail,</w:t>
            </w:r>
          </w:p>
        </w:tc>
        <w:tc>
          <w:tcPr>
            <w:tcW w:w="140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Fixed: 4% to 13%</w:t>
            </w:r>
          </w:p>
        </w:tc>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Fixed: 4% to 10%</w:t>
            </w:r>
          </w:p>
        </w:tc>
        <w:tc>
          <w:tcPr>
            <w:tcW w:w="110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2014 to 2024</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individually &lt;3%</w:t>
            </w:r>
          </w:p>
        </w:tc>
        <w:tc>
          <w:tcPr>
            <w:tcW w:w="21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Land, Industrial/R&amp;D, Mixed</w:t>
            </w:r>
          </w:p>
        </w:tc>
        <w:tc>
          <w:tcPr>
            <w:tcW w:w="14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Variable: LIBOR +</w:t>
            </w:r>
          </w:p>
        </w:tc>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Variable: LIBOR +</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Use/Mixed Collateral, Office,</w:t>
            </w:r>
          </w:p>
        </w:tc>
        <w:tc>
          <w:tcPr>
            <w:tcW w:w="14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1.5% to LIBOR +</w:t>
            </w:r>
          </w:p>
        </w:tc>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0.5% to LIBOR + 7%</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Hotel, Entertainment/Leisure,</w:t>
            </w:r>
          </w:p>
        </w:tc>
        <w:tc>
          <w:tcPr>
            <w:tcW w:w="1300" w:type="dxa"/>
            <w:vAlign w:val="bottom"/>
          </w:tcPr>
          <w:p>
            <w:pPr>
              <w:ind w:left="20"/>
              <w:spacing w:after="0" w:line="149" w:lineRule="exact"/>
              <w:rPr>
                <w:sz w:val="20"/>
                <w:szCs w:val="20"/>
                <w:color w:val="auto"/>
              </w:rPr>
            </w:pPr>
            <w:r>
              <w:rPr>
                <w:rFonts w:ascii="Arial" w:cs="Arial" w:eastAsia="Arial" w:hAnsi="Arial"/>
                <w:sz w:val="14"/>
                <w:szCs w:val="14"/>
                <w:color w:val="auto"/>
              </w:rPr>
              <w:t>7%</w:t>
            </w: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1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w:t>
            </w:r>
          </w:p>
        </w:tc>
        <w:tc>
          <w:tcPr>
            <w:tcW w:w="13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335,692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275,709</w:t>
            </w:r>
          </w:p>
        </w:tc>
        <w:tc>
          <w:tcPr>
            <w:tcW w:w="0" w:type="dxa"/>
            <w:vAlign w:val="bottom"/>
          </w:tcPr>
          <w:p>
            <w:pPr>
              <w:spacing w:after="0"/>
              <w:rPr>
                <w:sz w:val="1"/>
                <w:szCs w:val="1"/>
                <w:color w:val="auto"/>
              </w:rPr>
            </w:pPr>
          </w:p>
        </w:tc>
      </w:tr>
      <w:tr>
        <w:trPr>
          <w:trHeight w:val="256"/>
        </w:trPr>
        <w:tc>
          <w:tcPr>
            <w:tcW w:w="1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3"/>
              </w:rPr>
              <w:t>1,068,784</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767,117</w:t>
            </w:r>
          </w:p>
        </w:tc>
        <w:tc>
          <w:tcPr>
            <w:tcW w:w="0" w:type="dxa"/>
            <w:vAlign w:val="bottom"/>
          </w:tcPr>
          <w:p>
            <w:pPr>
              <w:spacing w:after="0"/>
              <w:rPr>
                <w:sz w:val="1"/>
                <w:szCs w:val="1"/>
                <w:color w:val="auto"/>
              </w:rPr>
            </w:pPr>
          </w:p>
        </w:tc>
      </w:tr>
      <w:tr>
        <w:trPr>
          <w:trHeight w:val="171"/>
        </w:trPr>
        <w:tc>
          <w:tcPr>
            <w:tcW w:w="1860" w:type="dxa"/>
            <w:vAlign w:val="bottom"/>
            <w:gridSpan w:val="2"/>
          </w:tcPr>
          <w:p>
            <w:pPr>
              <w:ind w:left="180"/>
              <w:spacing w:after="0"/>
              <w:rPr>
                <w:sz w:val="20"/>
                <w:szCs w:val="20"/>
                <w:color w:val="auto"/>
              </w:rPr>
            </w:pPr>
            <w:r>
              <w:rPr>
                <w:rFonts w:ascii="Arial" w:cs="Arial" w:eastAsia="Arial" w:hAnsi="Arial"/>
                <w:sz w:val="14"/>
                <w:szCs w:val="14"/>
                <w:color w:val="auto"/>
              </w:rPr>
              <w:t>Subordinate Mortgages:</w:t>
            </w: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Borrower K</w:t>
            </w: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April 2015</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IO</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6"/>
              </w:rPr>
              <w:t>100,000</w:t>
            </w:r>
          </w:p>
        </w:tc>
        <w:tc>
          <w:tcPr>
            <w:tcW w:w="10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24,962</w:t>
            </w:r>
          </w:p>
        </w:tc>
        <w:tc>
          <w:tcPr>
            <w:tcW w:w="0" w:type="dxa"/>
            <w:vAlign w:val="bottom"/>
          </w:tcPr>
          <w:p>
            <w:pPr>
              <w:spacing w:after="0"/>
              <w:rPr>
                <w:sz w:val="1"/>
                <w:szCs w:val="1"/>
                <w:color w:val="auto"/>
              </w:rPr>
            </w:pPr>
          </w:p>
        </w:tc>
      </w:tr>
      <w:tr>
        <w:trPr>
          <w:trHeight w:val="80"/>
        </w:trPr>
        <w:tc>
          <w:tcPr>
            <w:tcW w:w="1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860" w:type="dxa"/>
            <w:vAlign w:val="bottom"/>
            <w:gridSpan w:val="2"/>
          </w:tcPr>
          <w:p>
            <w:pPr>
              <w:ind w:left="180"/>
              <w:spacing w:after="0" w:line="157" w:lineRule="exact"/>
              <w:rPr>
                <w:sz w:val="20"/>
                <w:szCs w:val="20"/>
                <w:color w:val="auto"/>
              </w:rPr>
            </w:pPr>
            <w:r>
              <w:rPr>
                <w:rFonts w:ascii="Arial" w:cs="Arial" w:eastAsia="Arial" w:hAnsi="Arial"/>
                <w:sz w:val="14"/>
                <w:szCs w:val="14"/>
                <w:color w:val="auto"/>
              </w:rPr>
              <w:t>Subordinate mortgages</w:t>
            </w:r>
          </w:p>
        </w:tc>
        <w:tc>
          <w:tcPr>
            <w:tcW w:w="210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Retail, Mixed Use/Mixed</w:t>
            </w:r>
          </w:p>
        </w:tc>
        <w:tc>
          <w:tcPr>
            <w:tcW w:w="140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Fixed: 5% to 14%</w:t>
            </w:r>
          </w:p>
        </w:tc>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Fixed: 8.12% to 14%</w:t>
            </w:r>
          </w:p>
        </w:tc>
        <w:tc>
          <w:tcPr>
            <w:tcW w:w="110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2014 to 2018</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individually &lt;3%</w:t>
            </w:r>
          </w:p>
        </w:tc>
        <w:tc>
          <w:tcPr>
            <w:tcW w:w="21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Collateral, Hotel, Other</w:t>
            </w:r>
          </w:p>
        </w:tc>
        <w:tc>
          <w:tcPr>
            <w:tcW w:w="13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35,694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35,717</w:t>
            </w:r>
          </w:p>
        </w:tc>
        <w:tc>
          <w:tcPr>
            <w:tcW w:w="0" w:type="dxa"/>
            <w:vAlign w:val="bottom"/>
          </w:tcPr>
          <w:p>
            <w:pPr>
              <w:spacing w:after="0"/>
              <w:rPr>
                <w:sz w:val="1"/>
                <w:szCs w:val="1"/>
                <w:color w:val="auto"/>
              </w:rPr>
            </w:pPr>
          </w:p>
        </w:tc>
      </w:tr>
      <w:tr>
        <w:trPr>
          <w:trHeight w:val="256"/>
        </w:trPr>
        <w:tc>
          <w:tcPr>
            <w:tcW w:w="1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60,694</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60,679</w:t>
            </w:r>
          </w:p>
        </w:tc>
        <w:tc>
          <w:tcPr>
            <w:tcW w:w="0" w:type="dxa"/>
            <w:vAlign w:val="bottom"/>
          </w:tcPr>
          <w:p>
            <w:pPr>
              <w:spacing w:after="0"/>
              <w:rPr>
                <w:sz w:val="1"/>
                <w:szCs w:val="1"/>
                <w:color w:val="auto"/>
              </w:rPr>
            </w:pPr>
          </w:p>
        </w:tc>
      </w:tr>
      <w:tr>
        <w:trPr>
          <w:trHeight w:val="171"/>
        </w:trPr>
        <w:tc>
          <w:tcPr>
            <w:tcW w:w="1860" w:type="dxa"/>
            <w:vAlign w:val="bottom"/>
            <w:gridSpan w:val="2"/>
          </w:tcPr>
          <w:p>
            <w:pPr>
              <w:ind w:left="40"/>
              <w:spacing w:after="0"/>
              <w:rPr>
                <w:sz w:val="20"/>
                <w:szCs w:val="20"/>
                <w:color w:val="auto"/>
              </w:rPr>
            </w:pPr>
            <w:r>
              <w:rPr>
                <w:rFonts w:ascii="Arial" w:cs="Arial" w:eastAsia="Arial" w:hAnsi="Arial"/>
                <w:sz w:val="14"/>
                <w:szCs w:val="14"/>
                <w:color w:val="auto"/>
              </w:rPr>
              <w:t>Total mortgages</w:t>
            </w: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w w:val="93"/>
              </w:rPr>
              <w:t>1,129,478</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827,796</w:t>
            </w:r>
          </w:p>
        </w:tc>
        <w:tc>
          <w:tcPr>
            <w:tcW w:w="0" w:type="dxa"/>
            <w:vAlign w:val="bottom"/>
          </w:tcPr>
          <w:p>
            <w:pPr>
              <w:spacing w:after="0"/>
              <w:rPr>
                <w:sz w:val="1"/>
                <w:szCs w:val="1"/>
                <w:color w:val="auto"/>
              </w:rPr>
            </w:pPr>
          </w:p>
        </w:tc>
      </w:tr>
      <w:tr>
        <w:trPr>
          <w:trHeight w:val="65"/>
        </w:trPr>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3"/>
          <w:szCs w:val="13"/>
          <w:color w:val="auto"/>
        </w:rPr>
      </w:pPr>
      <w:r>
        <w:rPr>
          <w:rFonts w:ascii="Arial" w:cs="Arial" w:eastAsia="Arial" w:hAnsi="Arial"/>
          <w:sz w:val="13"/>
          <w:szCs w:val="13"/>
          <w:color w:val="auto"/>
        </w:rPr>
        <w:t>Amounts are presented net of asset-specific reserves of $304.5 million on impaired loans. Impairment is measured using the estimated fair value of collateral, less costs to sell.</w:t>
      </w:r>
    </w:p>
    <w:p>
      <w:pPr>
        <w:spacing w:after="0" w:line="24" w:lineRule="exact"/>
        <w:rPr>
          <w:rFonts w:ascii="Arial" w:cs="Arial" w:eastAsia="Arial" w:hAnsi="Arial"/>
          <w:sz w:val="13"/>
          <w:szCs w:val="13"/>
          <w:color w:val="auto"/>
        </w:rPr>
      </w:pPr>
    </w:p>
    <w:p>
      <w:pPr>
        <w:ind w:left="660" w:hanging="652"/>
        <w:spacing w:after="0"/>
        <w:tabs>
          <w:tab w:leader="none" w:pos="6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carrying amount of mortgages approximated the federal income tax basis.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Loan is in default with $224.2 million of principal that is more than 90 days delinquent. Loan is designated as non-performing and is on non-accrual status.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As of December 31, 2013, included a LIBOR interest rate floor of 3.88%.</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As of December 31, 2013, included a LIBOR interest rate floor of 3.50%.</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Loan is in default with $75.0 million of principal that is more than 90 days delinquent. Loan is designated as non-performing and is on non-accrual status.</w:t>
      </w:r>
    </w:p>
    <w:p>
      <w:pPr>
        <w:spacing w:after="0" w:line="1" w:lineRule="exact"/>
        <w:rPr>
          <w:rFonts w:ascii="Arial" w:cs="Arial" w:eastAsia="Arial" w:hAnsi="Arial"/>
          <w:sz w:val="14"/>
          <w:szCs w:val="14"/>
          <w:color w:val="auto"/>
        </w:rPr>
      </w:pPr>
    </w:p>
    <w:p>
      <w:pPr>
        <w:ind w:left="660" w:hanging="652"/>
        <w:spacing w:after="0" w:line="241" w:lineRule="auto"/>
        <w:tabs>
          <w:tab w:leader="none" w:pos="6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Loan is in default with $48.4 million of principal that is more than 90 days delinquent. Loan is designated as non-performing and is on non-accrual status. As of December 31, 2013, included a LIBOR interest rate floor of 4.0%.</w:t>
      </w:r>
    </w:p>
    <w:p>
      <w:pPr>
        <w:ind w:left="660" w:hanging="652"/>
        <w:spacing w:after="0"/>
        <w:tabs>
          <w:tab w:leader="none" w:pos="6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Loan is in default with $50.0 million of principal that is more than 90 days delinquent. Loan is designated as non-performing and is on non-accrual status.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18" w:right="23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iStar Financial Inc.</w:t>
      </w:r>
    </w:p>
    <w:p>
      <w:pPr>
        <w:spacing w:after="0" w:line="27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Schedule IV—Mortgage Loans on Real Estate (Continued)</w:t>
      </w:r>
    </w:p>
    <w:p>
      <w:pPr>
        <w:spacing w:after="0" w:line="279"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As of December 31, 2013</w:t>
      </w:r>
    </w:p>
    <w:p>
      <w:pPr>
        <w:spacing w:after="0" w:line="27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 in thousands)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Mortgage Loans on Real Estate: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Mortgage Loans on Real Estate from January 1, 2011 to December 31, 2013(1):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2011</w:t>
            </w: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1,421,654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2,449,554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4,012,067</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Additions: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New mortgage loans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20,000</w:t>
            </w:r>
          </w:p>
        </w:tc>
      </w:tr>
      <w:tr>
        <w:trPr>
          <w:trHeight w:val="243"/>
        </w:trPr>
        <w:tc>
          <w:tcPr>
            <w:tcW w:w="4040" w:type="dxa"/>
            <w:vAlign w:val="bottom"/>
          </w:tcPr>
          <w:p>
            <w:pPr>
              <w:ind w:left="160"/>
              <w:spacing w:after="0"/>
              <w:rPr>
                <w:sz w:val="20"/>
                <w:szCs w:val="20"/>
                <w:color w:val="auto"/>
              </w:rPr>
            </w:pPr>
            <w:r>
              <w:rPr>
                <w:rFonts w:ascii="Arial" w:cs="Arial" w:eastAsia="Arial" w:hAnsi="Arial"/>
                <w:sz w:val="18"/>
                <w:szCs w:val="18"/>
                <w:color w:val="auto"/>
              </w:rPr>
              <w:t>Additions under existing mortgage loans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31,589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29,887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82,598</w:t>
            </w:r>
          </w:p>
        </w:tc>
      </w:tr>
      <w:tr>
        <w:trPr>
          <w:trHeight w:val="27"/>
        </w:trPr>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Other(2)</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32,922</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Deductions(3):</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Collections of principal</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(636,883)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(700,943)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(1,047,943)</w:t>
            </w:r>
          </w:p>
        </w:tc>
      </w:tr>
      <w:tr>
        <w:trPr>
          <w:trHeight w:val="243"/>
        </w:trPr>
        <w:tc>
          <w:tcPr>
            <w:tcW w:w="4040" w:type="dxa"/>
            <w:vAlign w:val="bottom"/>
          </w:tcPr>
          <w:p>
            <w:pPr>
              <w:ind w:left="180"/>
              <w:spacing w:after="0"/>
              <w:rPr>
                <w:sz w:val="20"/>
                <w:szCs w:val="20"/>
                <w:color w:val="auto"/>
              </w:rPr>
            </w:pPr>
            <w:r>
              <w:rPr>
                <w:rFonts w:ascii="Arial" w:cs="Arial" w:eastAsia="Arial" w:hAnsi="Arial"/>
                <w:sz w:val="18"/>
                <w:szCs w:val="18"/>
                <w:color w:val="auto"/>
              </w:rPr>
              <w:t>Recovery of (provision for) loan losses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(121,869)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(93,187)</w:t>
            </w:r>
          </w:p>
        </w:tc>
      </w:tr>
      <w:tr>
        <w:trPr>
          <w:trHeight w:val="27"/>
        </w:trPr>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Transfers to real estate and equity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(270,359)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(556,753)</w:t>
            </w:r>
          </w:p>
        </w:tc>
      </w:tr>
      <w:tr>
        <w:trPr>
          <w:trHeight w:val="243"/>
        </w:trPr>
        <w:tc>
          <w:tcPr>
            <w:tcW w:w="4040" w:type="dxa"/>
            <w:vAlign w:val="bottom"/>
          </w:tcPr>
          <w:p>
            <w:pPr>
              <w:ind w:left="160"/>
              <w:spacing w:after="0"/>
              <w:rPr>
                <w:sz w:val="20"/>
                <w:szCs w:val="20"/>
                <w:color w:val="auto"/>
              </w:rPr>
            </w:pPr>
            <w:r>
              <w:rPr>
                <w:rFonts w:ascii="Arial" w:cs="Arial" w:eastAsia="Arial" w:hAnsi="Arial"/>
                <w:sz w:val="18"/>
                <w:szCs w:val="18"/>
                <w:color w:val="auto"/>
              </w:rPr>
              <w:t>Amortization of premium</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
        </w:trPr>
        <w:tc>
          <w:tcPr>
            <w:tcW w:w="4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827,796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1,421,654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2,449,554</w:t>
            </w:r>
          </w:p>
        </w:tc>
      </w:tr>
      <w:tr>
        <w:trPr>
          <w:trHeight w:val="20"/>
        </w:trPr>
        <w:tc>
          <w:tcPr>
            <w:tcW w:w="4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Balances represent the carrying value of loans, which are net of asset specific reserves.</w:t>
      </w:r>
    </w:p>
    <w:p>
      <w:pPr>
        <w:spacing w:after="0" w:line="13" w:lineRule="exact"/>
        <w:rPr>
          <w:rFonts w:ascii="Arial" w:cs="Arial" w:eastAsia="Arial" w:hAnsi="Arial"/>
          <w:sz w:val="14"/>
          <w:szCs w:val="14"/>
          <w:color w:val="auto"/>
        </w:rPr>
      </w:pPr>
    </w:p>
    <w:p>
      <w:pPr>
        <w:ind w:left="660" w:hanging="652"/>
        <w:spacing w:after="0"/>
        <w:tabs>
          <w:tab w:leader="none" w:pos="6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Amount includes amortization of discount, deferred interest capitalized and mark-to-market adjustments resulting from changes in foreign exchange rates.</w:t>
      </w:r>
    </w:p>
    <w:p>
      <w:pPr>
        <w:spacing w:after="0" w:line="12" w:lineRule="exact"/>
        <w:rPr>
          <w:rFonts w:ascii="Arial" w:cs="Arial" w:eastAsia="Arial" w:hAnsi="Arial"/>
          <w:sz w:val="13"/>
          <w:szCs w:val="13"/>
          <w:color w:val="auto"/>
        </w:rPr>
      </w:pPr>
    </w:p>
    <w:p>
      <w:pPr>
        <w:ind w:left="660" w:hanging="652"/>
        <w:spacing w:after="0"/>
        <w:tabs>
          <w:tab w:leader="none" w:pos="6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Amounts are presented net of charge-offs of $152.8 million, $106.9 million and $214.0 million for the years ended December 31, 2013, 2012 and 2011, respectively.</w:t>
      </w:r>
    </w:p>
    <w:p>
      <w:pPr>
        <w:spacing w:after="0" w:line="200" w:lineRule="exact"/>
        <w:rPr>
          <w:sz w:val="20"/>
          <w:szCs w:val="20"/>
          <w:color w:val="auto"/>
        </w:rPr>
      </w:pPr>
    </w:p>
    <w:p>
      <w:pPr>
        <w:spacing w:after="0" w:line="3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219"/>
          </w:cols>
          <w:pgMar w:left="240" w:top="118" w:right="1440"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and Disagreements with Registered Public Accounting Firm on Accounting and Financial Disclosure</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79" w:lineRule="exact"/>
        <w:rPr>
          <w:sz w:val="20"/>
          <w:szCs w:val="20"/>
          <w:color w:val="auto"/>
        </w:rPr>
      </w:pPr>
    </w:p>
    <w:p>
      <w:pPr>
        <w:jc w:val="both"/>
        <w:ind w:firstLine="432"/>
        <w:spacing w:after="0" w:line="295" w:lineRule="auto"/>
        <w:rPr>
          <w:sz w:val="20"/>
          <w:szCs w:val="20"/>
          <w:color w:val="auto"/>
        </w:rPr>
      </w:pPr>
      <w:r>
        <w:rPr>
          <w:rFonts w:ascii="Arial" w:cs="Arial" w:eastAsia="Arial" w:hAnsi="Arial"/>
          <w:sz w:val="16"/>
          <w:szCs w:val="16"/>
          <w:b w:val="1"/>
          <w:bCs w:val="1"/>
          <w:color w:val="auto"/>
        </w:rPr>
        <w:t>Evaluation of Disclosure Controls and Procedures</w:t>
      </w:r>
      <w:r>
        <w:rPr>
          <w:rFonts w:ascii="Arial" w:cs="Arial" w:eastAsia="Arial" w:hAnsi="Arial"/>
          <w:sz w:val="16"/>
          <w:szCs w:val="16"/>
          <w:color w:val="auto"/>
        </w:rPr>
        <w:t>—The Company has established and maintains disclosure controls and procedures that are</w:t>
      </w:r>
      <w:r>
        <w:rPr>
          <w:rFonts w:ascii="Arial" w:cs="Arial" w:eastAsia="Arial" w:hAnsi="Arial"/>
          <w:sz w:val="16"/>
          <w:szCs w:val="16"/>
          <w:b w:val="1"/>
          <w:bCs w:val="1"/>
          <w:color w:val="auto"/>
        </w:rPr>
        <w:t xml:space="preserve"> </w:t>
      </w:r>
      <w:r>
        <w:rPr>
          <w:rFonts w:ascii="Arial" w:cs="Arial" w:eastAsia="Arial" w:hAnsi="Arial"/>
          <w:sz w:val="16"/>
          <w:szCs w:val="16"/>
          <w:color w:val="auto"/>
        </w:rPr>
        <w:t>designed to ensure that information required to be disclosed in the Company's Exchange Act reports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The Company has formed a disclosure committee that is responsible for considering the materiality of information and determining the disclosure obligations of the Company on a timely basis. Both the Chief Executive Officer and the Chief Financial Officer are members of the disclosure committee.</w:t>
      </w:r>
    </w:p>
    <w:p>
      <w:pPr>
        <w:spacing w:after="0" w:line="21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Based upon their evaluation as of December 31, 2013, the Chief Executive Officer and Chief Financial Officer concluded that the Company's disclosure controls and procedures (as such term is defined in Rules 13a-15(e) under the Securities and Exchange Act of 1934, as amended (the "Exchange Act")) are effective.</w:t>
      </w:r>
    </w:p>
    <w:p>
      <w:pPr>
        <w:spacing w:after="0" w:line="231"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Management's Report on Internal Control Over Financial Reporting</w:t>
      </w:r>
      <w:r>
        <w:rPr>
          <w:rFonts w:ascii="Arial" w:cs="Arial" w:eastAsia="Arial" w:hAnsi="Arial"/>
          <w:sz w:val="18"/>
          <w:szCs w:val="18"/>
          <w:color w:val="auto"/>
        </w:rPr>
        <w:t>—Management is responsible for establishing and maintaining adequate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internal control over financial reporting, as defined in Exchange Act Rule 13a-15(f). Under the supervision and with the participation of the disclosure committee and other members of management, including the Chief Executive Officer and Chief Financial Officer, management carried out its evaluation of the effectiveness of the Company's internal control over financial reporting based on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in 1992 by the Committee of Sponsoring Organizations of the Treadway Commission.</w:t>
      </w:r>
    </w:p>
    <w:p>
      <w:pPr>
        <w:spacing w:after="0" w:line="24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Based on management's assessment under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management has concluded that its internal control over financial reporting was effective as of December 31, 2013.</w:t>
      </w:r>
    </w:p>
    <w:p>
      <w:pPr>
        <w:spacing w:after="0" w:line="2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internal control over financial reporting as of December 31, 2013, has been audited by PricewaterhouseCoopers LLP, an independent registered public accounting firm, as stated in their report which appears on page 45.</w:t>
      </w:r>
    </w:p>
    <w:p>
      <w:pPr>
        <w:spacing w:after="0" w:line="220" w:lineRule="exact"/>
        <w:rPr>
          <w:sz w:val="20"/>
          <w:szCs w:val="20"/>
          <w:color w:val="auto"/>
        </w:rPr>
      </w:pPr>
    </w:p>
    <w:p>
      <w:pPr>
        <w:jc w:val="both"/>
        <w:ind w:right="20" w:firstLine="432"/>
        <w:spacing w:after="0" w:line="266" w:lineRule="auto"/>
        <w:rPr>
          <w:sz w:val="20"/>
          <w:szCs w:val="20"/>
          <w:color w:val="auto"/>
        </w:rPr>
      </w:pPr>
      <w:r>
        <w:rPr>
          <w:rFonts w:ascii="Arial" w:cs="Arial" w:eastAsia="Arial" w:hAnsi="Arial"/>
          <w:sz w:val="18"/>
          <w:szCs w:val="18"/>
          <w:b w:val="1"/>
          <w:bCs w:val="1"/>
          <w:color w:val="auto"/>
        </w:rPr>
        <w:t>Changes in Internal Controls Over Financial Reporting</w:t>
      </w:r>
      <w:r>
        <w:rPr>
          <w:rFonts w:ascii="Arial" w:cs="Arial" w:eastAsia="Arial" w:hAnsi="Arial"/>
          <w:sz w:val="18"/>
          <w:szCs w:val="18"/>
          <w:color w:val="auto"/>
        </w:rPr>
        <w:t>—There have been no changes during the last fiscal quarter in the Company's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controls identified in connection with the evaluation required by paragraph (d) of Exchange Act Rules 13a-15 or 15d-15 that have materially affected, or are reasonably likely to materially affect, the Company's internal control over financial reporting.</w:t>
      </w:r>
    </w:p>
    <w:p>
      <w:pPr>
        <w:spacing w:after="0" w:line="23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18" w:right="23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 of the Registrant</w:t>
      </w:r>
    </w:p>
    <w:p>
      <w:pPr>
        <w:spacing w:after="0" w:line="2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Portions of the Company's definitive proxy statement for the 2013 annual meeting of shareholders to be filed within 120 days after the close of the Company's fiscal year are incorporated herein by reference.</w:t>
      </w:r>
    </w:p>
    <w:p>
      <w:pPr>
        <w:spacing w:after="0" w:line="22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Portions of the Company's definitive proxy statement for the 2013 annual meeting of shareholders to be filed within 120 days after the close of the Company's fiscal year are incorporated herein by reference.</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Portions of the Company's definitive proxy statement for the 2013 annual meeting of shareholders to be filed within 120 days after the close of the Company's fiscal year are incorporated herein by reference.</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Related Transactions and Director Independence</w:t>
      </w:r>
    </w:p>
    <w:p>
      <w:pPr>
        <w:spacing w:after="0" w:line="2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Portions of the Company's definitive proxy statement for the 2013 annual meeting of shareholders to be filed within 120 days after the close of the Company's fiscal year are incorporated herein by reference.</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Registered Public Accounting Firm Fees and Services</w:t>
      </w:r>
    </w:p>
    <w:p>
      <w:pPr>
        <w:spacing w:after="0" w:line="14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Portions of the Company's definitive proxy statement for the 2013 annual meeting of shareholders to be filed within 120 days after the close of the Company's fiscal year are incorporated herein by reference.</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 and Reports on Form 8-K</w:t>
      </w:r>
    </w:p>
    <w:p>
      <w:pPr>
        <w:spacing w:after="0" w:line="364"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and (c) Financial statements and schedules—see Index to Financial Statements and Schedules included in Item 8.</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Exhibits—see index on following page.</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118" w:right="25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9520" w:type="dxa"/>
            <w:vAlign w:val="bottom"/>
          </w:tcPr>
          <w:p>
            <w:pPr>
              <w:ind w:left="3500"/>
              <w:spacing w:after="0"/>
              <w:rPr>
                <w:sz w:val="20"/>
                <w:szCs w:val="20"/>
                <w:color w:val="auto"/>
              </w:rPr>
            </w:pPr>
            <w:r>
              <w:rPr>
                <w:rFonts w:ascii="Arial" w:cs="Arial" w:eastAsia="Arial" w:hAnsi="Arial"/>
                <w:sz w:val="18"/>
                <w:szCs w:val="18"/>
                <w:b w:val="1"/>
                <w:bCs w:val="1"/>
                <w:color w:val="auto"/>
              </w:rPr>
              <w:t>INDEX TO EXHIBITS</w:t>
            </w:r>
          </w:p>
        </w:tc>
      </w:tr>
      <w:tr>
        <w:trPr>
          <w:trHeight w:val="436"/>
        </w:trPr>
        <w:tc>
          <w:tcPr>
            <w:tcW w:w="640" w:type="dxa"/>
            <w:vAlign w:val="bottom"/>
          </w:tcPr>
          <w:p>
            <w:pPr>
              <w:jc w:val="center"/>
              <w:ind w:right="32"/>
              <w:spacing w:after="0"/>
              <w:rPr>
                <w:sz w:val="20"/>
                <w:szCs w:val="20"/>
                <w:color w:val="auto"/>
              </w:rPr>
            </w:pPr>
            <w:r>
              <w:rPr>
                <w:rFonts w:ascii="Arial" w:cs="Arial" w:eastAsia="Arial" w:hAnsi="Arial"/>
                <w:sz w:val="14"/>
                <w:szCs w:val="14"/>
                <w:b w:val="1"/>
                <w:bCs w:val="1"/>
                <w:color w:val="auto"/>
                <w:w w:val="94"/>
              </w:rPr>
              <w:t>Exhibit</w:t>
            </w:r>
          </w:p>
        </w:tc>
        <w:tc>
          <w:tcPr>
            <w:tcW w:w="9520" w:type="dxa"/>
            <w:vAlign w:val="bottom"/>
          </w:tcPr>
          <w:p>
            <w:pPr>
              <w:spacing w:after="0"/>
              <w:rPr>
                <w:sz w:val="24"/>
                <w:szCs w:val="24"/>
                <w:color w:val="auto"/>
              </w:rPr>
            </w:pPr>
          </w:p>
        </w:tc>
      </w:tr>
      <w:tr>
        <w:trPr>
          <w:trHeight w:val="200"/>
        </w:trPr>
        <w:tc>
          <w:tcPr>
            <w:tcW w:w="640" w:type="dxa"/>
            <w:vAlign w:val="bottom"/>
          </w:tcPr>
          <w:p>
            <w:pPr>
              <w:jc w:val="center"/>
              <w:ind w:right="32"/>
              <w:spacing w:after="0"/>
              <w:rPr>
                <w:sz w:val="20"/>
                <w:szCs w:val="20"/>
                <w:color w:val="auto"/>
              </w:rPr>
            </w:pPr>
            <w:r>
              <w:rPr>
                <w:rFonts w:ascii="Arial" w:cs="Arial" w:eastAsia="Arial" w:hAnsi="Arial"/>
                <w:sz w:val="14"/>
                <w:szCs w:val="14"/>
                <w:b w:val="1"/>
                <w:bCs w:val="1"/>
                <w:color w:val="auto"/>
                <w:w w:val="98"/>
              </w:rPr>
              <w:t>Number</w:t>
            </w:r>
          </w:p>
        </w:tc>
        <w:tc>
          <w:tcPr>
            <w:tcW w:w="9520" w:type="dxa"/>
            <w:vAlign w:val="bottom"/>
          </w:tcPr>
          <w:p>
            <w:pPr>
              <w:ind w:left="4180"/>
              <w:spacing w:after="0"/>
              <w:rPr>
                <w:sz w:val="20"/>
                <w:szCs w:val="20"/>
                <w:color w:val="auto"/>
              </w:rPr>
            </w:pPr>
            <w:r>
              <w:rPr>
                <w:rFonts w:ascii="Arial" w:cs="Arial" w:eastAsia="Arial" w:hAnsi="Arial"/>
                <w:sz w:val="14"/>
                <w:szCs w:val="14"/>
                <w:b w:val="1"/>
                <w:bCs w:val="1"/>
                <w:color w:val="auto"/>
              </w:rPr>
              <w:t>Document Description</w:t>
            </w:r>
          </w:p>
        </w:tc>
      </w:tr>
      <w:tr>
        <w:trPr>
          <w:trHeight w:val="241"/>
        </w:trPr>
        <w:tc>
          <w:tcPr>
            <w:tcW w:w="640" w:type="dxa"/>
            <w:vAlign w:val="bottom"/>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w w:val="90"/>
              </w:rPr>
              <w:t>Amended and Restated Charter of the Company (including the Articles Supplementary for each Series of the Company's Preferred</w:t>
            </w:r>
          </w:p>
        </w:tc>
      </w:tr>
      <w:tr>
        <w:trPr>
          <w:trHeight w:val="230"/>
        </w:trPr>
        <w:tc>
          <w:tcPr>
            <w:tcW w:w="640" w:type="dxa"/>
            <w:vAlign w:val="bottom"/>
          </w:tcPr>
          <w:p>
            <w:pPr>
              <w:jc w:val="center"/>
              <w:ind w:right="32"/>
              <w:spacing w:after="0"/>
              <w:rPr>
                <w:sz w:val="20"/>
                <w:szCs w:val="20"/>
                <w:color w:val="auto"/>
              </w:rPr>
            </w:pPr>
            <w:r>
              <w:rPr>
                <w:rFonts w:ascii="Arial" w:cs="Arial" w:eastAsia="Arial" w:hAnsi="Arial"/>
                <w:sz w:val="18"/>
                <w:szCs w:val="18"/>
                <w:color w:val="auto"/>
                <w:w w:val="95"/>
              </w:rPr>
              <w:t>3.1</w:t>
            </w:r>
          </w:p>
        </w:tc>
        <w:tc>
          <w:tcPr>
            <w:tcW w:w="9520" w:type="dxa"/>
            <w:vAlign w:val="bottom"/>
          </w:tcPr>
          <w:p>
            <w:pPr>
              <w:ind w:left="120"/>
              <w:spacing w:after="0"/>
              <w:rPr>
                <w:sz w:val="20"/>
                <w:szCs w:val="20"/>
                <w:color w:val="auto"/>
              </w:rPr>
            </w:pPr>
            <w:r>
              <w:rPr>
                <w:rFonts w:ascii="Arial" w:cs="Arial" w:eastAsia="Arial" w:hAnsi="Arial"/>
                <w:sz w:val="18"/>
                <w:szCs w:val="18"/>
                <w:color w:val="auto"/>
              </w:rPr>
              <w:t>Stock).(2)</w:t>
            </w:r>
          </w:p>
        </w:tc>
      </w:tr>
      <w:tr>
        <w:trPr>
          <w:trHeight w:val="594"/>
        </w:trPr>
        <w:tc>
          <w:tcPr>
            <w:tcW w:w="640" w:type="dxa"/>
            <w:vAlign w:val="bottom"/>
          </w:tcPr>
          <w:p>
            <w:pPr>
              <w:jc w:val="center"/>
              <w:ind w:right="32"/>
              <w:spacing w:after="0"/>
              <w:rPr>
                <w:sz w:val="20"/>
                <w:szCs w:val="20"/>
                <w:color w:val="auto"/>
              </w:rPr>
            </w:pPr>
            <w:r>
              <w:rPr>
                <w:rFonts w:ascii="Arial" w:cs="Arial" w:eastAsia="Arial" w:hAnsi="Arial"/>
                <w:sz w:val="18"/>
                <w:szCs w:val="18"/>
                <w:color w:val="auto"/>
                <w:w w:val="95"/>
              </w:rPr>
              <w:t>3.2</w:t>
            </w:r>
          </w:p>
        </w:tc>
        <w:tc>
          <w:tcPr>
            <w:tcW w:w="9520" w:type="dxa"/>
            <w:vAlign w:val="bottom"/>
          </w:tcPr>
          <w:p>
            <w:pPr>
              <w:ind w:left="120"/>
              <w:spacing w:after="0"/>
              <w:rPr>
                <w:sz w:val="20"/>
                <w:szCs w:val="20"/>
                <w:color w:val="auto"/>
              </w:rPr>
            </w:pPr>
            <w:r>
              <w:rPr>
                <w:rFonts w:ascii="Arial" w:cs="Arial" w:eastAsia="Arial" w:hAnsi="Arial"/>
                <w:sz w:val="18"/>
                <w:szCs w:val="18"/>
                <w:color w:val="auto"/>
              </w:rPr>
              <w:t>Amended and Restated Bylaws of the Company.(3)</w:t>
            </w:r>
          </w:p>
        </w:tc>
      </w:tr>
      <w:tr>
        <w:trPr>
          <w:trHeight w:val="594"/>
        </w:trPr>
        <w:tc>
          <w:tcPr>
            <w:tcW w:w="640" w:type="dxa"/>
            <w:vAlign w:val="bottom"/>
          </w:tcPr>
          <w:p>
            <w:pPr>
              <w:jc w:val="center"/>
              <w:ind w:right="32"/>
              <w:spacing w:after="0"/>
              <w:rPr>
                <w:sz w:val="20"/>
                <w:szCs w:val="20"/>
                <w:color w:val="auto"/>
              </w:rPr>
            </w:pPr>
            <w:r>
              <w:rPr>
                <w:rFonts w:ascii="Arial" w:cs="Arial" w:eastAsia="Arial" w:hAnsi="Arial"/>
                <w:sz w:val="18"/>
                <w:szCs w:val="18"/>
                <w:color w:val="auto"/>
                <w:w w:val="95"/>
              </w:rPr>
              <w:t>3.3</w:t>
            </w:r>
          </w:p>
        </w:tc>
        <w:tc>
          <w:tcPr>
            <w:tcW w:w="9520" w:type="dxa"/>
            <w:vAlign w:val="bottom"/>
          </w:tcPr>
          <w:p>
            <w:pPr>
              <w:ind w:left="120"/>
              <w:spacing w:after="0"/>
              <w:rPr>
                <w:sz w:val="20"/>
                <w:szCs w:val="20"/>
                <w:color w:val="auto"/>
              </w:rPr>
            </w:pPr>
            <w:r>
              <w:rPr>
                <w:rFonts w:ascii="Arial" w:cs="Arial" w:eastAsia="Arial" w:hAnsi="Arial"/>
                <w:sz w:val="18"/>
                <w:szCs w:val="18"/>
                <w:color w:val="auto"/>
              </w:rPr>
              <w:t>Articles Supplementary for High Performance Common Stock-Series 1.(5)</w:t>
            </w:r>
          </w:p>
        </w:tc>
      </w:tr>
      <w:tr>
        <w:trPr>
          <w:trHeight w:val="594"/>
        </w:trPr>
        <w:tc>
          <w:tcPr>
            <w:tcW w:w="640" w:type="dxa"/>
            <w:vAlign w:val="bottom"/>
          </w:tcPr>
          <w:p>
            <w:pPr>
              <w:jc w:val="center"/>
              <w:ind w:right="32"/>
              <w:spacing w:after="0"/>
              <w:rPr>
                <w:sz w:val="20"/>
                <w:szCs w:val="20"/>
                <w:color w:val="auto"/>
              </w:rPr>
            </w:pPr>
            <w:r>
              <w:rPr>
                <w:rFonts w:ascii="Arial" w:cs="Arial" w:eastAsia="Arial" w:hAnsi="Arial"/>
                <w:sz w:val="18"/>
                <w:szCs w:val="18"/>
                <w:color w:val="auto"/>
                <w:w w:val="95"/>
              </w:rPr>
              <w:t>3.4</w:t>
            </w:r>
          </w:p>
        </w:tc>
        <w:tc>
          <w:tcPr>
            <w:tcW w:w="9520" w:type="dxa"/>
            <w:vAlign w:val="bottom"/>
          </w:tcPr>
          <w:p>
            <w:pPr>
              <w:ind w:left="120"/>
              <w:spacing w:after="0"/>
              <w:rPr>
                <w:sz w:val="20"/>
                <w:szCs w:val="20"/>
                <w:color w:val="auto"/>
              </w:rPr>
            </w:pPr>
            <w:r>
              <w:rPr>
                <w:rFonts w:ascii="Arial" w:cs="Arial" w:eastAsia="Arial" w:hAnsi="Arial"/>
                <w:sz w:val="18"/>
                <w:szCs w:val="18"/>
                <w:color w:val="auto"/>
              </w:rPr>
              <w:t>Articles Supplementary for High Performance Common Stock-Series 2.(5)</w:t>
            </w:r>
          </w:p>
        </w:tc>
      </w:tr>
      <w:tr>
        <w:trPr>
          <w:trHeight w:val="594"/>
        </w:trPr>
        <w:tc>
          <w:tcPr>
            <w:tcW w:w="640" w:type="dxa"/>
            <w:vAlign w:val="bottom"/>
          </w:tcPr>
          <w:p>
            <w:pPr>
              <w:jc w:val="center"/>
              <w:ind w:right="32"/>
              <w:spacing w:after="0"/>
              <w:rPr>
                <w:sz w:val="20"/>
                <w:szCs w:val="20"/>
                <w:color w:val="auto"/>
              </w:rPr>
            </w:pPr>
            <w:r>
              <w:rPr>
                <w:rFonts w:ascii="Arial" w:cs="Arial" w:eastAsia="Arial" w:hAnsi="Arial"/>
                <w:sz w:val="18"/>
                <w:szCs w:val="18"/>
                <w:color w:val="auto"/>
                <w:w w:val="95"/>
              </w:rPr>
              <w:t>3.5</w:t>
            </w:r>
          </w:p>
        </w:tc>
        <w:tc>
          <w:tcPr>
            <w:tcW w:w="9520" w:type="dxa"/>
            <w:vAlign w:val="bottom"/>
          </w:tcPr>
          <w:p>
            <w:pPr>
              <w:ind w:left="120"/>
              <w:spacing w:after="0"/>
              <w:rPr>
                <w:sz w:val="20"/>
                <w:szCs w:val="20"/>
                <w:color w:val="auto"/>
              </w:rPr>
            </w:pPr>
            <w:r>
              <w:rPr>
                <w:rFonts w:ascii="Arial" w:cs="Arial" w:eastAsia="Arial" w:hAnsi="Arial"/>
                <w:sz w:val="18"/>
                <w:szCs w:val="18"/>
                <w:color w:val="auto"/>
              </w:rPr>
              <w:t>Articles Supplementary for High Performance Common Stock-Series 3.(5)</w:t>
            </w:r>
          </w:p>
        </w:tc>
      </w:tr>
      <w:tr>
        <w:trPr>
          <w:trHeight w:val="594"/>
        </w:trPr>
        <w:tc>
          <w:tcPr>
            <w:tcW w:w="640" w:type="dxa"/>
            <w:vAlign w:val="bottom"/>
          </w:tcPr>
          <w:p>
            <w:pPr>
              <w:jc w:val="center"/>
              <w:ind w:right="32"/>
              <w:spacing w:after="0"/>
              <w:rPr>
                <w:sz w:val="20"/>
                <w:szCs w:val="20"/>
                <w:color w:val="auto"/>
              </w:rPr>
            </w:pPr>
            <w:r>
              <w:rPr>
                <w:rFonts w:ascii="Arial" w:cs="Arial" w:eastAsia="Arial" w:hAnsi="Arial"/>
                <w:sz w:val="18"/>
                <w:szCs w:val="18"/>
                <w:color w:val="auto"/>
                <w:w w:val="95"/>
              </w:rPr>
              <w:t>3.6</w:t>
            </w:r>
          </w:p>
        </w:tc>
        <w:tc>
          <w:tcPr>
            <w:tcW w:w="9520" w:type="dxa"/>
            <w:vAlign w:val="bottom"/>
          </w:tcPr>
          <w:p>
            <w:pPr>
              <w:ind w:left="120"/>
              <w:spacing w:after="0"/>
              <w:rPr>
                <w:sz w:val="20"/>
                <w:szCs w:val="20"/>
                <w:color w:val="auto"/>
              </w:rPr>
            </w:pPr>
            <w:r>
              <w:rPr>
                <w:rFonts w:ascii="Arial" w:cs="Arial" w:eastAsia="Arial" w:hAnsi="Arial"/>
                <w:sz w:val="18"/>
                <w:szCs w:val="18"/>
                <w:color w:val="auto"/>
              </w:rPr>
              <w:t>Articles Supplementary relating to Series E Preferred Stock.(6)</w:t>
            </w:r>
          </w:p>
        </w:tc>
      </w:tr>
      <w:tr>
        <w:trPr>
          <w:trHeight w:val="594"/>
        </w:trPr>
        <w:tc>
          <w:tcPr>
            <w:tcW w:w="640" w:type="dxa"/>
            <w:vAlign w:val="bottom"/>
          </w:tcPr>
          <w:p>
            <w:pPr>
              <w:jc w:val="center"/>
              <w:ind w:right="32"/>
              <w:spacing w:after="0"/>
              <w:rPr>
                <w:sz w:val="20"/>
                <w:szCs w:val="20"/>
                <w:color w:val="auto"/>
              </w:rPr>
            </w:pPr>
            <w:r>
              <w:rPr>
                <w:rFonts w:ascii="Arial" w:cs="Arial" w:eastAsia="Arial" w:hAnsi="Arial"/>
                <w:sz w:val="18"/>
                <w:szCs w:val="18"/>
                <w:color w:val="auto"/>
                <w:w w:val="95"/>
              </w:rPr>
              <w:t>3.7</w:t>
            </w:r>
          </w:p>
        </w:tc>
        <w:tc>
          <w:tcPr>
            <w:tcW w:w="9520" w:type="dxa"/>
            <w:vAlign w:val="bottom"/>
          </w:tcPr>
          <w:p>
            <w:pPr>
              <w:ind w:left="120"/>
              <w:spacing w:after="0"/>
              <w:rPr>
                <w:sz w:val="20"/>
                <w:szCs w:val="20"/>
                <w:color w:val="auto"/>
              </w:rPr>
            </w:pPr>
            <w:r>
              <w:rPr>
                <w:rFonts w:ascii="Arial" w:cs="Arial" w:eastAsia="Arial" w:hAnsi="Arial"/>
                <w:sz w:val="18"/>
                <w:szCs w:val="18"/>
                <w:color w:val="auto"/>
              </w:rPr>
              <w:t>Articles Supplementary relating to Series F Preferred Stock.(33)</w:t>
            </w:r>
          </w:p>
        </w:tc>
      </w:tr>
      <w:tr>
        <w:trPr>
          <w:trHeight w:val="594"/>
        </w:trPr>
        <w:tc>
          <w:tcPr>
            <w:tcW w:w="640" w:type="dxa"/>
            <w:vAlign w:val="bottom"/>
          </w:tcPr>
          <w:p>
            <w:pPr>
              <w:jc w:val="center"/>
              <w:ind w:right="32"/>
              <w:spacing w:after="0"/>
              <w:rPr>
                <w:sz w:val="20"/>
                <w:szCs w:val="20"/>
                <w:color w:val="auto"/>
              </w:rPr>
            </w:pPr>
            <w:r>
              <w:rPr>
                <w:rFonts w:ascii="Arial" w:cs="Arial" w:eastAsia="Arial" w:hAnsi="Arial"/>
                <w:sz w:val="18"/>
                <w:szCs w:val="18"/>
                <w:color w:val="auto"/>
                <w:w w:val="95"/>
              </w:rPr>
              <w:t>3.8</w:t>
            </w:r>
          </w:p>
        </w:tc>
        <w:tc>
          <w:tcPr>
            <w:tcW w:w="9520" w:type="dxa"/>
            <w:vAlign w:val="bottom"/>
          </w:tcPr>
          <w:p>
            <w:pPr>
              <w:ind w:left="120"/>
              <w:spacing w:after="0"/>
              <w:rPr>
                <w:sz w:val="20"/>
                <w:szCs w:val="20"/>
                <w:color w:val="auto"/>
              </w:rPr>
            </w:pPr>
            <w:r>
              <w:rPr>
                <w:rFonts w:ascii="Arial" w:cs="Arial" w:eastAsia="Arial" w:hAnsi="Arial"/>
                <w:sz w:val="18"/>
                <w:szCs w:val="18"/>
                <w:color w:val="auto"/>
              </w:rPr>
              <w:t>Articles Supplementary relating to Series G Preferred Stock.(8)</w:t>
            </w:r>
          </w:p>
        </w:tc>
      </w:tr>
      <w:tr>
        <w:trPr>
          <w:trHeight w:val="594"/>
        </w:trPr>
        <w:tc>
          <w:tcPr>
            <w:tcW w:w="640" w:type="dxa"/>
            <w:vAlign w:val="bottom"/>
          </w:tcPr>
          <w:p>
            <w:pPr>
              <w:jc w:val="center"/>
              <w:ind w:right="32"/>
              <w:spacing w:after="0"/>
              <w:rPr>
                <w:sz w:val="20"/>
                <w:szCs w:val="20"/>
                <w:color w:val="auto"/>
              </w:rPr>
            </w:pPr>
            <w:r>
              <w:rPr>
                <w:rFonts w:ascii="Arial" w:cs="Arial" w:eastAsia="Arial" w:hAnsi="Arial"/>
                <w:sz w:val="18"/>
                <w:szCs w:val="18"/>
                <w:color w:val="auto"/>
                <w:w w:val="95"/>
              </w:rPr>
              <w:t>3.9</w:t>
            </w:r>
          </w:p>
        </w:tc>
        <w:tc>
          <w:tcPr>
            <w:tcW w:w="9520" w:type="dxa"/>
            <w:vAlign w:val="bottom"/>
          </w:tcPr>
          <w:p>
            <w:pPr>
              <w:ind w:left="120"/>
              <w:spacing w:after="0"/>
              <w:rPr>
                <w:sz w:val="20"/>
                <w:szCs w:val="20"/>
                <w:color w:val="auto"/>
              </w:rPr>
            </w:pPr>
            <w:r>
              <w:rPr>
                <w:rFonts w:ascii="Arial" w:cs="Arial" w:eastAsia="Arial" w:hAnsi="Arial"/>
                <w:sz w:val="18"/>
                <w:szCs w:val="18"/>
                <w:color w:val="auto"/>
              </w:rPr>
              <w:t>Articles Supplementary relating to Series I Preferred Stock.(10)</w:t>
            </w:r>
          </w:p>
        </w:tc>
      </w:tr>
      <w:tr>
        <w:trPr>
          <w:trHeight w:val="594"/>
        </w:trPr>
        <w:tc>
          <w:tcPr>
            <w:tcW w:w="640" w:type="dxa"/>
            <w:vAlign w:val="bottom"/>
          </w:tcPr>
          <w:p>
            <w:pPr>
              <w:jc w:val="center"/>
              <w:ind w:right="32"/>
              <w:spacing w:after="0"/>
              <w:rPr>
                <w:sz w:val="20"/>
                <w:szCs w:val="20"/>
                <w:color w:val="auto"/>
              </w:rPr>
            </w:pPr>
            <w:r>
              <w:rPr>
                <w:rFonts w:ascii="Arial" w:cs="Arial" w:eastAsia="Arial" w:hAnsi="Arial"/>
                <w:sz w:val="18"/>
                <w:szCs w:val="18"/>
                <w:color w:val="auto"/>
                <w:w w:val="91"/>
              </w:rPr>
              <w:t>3.10</w:t>
            </w:r>
          </w:p>
        </w:tc>
        <w:tc>
          <w:tcPr>
            <w:tcW w:w="9520" w:type="dxa"/>
            <w:vAlign w:val="bottom"/>
          </w:tcPr>
          <w:p>
            <w:pPr>
              <w:ind w:left="120"/>
              <w:spacing w:after="0"/>
              <w:rPr>
                <w:sz w:val="20"/>
                <w:szCs w:val="20"/>
                <w:color w:val="auto"/>
              </w:rPr>
            </w:pPr>
            <w:r>
              <w:rPr>
                <w:rFonts w:ascii="Arial" w:cs="Arial" w:eastAsia="Arial" w:hAnsi="Arial"/>
                <w:sz w:val="18"/>
                <w:szCs w:val="18"/>
                <w:color w:val="auto"/>
              </w:rPr>
              <w:t>Articles Supplementary relating to Series J Preferred Stock.(18)</w:t>
            </w:r>
          </w:p>
        </w:tc>
      </w:tr>
      <w:tr>
        <w:trPr>
          <w:trHeight w:val="693"/>
        </w:trPr>
        <w:tc>
          <w:tcPr>
            <w:tcW w:w="640" w:type="dxa"/>
            <w:vAlign w:val="bottom"/>
          </w:tcPr>
          <w:p>
            <w:pPr>
              <w:jc w:val="center"/>
              <w:ind w:right="32"/>
              <w:spacing w:after="0"/>
              <w:rPr>
                <w:sz w:val="20"/>
                <w:szCs w:val="20"/>
                <w:color w:val="auto"/>
              </w:rPr>
            </w:pPr>
            <w:r>
              <w:rPr>
                <w:rFonts w:ascii="Arial" w:cs="Arial" w:eastAsia="Arial" w:hAnsi="Arial"/>
                <w:sz w:val="18"/>
                <w:szCs w:val="18"/>
                <w:color w:val="auto"/>
                <w:w w:val="95"/>
              </w:rPr>
              <w:t>4.1</w:t>
            </w:r>
          </w:p>
        </w:tc>
        <w:tc>
          <w:tcPr>
            <w:tcW w:w="9520" w:type="dxa"/>
            <w:vAlign w:val="bottom"/>
          </w:tcPr>
          <w:p>
            <w:pPr>
              <w:ind w:left="120"/>
              <w:spacing w:after="0"/>
              <w:rPr>
                <w:sz w:val="20"/>
                <w:szCs w:val="20"/>
                <w:color w:val="auto"/>
              </w:rPr>
            </w:pPr>
            <w:r>
              <w:rPr>
                <w:rFonts w:ascii="Arial" w:cs="Arial" w:eastAsia="Arial" w:hAnsi="Arial"/>
                <w:sz w:val="18"/>
                <w:szCs w:val="18"/>
                <w:color w:val="auto"/>
              </w:rPr>
              <w:t>Form of 7</w:t>
            </w:r>
            <w:r>
              <w:rPr>
                <w:rFonts w:ascii="Arial" w:cs="Arial" w:eastAsia="Arial" w:hAnsi="Arial"/>
                <w:sz w:val="25"/>
                <w:szCs w:val="25"/>
                <w:color w:val="auto"/>
                <w:vertAlign w:val="superscript"/>
              </w:rPr>
              <w:t>7</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Series E Cumulative Redeemable Preferred Stock Certificate.(6)</w:t>
            </w:r>
          </w:p>
        </w:tc>
      </w:tr>
      <w:tr>
        <w:trPr>
          <w:trHeight w:val="496"/>
        </w:trPr>
        <w:tc>
          <w:tcPr>
            <w:tcW w:w="640" w:type="dxa"/>
            <w:vAlign w:val="bottom"/>
          </w:tcPr>
          <w:p>
            <w:pPr>
              <w:jc w:val="center"/>
              <w:ind w:right="32"/>
              <w:spacing w:after="0"/>
              <w:rPr>
                <w:sz w:val="20"/>
                <w:szCs w:val="20"/>
                <w:color w:val="auto"/>
              </w:rPr>
            </w:pPr>
            <w:r>
              <w:rPr>
                <w:rFonts w:ascii="Arial" w:cs="Arial" w:eastAsia="Arial" w:hAnsi="Arial"/>
                <w:sz w:val="18"/>
                <w:szCs w:val="18"/>
                <w:color w:val="auto"/>
                <w:w w:val="95"/>
              </w:rPr>
              <w:t>4.2</w:t>
            </w:r>
          </w:p>
        </w:tc>
        <w:tc>
          <w:tcPr>
            <w:tcW w:w="9520" w:type="dxa"/>
            <w:vAlign w:val="bottom"/>
          </w:tcPr>
          <w:p>
            <w:pPr>
              <w:ind w:left="120"/>
              <w:spacing w:after="0"/>
              <w:rPr>
                <w:sz w:val="20"/>
                <w:szCs w:val="20"/>
                <w:color w:val="auto"/>
              </w:rPr>
            </w:pPr>
            <w:r>
              <w:rPr>
                <w:rFonts w:ascii="Arial" w:cs="Arial" w:eastAsia="Arial" w:hAnsi="Arial"/>
                <w:sz w:val="18"/>
                <w:szCs w:val="18"/>
                <w:color w:val="auto"/>
              </w:rPr>
              <w:t>Form of 7.8% Series F Cumulative Redeemable Preferred Stock Certificate.(7)</w:t>
            </w:r>
          </w:p>
        </w:tc>
      </w:tr>
      <w:tr>
        <w:trPr>
          <w:trHeight w:val="594"/>
        </w:trPr>
        <w:tc>
          <w:tcPr>
            <w:tcW w:w="640" w:type="dxa"/>
            <w:vAlign w:val="bottom"/>
          </w:tcPr>
          <w:p>
            <w:pPr>
              <w:jc w:val="center"/>
              <w:ind w:right="32"/>
              <w:spacing w:after="0"/>
              <w:rPr>
                <w:sz w:val="20"/>
                <w:szCs w:val="20"/>
                <w:color w:val="auto"/>
              </w:rPr>
            </w:pPr>
            <w:r>
              <w:rPr>
                <w:rFonts w:ascii="Arial" w:cs="Arial" w:eastAsia="Arial" w:hAnsi="Arial"/>
                <w:sz w:val="18"/>
                <w:szCs w:val="18"/>
                <w:color w:val="auto"/>
                <w:w w:val="95"/>
              </w:rPr>
              <w:t>4.3</w:t>
            </w:r>
          </w:p>
        </w:tc>
        <w:tc>
          <w:tcPr>
            <w:tcW w:w="9520" w:type="dxa"/>
            <w:vAlign w:val="bottom"/>
          </w:tcPr>
          <w:p>
            <w:pPr>
              <w:ind w:left="120"/>
              <w:spacing w:after="0"/>
              <w:rPr>
                <w:sz w:val="20"/>
                <w:szCs w:val="20"/>
                <w:color w:val="auto"/>
              </w:rPr>
            </w:pPr>
            <w:r>
              <w:rPr>
                <w:rFonts w:ascii="Arial" w:cs="Arial" w:eastAsia="Arial" w:hAnsi="Arial"/>
                <w:sz w:val="18"/>
                <w:szCs w:val="18"/>
                <w:color w:val="auto"/>
              </w:rPr>
              <w:t>Form of 7.65% Series G Cumulative Redeemable Preferred Stock Certificate.(8)</w:t>
            </w:r>
          </w:p>
        </w:tc>
      </w:tr>
      <w:tr>
        <w:trPr>
          <w:trHeight w:val="594"/>
        </w:trPr>
        <w:tc>
          <w:tcPr>
            <w:tcW w:w="640" w:type="dxa"/>
            <w:vAlign w:val="bottom"/>
          </w:tcPr>
          <w:p>
            <w:pPr>
              <w:jc w:val="center"/>
              <w:ind w:right="32"/>
              <w:spacing w:after="0"/>
              <w:rPr>
                <w:sz w:val="20"/>
                <w:szCs w:val="20"/>
                <w:color w:val="auto"/>
              </w:rPr>
            </w:pPr>
            <w:r>
              <w:rPr>
                <w:rFonts w:ascii="Arial" w:cs="Arial" w:eastAsia="Arial" w:hAnsi="Arial"/>
                <w:sz w:val="18"/>
                <w:szCs w:val="18"/>
                <w:color w:val="auto"/>
                <w:w w:val="95"/>
              </w:rPr>
              <w:t>4.4</w:t>
            </w:r>
          </w:p>
        </w:tc>
        <w:tc>
          <w:tcPr>
            <w:tcW w:w="9520" w:type="dxa"/>
            <w:vAlign w:val="bottom"/>
          </w:tcPr>
          <w:p>
            <w:pPr>
              <w:ind w:left="120"/>
              <w:spacing w:after="0"/>
              <w:rPr>
                <w:sz w:val="20"/>
                <w:szCs w:val="20"/>
                <w:color w:val="auto"/>
              </w:rPr>
            </w:pPr>
            <w:r>
              <w:rPr>
                <w:rFonts w:ascii="Arial" w:cs="Arial" w:eastAsia="Arial" w:hAnsi="Arial"/>
                <w:sz w:val="18"/>
                <w:szCs w:val="18"/>
                <w:color w:val="auto"/>
              </w:rPr>
              <w:t>Form of 7.50% Series I Cumulative Redeemable Preferred Stock Certificate.(10)</w:t>
            </w:r>
          </w:p>
        </w:tc>
      </w:tr>
      <w:tr>
        <w:trPr>
          <w:trHeight w:val="594"/>
        </w:trPr>
        <w:tc>
          <w:tcPr>
            <w:tcW w:w="640" w:type="dxa"/>
            <w:vAlign w:val="bottom"/>
          </w:tcPr>
          <w:p>
            <w:pPr>
              <w:jc w:val="center"/>
              <w:ind w:right="32"/>
              <w:spacing w:after="0"/>
              <w:rPr>
                <w:sz w:val="20"/>
                <w:szCs w:val="20"/>
                <w:color w:val="auto"/>
              </w:rPr>
            </w:pPr>
            <w:r>
              <w:rPr>
                <w:rFonts w:ascii="Arial" w:cs="Arial" w:eastAsia="Arial" w:hAnsi="Arial"/>
                <w:sz w:val="18"/>
                <w:szCs w:val="18"/>
                <w:color w:val="auto"/>
                <w:w w:val="95"/>
              </w:rPr>
              <w:t>4.5</w:t>
            </w:r>
          </w:p>
        </w:tc>
        <w:tc>
          <w:tcPr>
            <w:tcW w:w="9520" w:type="dxa"/>
            <w:vAlign w:val="bottom"/>
          </w:tcPr>
          <w:p>
            <w:pPr>
              <w:ind w:left="120"/>
              <w:spacing w:after="0"/>
              <w:rPr>
                <w:sz w:val="20"/>
                <w:szCs w:val="20"/>
                <w:color w:val="auto"/>
              </w:rPr>
            </w:pPr>
            <w:r>
              <w:rPr>
                <w:rFonts w:ascii="Arial" w:cs="Arial" w:eastAsia="Arial" w:hAnsi="Arial"/>
                <w:sz w:val="18"/>
                <w:szCs w:val="18"/>
                <w:color w:val="auto"/>
              </w:rPr>
              <w:t>Form of 4.50% Series J Cumulative Convertible Perpetual Preferred Stock Certificate.(25)</w:t>
            </w:r>
          </w:p>
        </w:tc>
      </w:tr>
      <w:tr>
        <w:trPr>
          <w:trHeight w:val="594"/>
        </w:trPr>
        <w:tc>
          <w:tcPr>
            <w:tcW w:w="640" w:type="dxa"/>
            <w:vAlign w:val="bottom"/>
          </w:tcPr>
          <w:p>
            <w:pPr>
              <w:jc w:val="center"/>
              <w:ind w:right="32"/>
              <w:spacing w:after="0"/>
              <w:rPr>
                <w:sz w:val="20"/>
                <w:szCs w:val="20"/>
                <w:color w:val="auto"/>
              </w:rPr>
            </w:pPr>
            <w:r>
              <w:rPr>
                <w:rFonts w:ascii="Arial" w:cs="Arial" w:eastAsia="Arial" w:hAnsi="Arial"/>
                <w:sz w:val="18"/>
                <w:szCs w:val="18"/>
                <w:color w:val="auto"/>
                <w:w w:val="95"/>
              </w:rPr>
              <w:t>4.6</w:t>
            </w:r>
          </w:p>
        </w:tc>
        <w:tc>
          <w:tcPr>
            <w:tcW w:w="9520" w:type="dxa"/>
            <w:vAlign w:val="bottom"/>
          </w:tcPr>
          <w:p>
            <w:pPr>
              <w:ind w:left="120"/>
              <w:spacing w:after="0"/>
              <w:rPr>
                <w:sz w:val="20"/>
                <w:szCs w:val="20"/>
                <w:color w:val="auto"/>
              </w:rPr>
            </w:pPr>
            <w:r>
              <w:rPr>
                <w:rFonts w:ascii="Arial" w:cs="Arial" w:eastAsia="Arial" w:hAnsi="Arial"/>
                <w:sz w:val="18"/>
                <w:szCs w:val="18"/>
                <w:color w:val="auto"/>
              </w:rPr>
              <w:t>Form of Stock Certificate for the Company's Common Stock.(1)</w:t>
            </w:r>
          </w:p>
        </w:tc>
      </w:tr>
      <w:tr>
        <w:trPr>
          <w:trHeight w:val="594"/>
        </w:trPr>
        <w:tc>
          <w:tcPr>
            <w:tcW w:w="640" w:type="dxa"/>
            <w:vAlign w:val="bottom"/>
          </w:tcPr>
          <w:p>
            <w:pPr>
              <w:jc w:val="center"/>
              <w:ind w:right="32"/>
              <w:spacing w:after="0"/>
              <w:rPr>
                <w:sz w:val="20"/>
                <w:szCs w:val="20"/>
                <w:color w:val="auto"/>
              </w:rPr>
            </w:pPr>
            <w:r>
              <w:rPr>
                <w:rFonts w:ascii="Arial" w:cs="Arial" w:eastAsia="Arial" w:hAnsi="Arial"/>
                <w:sz w:val="18"/>
                <w:szCs w:val="18"/>
                <w:color w:val="auto"/>
                <w:w w:val="95"/>
              </w:rPr>
              <w:t>4.7</w:t>
            </w:r>
          </w:p>
        </w:tc>
        <w:tc>
          <w:tcPr>
            <w:tcW w:w="9520" w:type="dxa"/>
            <w:vAlign w:val="bottom"/>
          </w:tcPr>
          <w:p>
            <w:pPr>
              <w:ind w:left="120"/>
              <w:spacing w:after="0"/>
              <w:rPr>
                <w:sz w:val="20"/>
                <w:szCs w:val="20"/>
                <w:color w:val="auto"/>
              </w:rPr>
            </w:pPr>
            <w:r>
              <w:rPr>
                <w:rFonts w:ascii="Arial" w:cs="Arial" w:eastAsia="Arial" w:hAnsi="Arial"/>
                <w:sz w:val="18"/>
                <w:szCs w:val="18"/>
                <w:color w:val="auto"/>
              </w:rPr>
              <w:t>Form of Global Note evidencing 5.85% Senior Notes due 2017 issued on March 9, 2007.(23)</w:t>
            </w:r>
          </w:p>
        </w:tc>
      </w:tr>
      <w:tr>
        <w:trPr>
          <w:trHeight w:val="594"/>
        </w:trPr>
        <w:tc>
          <w:tcPr>
            <w:tcW w:w="640" w:type="dxa"/>
            <w:vAlign w:val="bottom"/>
          </w:tcPr>
          <w:p>
            <w:pPr>
              <w:jc w:val="center"/>
              <w:ind w:right="32"/>
              <w:spacing w:after="0"/>
              <w:rPr>
                <w:sz w:val="20"/>
                <w:szCs w:val="20"/>
                <w:color w:val="auto"/>
              </w:rPr>
            </w:pPr>
            <w:r>
              <w:rPr>
                <w:rFonts w:ascii="Arial" w:cs="Arial" w:eastAsia="Arial" w:hAnsi="Arial"/>
                <w:sz w:val="18"/>
                <w:szCs w:val="18"/>
                <w:color w:val="auto"/>
                <w:w w:val="95"/>
              </w:rPr>
              <w:t>4.8</w:t>
            </w:r>
          </w:p>
        </w:tc>
        <w:tc>
          <w:tcPr>
            <w:tcW w:w="9520" w:type="dxa"/>
            <w:vAlign w:val="bottom"/>
          </w:tcPr>
          <w:p>
            <w:pPr>
              <w:ind w:left="120"/>
              <w:spacing w:after="0"/>
              <w:rPr>
                <w:sz w:val="20"/>
                <w:szCs w:val="20"/>
                <w:color w:val="auto"/>
              </w:rPr>
            </w:pPr>
            <w:r>
              <w:rPr>
                <w:rFonts w:ascii="Arial" w:cs="Arial" w:eastAsia="Arial" w:hAnsi="Arial"/>
                <w:sz w:val="18"/>
                <w:szCs w:val="18"/>
                <w:color w:val="auto"/>
              </w:rPr>
              <w:t>Form of Global Note evidencing 5.875% Senior Notes due 2016 issued on February 21, 2006.(17)</w:t>
            </w:r>
          </w:p>
        </w:tc>
      </w:tr>
      <w:tr>
        <w:trPr>
          <w:trHeight w:val="594"/>
        </w:trPr>
        <w:tc>
          <w:tcPr>
            <w:tcW w:w="640" w:type="dxa"/>
            <w:vAlign w:val="bottom"/>
          </w:tcPr>
          <w:p>
            <w:pPr>
              <w:jc w:val="center"/>
              <w:ind w:right="32"/>
              <w:spacing w:after="0"/>
              <w:rPr>
                <w:sz w:val="20"/>
                <w:szCs w:val="20"/>
                <w:color w:val="auto"/>
              </w:rPr>
            </w:pPr>
            <w:r>
              <w:rPr>
                <w:rFonts w:ascii="Arial" w:cs="Arial" w:eastAsia="Arial" w:hAnsi="Arial"/>
                <w:sz w:val="18"/>
                <w:szCs w:val="18"/>
                <w:color w:val="auto"/>
                <w:w w:val="95"/>
              </w:rPr>
              <w:t>4.9</w:t>
            </w:r>
          </w:p>
        </w:tc>
        <w:tc>
          <w:tcPr>
            <w:tcW w:w="9520" w:type="dxa"/>
            <w:vAlign w:val="bottom"/>
          </w:tcPr>
          <w:p>
            <w:pPr>
              <w:ind w:left="120"/>
              <w:spacing w:after="0"/>
              <w:rPr>
                <w:sz w:val="20"/>
                <w:szCs w:val="20"/>
                <w:color w:val="auto"/>
              </w:rPr>
            </w:pPr>
            <w:r>
              <w:rPr>
                <w:rFonts w:ascii="Arial" w:cs="Arial" w:eastAsia="Arial" w:hAnsi="Arial"/>
                <w:sz w:val="18"/>
                <w:szCs w:val="18"/>
                <w:color w:val="auto"/>
              </w:rPr>
              <w:t>Form of Global Note evidencing 6.05% Senior Notes due 2015 issued on April 21, 2005.(15)</w:t>
            </w:r>
          </w:p>
        </w:tc>
      </w:tr>
      <w:tr>
        <w:trPr>
          <w:trHeight w:val="594"/>
        </w:trPr>
        <w:tc>
          <w:tcPr>
            <w:tcW w:w="640" w:type="dxa"/>
            <w:vAlign w:val="bottom"/>
          </w:tcPr>
          <w:p>
            <w:pPr>
              <w:jc w:val="center"/>
              <w:ind w:right="32"/>
              <w:spacing w:after="0"/>
              <w:rPr>
                <w:sz w:val="20"/>
                <w:szCs w:val="20"/>
                <w:color w:val="auto"/>
              </w:rPr>
            </w:pPr>
            <w:r>
              <w:rPr>
                <w:rFonts w:ascii="Arial" w:cs="Arial" w:eastAsia="Arial" w:hAnsi="Arial"/>
                <w:sz w:val="18"/>
                <w:szCs w:val="18"/>
                <w:color w:val="auto"/>
                <w:w w:val="91"/>
              </w:rPr>
              <w:t>4.10</w:t>
            </w:r>
          </w:p>
        </w:tc>
        <w:tc>
          <w:tcPr>
            <w:tcW w:w="9520" w:type="dxa"/>
            <w:vAlign w:val="bottom"/>
          </w:tcPr>
          <w:p>
            <w:pPr>
              <w:ind w:left="120"/>
              <w:spacing w:after="0"/>
              <w:rPr>
                <w:sz w:val="20"/>
                <w:szCs w:val="20"/>
                <w:color w:val="auto"/>
              </w:rPr>
            </w:pPr>
            <w:r>
              <w:rPr>
                <w:rFonts w:ascii="Arial" w:cs="Arial" w:eastAsia="Arial" w:hAnsi="Arial"/>
                <w:sz w:val="18"/>
                <w:szCs w:val="18"/>
                <w:color w:val="auto"/>
              </w:rPr>
              <w:t>Form of Global Note evidencing 9.0% Senior Series B Notes due 2017 issued on July 9, 2012.(28)</w:t>
            </w:r>
          </w:p>
        </w:tc>
      </w:tr>
      <w:tr>
        <w:trPr>
          <w:trHeight w:val="594"/>
        </w:trPr>
        <w:tc>
          <w:tcPr>
            <w:tcW w:w="640" w:type="dxa"/>
            <w:vAlign w:val="bottom"/>
          </w:tcPr>
          <w:p>
            <w:pPr>
              <w:jc w:val="center"/>
              <w:ind w:right="32"/>
              <w:spacing w:after="0"/>
              <w:rPr>
                <w:sz w:val="20"/>
                <w:szCs w:val="20"/>
                <w:color w:val="auto"/>
              </w:rPr>
            </w:pPr>
            <w:r>
              <w:rPr>
                <w:rFonts w:ascii="Arial" w:cs="Arial" w:eastAsia="Arial" w:hAnsi="Arial"/>
                <w:sz w:val="18"/>
                <w:szCs w:val="18"/>
                <w:color w:val="auto"/>
                <w:w w:val="91"/>
              </w:rPr>
              <w:t>4.11</w:t>
            </w:r>
          </w:p>
        </w:tc>
        <w:tc>
          <w:tcPr>
            <w:tcW w:w="9520" w:type="dxa"/>
            <w:vAlign w:val="bottom"/>
          </w:tcPr>
          <w:p>
            <w:pPr>
              <w:ind w:left="120"/>
              <w:spacing w:after="0"/>
              <w:rPr>
                <w:sz w:val="20"/>
                <w:szCs w:val="20"/>
                <w:color w:val="auto"/>
              </w:rPr>
            </w:pPr>
            <w:r>
              <w:rPr>
                <w:rFonts w:ascii="Arial" w:cs="Arial" w:eastAsia="Arial" w:hAnsi="Arial"/>
                <w:sz w:val="18"/>
                <w:szCs w:val="18"/>
                <w:color w:val="auto"/>
              </w:rPr>
              <w:t>Form of Global Note evidencing 7.125% Senior Notes due 2018 issued on November 13, 2012.(30)</w:t>
            </w:r>
          </w:p>
        </w:tc>
      </w:tr>
    </w:tbl>
    <w:p>
      <w:pPr>
        <w:spacing w:after="0" w:line="200" w:lineRule="exact"/>
        <w:rPr>
          <w:sz w:val="20"/>
          <w:szCs w:val="20"/>
          <w:color w:val="auto"/>
        </w:rPr>
      </w:pPr>
    </w:p>
    <w:p>
      <w:pPr>
        <w:sectPr>
          <w:pgSz w:w="11900" w:h="16838" w:orient="portrait"/>
          <w:cols w:equalWidth="0" w:num="1">
            <w:col w:w="10840"/>
          </w:cols>
          <w:pgMar w:left="240" w:top="118" w:right="819" w:bottom="1440" w:gutter="0" w:footer="0" w:header="0"/>
        </w:sectPr>
      </w:pPr>
    </w:p>
    <w:p>
      <w:pPr>
        <w:spacing w:after="0" w:line="380"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0840"/>
          </w:cols>
          <w:pgMar w:left="240" w:top="118" w:right="819" w:bottom="1440" w:gutter="0" w:footer="0" w:header="0"/>
          <w:type w:val="continuous"/>
        </w:sectPr>
      </w:pPr>
    </w:p>
    <w:bookmarkStart w:id="115" w:name="page116"/>
    <w:bookmarkEnd w:id="115"/>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780"/>
        <w:spacing w:after="0"/>
        <w:tabs>
          <w:tab w:leader="none" w:pos="142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color w:val="auto"/>
        </w:rPr>
        <w:t>Form of Global Note evidencing 3.00% Convertible Senior Notes due 2016 issued on November 13, 2012.(30)</w:t>
      </w:r>
    </w:p>
    <w:p>
      <w:pPr>
        <w:spacing w:after="0" w:line="387" w:lineRule="exact"/>
        <w:rPr>
          <w:sz w:val="20"/>
          <w:szCs w:val="20"/>
          <w:color w:val="auto"/>
        </w:rPr>
      </w:pPr>
    </w:p>
    <w:p>
      <w:pPr>
        <w:ind w:left="780"/>
        <w:spacing w:after="0"/>
        <w:tabs>
          <w:tab w:leader="none" w:pos="142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color w:val="auto"/>
        </w:rPr>
        <w:t>Form of Global Note evidencing 3.875% Senior Notes due 2016 issued on May 10, 2013.(32)</w:t>
      </w:r>
    </w:p>
    <w:p>
      <w:pPr>
        <w:spacing w:after="0" w:line="387" w:lineRule="exact"/>
        <w:rPr>
          <w:sz w:val="20"/>
          <w:szCs w:val="20"/>
          <w:color w:val="auto"/>
        </w:rPr>
      </w:pPr>
    </w:p>
    <w:p>
      <w:pPr>
        <w:ind w:left="780"/>
        <w:spacing w:after="0"/>
        <w:tabs>
          <w:tab w:leader="none" w:pos="142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color w:val="auto"/>
        </w:rPr>
        <w:t>Form of Global Note evidencing 4.875% Senior Notes due 2018 issued on May 10, 2013.(32)</w:t>
      </w:r>
    </w:p>
    <w:p>
      <w:pPr>
        <w:spacing w:after="0" w:line="387" w:lineRule="exact"/>
        <w:rPr>
          <w:sz w:val="20"/>
          <w:szCs w:val="20"/>
          <w:color w:val="auto"/>
        </w:rPr>
      </w:pPr>
    </w:p>
    <w:p>
      <w:pPr>
        <w:ind w:left="780"/>
        <w:spacing w:after="0"/>
        <w:tabs>
          <w:tab w:leader="none" w:pos="142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color w:val="auto"/>
        </w:rPr>
        <w:t>Form of Rule 144A Global Note evidencing 1.50% Convertible Senior Notes due 2016 issued on November 19, 2013.(12)</w:t>
      </w:r>
    </w:p>
    <w:p>
      <w:pPr>
        <w:spacing w:after="0" w:line="387" w:lineRule="exact"/>
        <w:rPr>
          <w:sz w:val="20"/>
          <w:szCs w:val="20"/>
          <w:color w:val="auto"/>
        </w:rPr>
      </w:pPr>
    </w:p>
    <w:p>
      <w:pPr>
        <w:ind w:left="780"/>
        <w:spacing w:after="0"/>
        <w:tabs>
          <w:tab w:leader="none" w:pos="142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6"/>
          <w:szCs w:val="16"/>
          <w:color w:val="auto"/>
        </w:rPr>
        <w:t>Eighth Supplemental Indenture, dated as of April 21, 2005, governing the 6.05% Senior Notes due 2015.(16)</w:t>
      </w:r>
    </w:p>
    <w:p>
      <w:pPr>
        <w:spacing w:after="0" w:line="387" w:lineRule="exact"/>
        <w:rPr>
          <w:sz w:val="20"/>
          <w:szCs w:val="20"/>
          <w:color w:val="auto"/>
        </w:rPr>
      </w:pPr>
    </w:p>
    <w:p>
      <w:pPr>
        <w:ind w:left="780"/>
        <w:spacing w:after="0"/>
        <w:tabs>
          <w:tab w:leader="none" w:pos="142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6"/>
          <w:szCs w:val="16"/>
          <w:color w:val="auto"/>
        </w:rPr>
        <w:t>Eleventh Supplemental Indenture, dated as of February 21, 2006, governing the 5.875% Senior Notes due 2016.(17)</w:t>
      </w:r>
    </w:p>
    <w:p>
      <w:pPr>
        <w:spacing w:after="0" w:line="387" w:lineRule="exact"/>
        <w:rPr>
          <w:sz w:val="20"/>
          <w:szCs w:val="20"/>
          <w:color w:val="auto"/>
        </w:rPr>
      </w:pPr>
    </w:p>
    <w:p>
      <w:pPr>
        <w:ind w:left="780"/>
        <w:spacing w:after="0"/>
        <w:tabs>
          <w:tab w:leader="none" w:pos="142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6"/>
          <w:szCs w:val="16"/>
          <w:color w:val="auto"/>
        </w:rPr>
        <w:t>First Supplemental Indenture (containing amendments to the 5.70% Notes due 2014), dated as of January 9, 2007.(20)</w:t>
      </w:r>
    </w:p>
    <w:p>
      <w:pPr>
        <w:spacing w:after="0" w:line="387" w:lineRule="exact"/>
        <w:rPr>
          <w:sz w:val="20"/>
          <w:szCs w:val="20"/>
          <w:color w:val="auto"/>
        </w:rPr>
      </w:pPr>
    </w:p>
    <w:p>
      <w:pPr>
        <w:ind w:left="780"/>
        <w:spacing w:after="0"/>
        <w:tabs>
          <w:tab w:leader="none" w:pos="1420"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6"/>
          <w:szCs w:val="16"/>
          <w:color w:val="auto"/>
        </w:rPr>
        <w:t>Seventeenth Supplemental Indenture, dated as of March 9, 2007, governing the 5.85% Senior Notes due 2017.(22)</w:t>
      </w:r>
    </w:p>
    <w:p>
      <w:pPr>
        <w:spacing w:after="0" w:line="387" w:lineRule="exact"/>
        <w:rPr>
          <w:sz w:val="20"/>
          <w:szCs w:val="20"/>
          <w:color w:val="auto"/>
        </w:rPr>
      </w:pPr>
    </w:p>
    <w:p>
      <w:pPr>
        <w:ind w:left="780"/>
        <w:spacing w:after="0"/>
        <w:tabs>
          <w:tab w:leader="none" w:pos="1420" w:val="left"/>
        </w:tabs>
        <w:rPr>
          <w:sz w:val="20"/>
          <w:szCs w:val="20"/>
          <w:color w:val="auto"/>
        </w:rPr>
      </w:pPr>
      <w:r>
        <w:rPr>
          <w:rFonts w:ascii="Arial" w:cs="Arial" w:eastAsia="Arial" w:hAnsi="Arial"/>
          <w:sz w:val="18"/>
          <w:szCs w:val="18"/>
          <w:color w:val="auto"/>
        </w:rPr>
        <w:t>4.20</w:t>
      </w:r>
      <w:r>
        <w:rPr>
          <w:sz w:val="20"/>
          <w:szCs w:val="20"/>
          <w:color w:val="auto"/>
        </w:rPr>
        <w:tab/>
      </w:r>
      <w:r>
        <w:rPr>
          <w:rFonts w:ascii="Arial" w:cs="Arial" w:eastAsia="Arial" w:hAnsi="Arial"/>
          <w:sz w:val="16"/>
          <w:szCs w:val="16"/>
          <w:color w:val="auto"/>
        </w:rPr>
        <w:t>Base Indenture, dated as of February 5, 2001, between the Company and State Street Bank and Trust Company.(4)</w:t>
      </w:r>
    </w:p>
    <w:p>
      <w:pPr>
        <w:spacing w:after="0" w:line="387" w:lineRule="exact"/>
        <w:rPr>
          <w:sz w:val="20"/>
          <w:szCs w:val="20"/>
          <w:color w:val="auto"/>
        </w:rPr>
      </w:pPr>
    </w:p>
    <w:p>
      <w:pPr>
        <w:ind w:left="780" w:right="80" w:firstLine="657"/>
        <w:spacing w:after="0" w:line="277" w:lineRule="auto"/>
        <w:rPr>
          <w:sz w:val="20"/>
          <w:szCs w:val="20"/>
          <w:color w:val="auto"/>
        </w:rPr>
      </w:pPr>
      <w:r>
        <w:rPr>
          <w:rFonts w:ascii="Arial" w:cs="Arial" w:eastAsia="Arial" w:hAnsi="Arial"/>
          <w:sz w:val="18"/>
          <w:szCs w:val="18"/>
          <w:color w:val="auto"/>
        </w:rPr>
        <w:t>Indenture, dated as of May 8, 2012, between the Company and U.S. Bank National Association governing the 9.0% Senior Series 4.21 B Notes due 2017.(27)</w:t>
      </w:r>
    </w:p>
    <w:p>
      <w:pPr>
        <w:spacing w:after="0" w:line="333" w:lineRule="exact"/>
        <w:rPr>
          <w:sz w:val="20"/>
          <w:szCs w:val="20"/>
          <w:color w:val="auto"/>
        </w:rPr>
      </w:pPr>
    </w:p>
    <w:p>
      <w:pPr>
        <w:jc w:val="center"/>
        <w:ind w:right="-79"/>
        <w:spacing w:after="0"/>
        <w:tabs>
          <w:tab w:leader="none" w:pos="32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color w:val="auto"/>
        </w:rPr>
        <w:t>Twenty-First Supplemental Indenture, dated as of November 13, 2012 governing the 7.125% Senior Notes due 2018.(30)</w:t>
      </w:r>
    </w:p>
    <w:p>
      <w:pPr>
        <w:spacing w:after="0" w:line="387" w:lineRule="exact"/>
        <w:rPr>
          <w:sz w:val="20"/>
          <w:szCs w:val="20"/>
          <w:color w:val="auto"/>
        </w:rPr>
      </w:pPr>
    </w:p>
    <w:p>
      <w:pPr>
        <w:ind w:left="780" w:firstLine="657"/>
        <w:spacing w:after="0" w:line="277" w:lineRule="auto"/>
        <w:rPr>
          <w:sz w:val="20"/>
          <w:szCs w:val="20"/>
          <w:color w:val="auto"/>
        </w:rPr>
      </w:pPr>
      <w:r>
        <w:rPr>
          <w:rFonts w:ascii="Arial" w:cs="Arial" w:eastAsia="Arial" w:hAnsi="Arial"/>
          <w:sz w:val="18"/>
          <w:szCs w:val="18"/>
          <w:color w:val="auto"/>
        </w:rPr>
        <w:t>Twenty-Second Supplemental Indenture, dated as of November 13, 2012 governing the 3.00% Convertible Senior Notes due 2016. 4.23 (30)</w:t>
      </w:r>
    </w:p>
    <w:p>
      <w:pPr>
        <w:spacing w:after="0" w:line="333" w:lineRule="exact"/>
        <w:rPr>
          <w:sz w:val="20"/>
          <w:szCs w:val="20"/>
          <w:color w:val="auto"/>
        </w:rPr>
      </w:pPr>
    </w:p>
    <w:p>
      <w:pPr>
        <w:ind w:left="780"/>
        <w:spacing w:after="0"/>
        <w:tabs>
          <w:tab w:leader="none" w:pos="142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6"/>
          <w:szCs w:val="16"/>
          <w:color w:val="auto"/>
        </w:rPr>
        <w:t>Twenty-Third Supplemental Indenture, dated as of May 10, 2013, governing the 3.875% Senior Notes due 2016.(32)</w:t>
      </w:r>
    </w:p>
    <w:p>
      <w:pPr>
        <w:spacing w:after="0" w:line="387" w:lineRule="exact"/>
        <w:rPr>
          <w:sz w:val="20"/>
          <w:szCs w:val="20"/>
          <w:color w:val="auto"/>
        </w:rPr>
      </w:pPr>
    </w:p>
    <w:p>
      <w:pPr>
        <w:ind w:left="780"/>
        <w:spacing w:after="0"/>
        <w:tabs>
          <w:tab w:leader="none" w:pos="142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6"/>
          <w:szCs w:val="16"/>
          <w:color w:val="auto"/>
        </w:rPr>
        <w:t>Twenty-Fourth Supplemental Indenture, dated as of May 10, 2013, governing the 4.875% Senior Notes due 2018.(32)</w:t>
      </w:r>
    </w:p>
    <w:p>
      <w:pPr>
        <w:spacing w:after="0" w:line="387" w:lineRule="exact"/>
        <w:rPr>
          <w:sz w:val="20"/>
          <w:szCs w:val="20"/>
          <w:color w:val="auto"/>
        </w:rPr>
      </w:pPr>
    </w:p>
    <w:p>
      <w:pPr>
        <w:ind w:left="780" w:right="120" w:firstLine="657"/>
        <w:spacing w:after="0" w:line="277" w:lineRule="auto"/>
        <w:rPr>
          <w:sz w:val="20"/>
          <w:szCs w:val="20"/>
          <w:color w:val="auto"/>
        </w:rPr>
      </w:pPr>
      <w:r>
        <w:rPr>
          <w:rFonts w:ascii="Arial" w:cs="Arial" w:eastAsia="Arial" w:hAnsi="Arial"/>
          <w:sz w:val="18"/>
          <w:szCs w:val="18"/>
          <w:color w:val="auto"/>
        </w:rPr>
        <w:t>Twenty-Fifth Supplemental Indenture, dated as of November 19, 2013, governing the 1.50% Convertible Senior Notes due 2013. 4.26 (12)</w:t>
      </w:r>
    </w:p>
    <w:p>
      <w:pPr>
        <w:spacing w:after="0" w:line="333" w:lineRule="exact"/>
        <w:rPr>
          <w:sz w:val="20"/>
          <w:szCs w:val="20"/>
          <w:color w:val="auto"/>
        </w:rPr>
      </w:pPr>
    </w:p>
    <w:p>
      <w:pPr>
        <w:ind w:left="780"/>
        <w:spacing w:after="0"/>
        <w:tabs>
          <w:tab w:leader="none" w:pos="14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iStar Financial Inc. 2009 Long Term Incentive Compensation Plan.(19)</w:t>
      </w:r>
    </w:p>
    <w:p>
      <w:pPr>
        <w:spacing w:after="0" w:line="387" w:lineRule="exact"/>
        <w:rPr>
          <w:sz w:val="20"/>
          <w:szCs w:val="20"/>
          <w:color w:val="auto"/>
        </w:rPr>
      </w:pPr>
    </w:p>
    <w:p>
      <w:pPr>
        <w:ind w:left="780"/>
        <w:spacing w:after="0"/>
        <w:tabs>
          <w:tab w:leader="none" w:pos="14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Performance Retention Grant Agreement, dated as of February 11, 2004.(9)</w:t>
      </w:r>
    </w:p>
    <w:p>
      <w:pPr>
        <w:spacing w:after="0" w:line="387" w:lineRule="exact"/>
        <w:rPr>
          <w:sz w:val="20"/>
          <w:szCs w:val="20"/>
          <w:color w:val="auto"/>
        </w:rPr>
      </w:pPr>
    </w:p>
    <w:p>
      <w:pPr>
        <w:ind w:left="780" w:right="140" w:firstLine="657"/>
        <w:spacing w:after="0" w:line="277" w:lineRule="auto"/>
        <w:rPr>
          <w:sz w:val="20"/>
          <w:szCs w:val="20"/>
          <w:color w:val="auto"/>
        </w:rPr>
      </w:pPr>
      <w:r>
        <w:rPr>
          <w:rFonts w:ascii="Arial" w:cs="Arial" w:eastAsia="Arial" w:hAnsi="Arial"/>
          <w:sz w:val="18"/>
          <w:szCs w:val="18"/>
          <w:color w:val="auto"/>
        </w:rPr>
        <w:t>Amended and Restated Employment Agreement, dated January 19, 2005, by and between Falcon Financial Investment Trust and 10.3 Vernon B. Schwartz.(14)</w:t>
      </w:r>
    </w:p>
    <w:p>
      <w:pPr>
        <w:spacing w:after="0" w:line="333" w:lineRule="exact"/>
        <w:rPr>
          <w:sz w:val="20"/>
          <w:szCs w:val="20"/>
          <w:color w:val="auto"/>
        </w:rPr>
      </w:pPr>
    </w:p>
    <w:p>
      <w:pPr>
        <w:ind w:left="780"/>
        <w:spacing w:after="0"/>
        <w:tabs>
          <w:tab w:leader="none" w:pos="14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Non-Employee Directors' Deferral Plan.(11)</w:t>
      </w:r>
    </w:p>
    <w:p>
      <w:pPr>
        <w:spacing w:after="0" w:line="27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860"/>
          </w:cols>
          <w:pgMar w:left="240" w:top="118" w:right="79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780"/>
        <w:spacing w:after="0"/>
        <w:tabs>
          <w:tab w:leader="none" w:pos="14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Form of Restricted Stock Unit Award Agreement.(21)</w:t>
      </w:r>
    </w:p>
    <w:p>
      <w:pPr>
        <w:spacing w:after="0" w:line="387" w:lineRule="exact"/>
        <w:rPr>
          <w:sz w:val="20"/>
          <w:szCs w:val="20"/>
          <w:color w:val="auto"/>
        </w:rPr>
      </w:pPr>
    </w:p>
    <w:p>
      <w:pPr>
        <w:ind w:left="780"/>
        <w:spacing w:after="0" w:line="207" w:lineRule="exact"/>
        <w:tabs>
          <w:tab w:leader="none" w:pos="14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Form of Restricted Stock Unit Award Agreement (Performance</w:t>
      </w:r>
      <w:r>
        <w:rPr>
          <w:rFonts w:ascii="MS PGothic" w:cs="MS PGothic" w:eastAsia="MS PGothic" w:hAnsi="MS PGothic"/>
          <w:sz w:val="16"/>
          <w:szCs w:val="16"/>
          <w:color w:val="auto"/>
        </w:rPr>
        <w:t>‑</w:t>
      </w:r>
      <w:r>
        <w:rPr>
          <w:rFonts w:ascii="Arial" w:cs="Arial" w:eastAsia="Arial" w:hAnsi="Arial"/>
          <w:sz w:val="16"/>
          <w:szCs w:val="16"/>
          <w:color w:val="auto"/>
        </w:rPr>
        <w:t>Based Vesting).(24)</w:t>
      </w:r>
    </w:p>
    <w:p>
      <w:pPr>
        <w:spacing w:after="0" w:line="387"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Credit Agreement, dated as of March 19, 2012, by the Company, the banks set forth therein and Barclays Bank PLC, as</w:t>
      </w:r>
    </w:p>
    <w:p>
      <w:pPr>
        <w:spacing w:after="0" w:line="35" w:lineRule="exact"/>
        <w:rPr>
          <w:sz w:val="20"/>
          <w:szCs w:val="20"/>
          <w:color w:val="auto"/>
        </w:rPr>
      </w:pPr>
    </w:p>
    <w:p>
      <w:pPr>
        <w:ind w:left="780"/>
        <w:spacing w:after="0"/>
        <w:tabs>
          <w:tab w:leader="none" w:pos="14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administrative agent, Bank Of America, N.A., as syndication agent, JPMorgan Chase Bank, N.A., as documentation agent.(26)</w:t>
      </w:r>
    </w:p>
    <w:p>
      <w:pPr>
        <w:spacing w:after="0" w:line="373" w:lineRule="exact"/>
        <w:rPr>
          <w:sz w:val="20"/>
          <w:szCs w:val="20"/>
          <w:color w:val="auto"/>
        </w:rPr>
      </w:pPr>
    </w:p>
    <w:p>
      <w:pPr>
        <w:ind w:left="780" w:right="500" w:firstLine="657"/>
        <w:spacing w:after="0" w:line="277" w:lineRule="auto"/>
        <w:rPr>
          <w:sz w:val="20"/>
          <w:szCs w:val="20"/>
          <w:color w:val="auto"/>
        </w:rPr>
      </w:pPr>
      <w:r>
        <w:rPr>
          <w:rFonts w:ascii="Arial" w:cs="Arial" w:eastAsia="Arial" w:hAnsi="Arial"/>
          <w:sz w:val="18"/>
          <w:szCs w:val="18"/>
          <w:color w:val="auto"/>
        </w:rPr>
        <w:t>Security Agreement, dated as of March 19, 2012, made by the Company, and the other parties thereto in favor of Barclays 10.8 Bank PLC, as administrative agent.(26)</w:t>
      </w:r>
    </w:p>
    <w:p>
      <w:pPr>
        <w:spacing w:after="0" w:line="333" w:lineRule="exact"/>
        <w:rPr>
          <w:sz w:val="20"/>
          <w:szCs w:val="20"/>
          <w:color w:val="auto"/>
        </w:rPr>
      </w:pPr>
    </w:p>
    <w:p>
      <w:pPr>
        <w:ind w:left="780" w:right="140" w:firstLine="657"/>
        <w:spacing w:after="0" w:line="277" w:lineRule="auto"/>
        <w:rPr>
          <w:sz w:val="20"/>
          <w:szCs w:val="20"/>
          <w:color w:val="auto"/>
        </w:rPr>
      </w:pPr>
      <w:r>
        <w:rPr>
          <w:rFonts w:ascii="Arial" w:cs="Arial" w:eastAsia="Arial" w:hAnsi="Arial"/>
          <w:sz w:val="18"/>
          <w:szCs w:val="18"/>
          <w:color w:val="auto"/>
        </w:rPr>
        <w:t>Security Agreement, dated as of October 15, 2012, made by iStar Tara Holdings LLC, SFI Belmont LLC and the others parties 10.9 thereto, in favor of JPMorgan Chase Bank, N.A., as administrative agent.(29)</w:t>
      </w:r>
    </w:p>
    <w:p>
      <w:pPr>
        <w:spacing w:after="0" w:line="333" w:lineRule="exact"/>
        <w:rPr>
          <w:sz w:val="20"/>
          <w:szCs w:val="20"/>
          <w:color w:val="auto"/>
        </w:rPr>
      </w:pPr>
    </w:p>
    <w:p>
      <w:pPr>
        <w:ind w:left="740" w:firstLine="702"/>
        <w:spacing w:after="0" w:line="277" w:lineRule="auto"/>
        <w:rPr>
          <w:sz w:val="20"/>
          <w:szCs w:val="20"/>
          <w:color w:val="auto"/>
        </w:rPr>
      </w:pPr>
      <w:r>
        <w:rPr>
          <w:rFonts w:ascii="Arial" w:cs="Arial" w:eastAsia="Arial" w:hAnsi="Arial"/>
          <w:sz w:val="18"/>
          <w:szCs w:val="18"/>
          <w:color w:val="auto"/>
        </w:rPr>
        <w:t>Guarantee Agreement, dated as of October 15, 2012, made by iStar Tara Holdings LLC, SFI Belmont LLC and the others parties 10.10 thereto, in favor of JPMorgan Chase Bank, N.A., as administrative agent.(29)</w:t>
      </w:r>
    </w:p>
    <w:p>
      <w:pPr>
        <w:spacing w:after="0" w:line="333" w:lineRule="exact"/>
        <w:rPr>
          <w:sz w:val="20"/>
          <w:szCs w:val="20"/>
          <w:color w:val="auto"/>
        </w:rPr>
      </w:pPr>
    </w:p>
    <w:p>
      <w:pPr>
        <w:ind w:left="1440" w:right="200"/>
        <w:spacing w:after="0" w:line="291" w:lineRule="auto"/>
        <w:rPr>
          <w:sz w:val="20"/>
          <w:szCs w:val="20"/>
          <w:color w:val="auto"/>
        </w:rPr>
      </w:pPr>
      <w:r>
        <w:rPr>
          <w:rFonts w:ascii="Arial" w:cs="Arial" w:eastAsia="Arial" w:hAnsi="Arial"/>
          <w:sz w:val="16"/>
          <w:szCs w:val="16"/>
          <w:color w:val="auto"/>
        </w:rPr>
        <w:t>Amended and Restated Credit Agreement, dated as of February 11, 2013, by the Company, the banks party thereto, JPMorgan Chase Bank, N.A., as administrative agent, Barclays Bank, PLC, as syndication agent and Bank of America, N.A., as</w:t>
      </w:r>
    </w:p>
    <w:p>
      <w:pPr>
        <w:ind w:left="740"/>
        <w:spacing w:after="0"/>
        <w:tabs>
          <w:tab w:leader="none" w:pos="14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documentation agent.(31)</w:t>
      </w:r>
    </w:p>
    <w:p>
      <w:pPr>
        <w:spacing w:after="0" w:line="373" w:lineRule="exact"/>
        <w:rPr>
          <w:sz w:val="20"/>
          <w:szCs w:val="20"/>
          <w:color w:val="auto"/>
        </w:rPr>
      </w:pPr>
    </w:p>
    <w:p>
      <w:pPr>
        <w:ind w:left="780"/>
        <w:spacing w:after="0"/>
        <w:tabs>
          <w:tab w:leader="none" w:pos="14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Computation of Ratio of Earnings to fixed charges and Earnings to fixed charges and preferred stock dividends.</w:t>
      </w:r>
    </w:p>
    <w:p>
      <w:pPr>
        <w:spacing w:after="0" w:line="387" w:lineRule="exact"/>
        <w:rPr>
          <w:sz w:val="20"/>
          <w:szCs w:val="20"/>
          <w:color w:val="auto"/>
        </w:rPr>
      </w:pPr>
    </w:p>
    <w:p>
      <w:pPr>
        <w:ind w:left="780"/>
        <w:spacing w:after="0"/>
        <w:tabs>
          <w:tab w:leader="none" w:pos="14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Computation of Ratio of Adjusted EBITDA to interest expense and preferred dividends.</w:t>
      </w:r>
    </w:p>
    <w:p>
      <w:pPr>
        <w:spacing w:after="0" w:line="387" w:lineRule="exact"/>
        <w:rPr>
          <w:sz w:val="20"/>
          <w:szCs w:val="20"/>
          <w:color w:val="auto"/>
        </w:rPr>
      </w:pPr>
    </w:p>
    <w:p>
      <w:pPr>
        <w:ind w:left="780"/>
        <w:spacing w:after="0"/>
        <w:tabs>
          <w:tab w:leader="none" w:pos="142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6"/>
          <w:szCs w:val="16"/>
          <w:color w:val="auto"/>
        </w:rPr>
        <w:t>iStar Financial Inc. Code of Conduct.(13)</w:t>
      </w:r>
    </w:p>
    <w:p>
      <w:pPr>
        <w:spacing w:after="0" w:line="387" w:lineRule="exact"/>
        <w:rPr>
          <w:sz w:val="20"/>
          <w:szCs w:val="20"/>
          <w:color w:val="auto"/>
        </w:rPr>
      </w:pPr>
    </w:p>
    <w:p>
      <w:pPr>
        <w:ind w:left="780"/>
        <w:spacing w:after="0"/>
        <w:tabs>
          <w:tab w:leader="none" w:pos="14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the Company.</w:t>
      </w:r>
    </w:p>
    <w:p>
      <w:pPr>
        <w:spacing w:after="0" w:line="387" w:lineRule="exact"/>
        <w:rPr>
          <w:sz w:val="20"/>
          <w:szCs w:val="20"/>
          <w:color w:val="auto"/>
        </w:rPr>
      </w:pPr>
    </w:p>
    <w:p>
      <w:pPr>
        <w:ind w:left="780"/>
        <w:spacing w:after="0"/>
        <w:tabs>
          <w:tab w:leader="none" w:pos="14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PricewaterhouseCoopers LLP.</w:t>
      </w:r>
    </w:p>
    <w:p>
      <w:pPr>
        <w:spacing w:after="0" w:line="387" w:lineRule="exact"/>
        <w:rPr>
          <w:sz w:val="20"/>
          <w:szCs w:val="20"/>
          <w:color w:val="auto"/>
        </w:rPr>
      </w:pPr>
    </w:p>
    <w:p>
      <w:pPr>
        <w:ind w:left="780"/>
        <w:spacing w:after="0" w:line="207" w:lineRule="exact"/>
        <w:tabs>
          <w:tab w:leader="none" w:pos="142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6"/>
          <w:szCs w:val="16"/>
          <w:color w:val="auto"/>
        </w:rPr>
        <w:t>Certifications pursuant to Section 302 of the Sarbanes</w:t>
      </w:r>
      <w:r>
        <w:rPr>
          <w:rFonts w:ascii="MS PGothic" w:cs="MS PGothic" w:eastAsia="MS PGothic" w:hAnsi="MS PGothic"/>
          <w:sz w:val="16"/>
          <w:szCs w:val="16"/>
          <w:color w:val="auto"/>
        </w:rPr>
        <w:t>‑</w:t>
      </w:r>
      <w:r>
        <w:rPr>
          <w:rFonts w:ascii="Arial" w:cs="Arial" w:eastAsia="Arial" w:hAnsi="Arial"/>
          <w:sz w:val="16"/>
          <w:szCs w:val="16"/>
          <w:color w:val="auto"/>
        </w:rPr>
        <w:t>Oxley Act.</w:t>
      </w:r>
    </w:p>
    <w:p>
      <w:pPr>
        <w:spacing w:after="0" w:line="387" w:lineRule="exact"/>
        <w:rPr>
          <w:sz w:val="20"/>
          <w:szCs w:val="20"/>
          <w:color w:val="auto"/>
        </w:rPr>
      </w:pPr>
    </w:p>
    <w:p>
      <w:pPr>
        <w:ind w:left="780"/>
        <w:spacing w:after="0" w:line="207" w:lineRule="exact"/>
        <w:tabs>
          <w:tab w:leader="none" w:pos="1420" w:val="left"/>
        </w:tabs>
        <w:rPr>
          <w:sz w:val="20"/>
          <w:szCs w:val="20"/>
          <w:color w:val="auto"/>
        </w:rPr>
      </w:pPr>
      <w:r>
        <w:rPr>
          <w:rFonts w:ascii="Arial" w:cs="Arial" w:eastAsia="Arial" w:hAnsi="Arial"/>
          <w:sz w:val="18"/>
          <w:szCs w:val="18"/>
          <w:color w:val="auto"/>
        </w:rPr>
        <w:t>32.0</w:t>
      </w:r>
      <w:r>
        <w:rPr>
          <w:sz w:val="20"/>
          <w:szCs w:val="20"/>
          <w:color w:val="auto"/>
        </w:rPr>
        <w:tab/>
      </w:r>
      <w:r>
        <w:rPr>
          <w:rFonts w:ascii="Arial" w:cs="Arial" w:eastAsia="Arial" w:hAnsi="Arial"/>
          <w:sz w:val="16"/>
          <w:szCs w:val="16"/>
          <w:color w:val="auto"/>
        </w:rPr>
        <w:t>Certifications pursuant to Section 906 of the Sarbanes</w:t>
      </w:r>
      <w:r>
        <w:rPr>
          <w:rFonts w:ascii="MS PGothic" w:cs="MS PGothic" w:eastAsia="MS PGothic" w:hAnsi="MS PGothic"/>
          <w:sz w:val="16"/>
          <w:szCs w:val="16"/>
          <w:color w:val="auto"/>
        </w:rPr>
        <w:t>‑</w:t>
      </w:r>
      <w:r>
        <w:rPr>
          <w:rFonts w:ascii="Arial" w:cs="Arial" w:eastAsia="Arial" w:hAnsi="Arial"/>
          <w:sz w:val="16"/>
          <w:szCs w:val="16"/>
          <w:color w:val="auto"/>
        </w:rPr>
        <w:t>Oxley Act.</w:t>
      </w:r>
    </w:p>
    <w:p>
      <w:pPr>
        <w:spacing w:after="0" w:line="387" w:lineRule="exact"/>
        <w:rPr>
          <w:sz w:val="20"/>
          <w:szCs w:val="20"/>
          <w:color w:val="auto"/>
        </w:rPr>
      </w:pPr>
    </w:p>
    <w:p>
      <w:pPr>
        <w:ind w:left="1440" w:hanging="635"/>
        <w:spacing w:after="0"/>
        <w:tabs>
          <w:tab w:leader="none" w:pos="1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XBRL-related documents</w:t>
      </w:r>
    </w:p>
    <w:p>
      <w:pPr>
        <w:spacing w:after="0" w:line="387" w:lineRule="exact"/>
        <w:rPr>
          <w:rFonts w:ascii="Arial" w:cs="Arial" w:eastAsia="Arial" w:hAnsi="Arial"/>
          <w:sz w:val="18"/>
          <w:szCs w:val="18"/>
          <w:color w:val="auto"/>
        </w:rPr>
      </w:pPr>
    </w:p>
    <w:p>
      <w:pPr>
        <w:ind w:left="1440" w:hanging="635"/>
        <w:spacing w:after="0"/>
        <w:tabs>
          <w:tab w:leader="none" w:pos="1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Interactive data file</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w:t>
      </w:r>
    </w:p>
    <w:p>
      <w:pPr>
        <w:spacing w:after="0" w:line="205"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Incorporated by reference from the Company's Annual Report on Form 10-K for the year ended December 31, 1999 filed on March 30, 2000.</w:t>
      </w:r>
    </w:p>
    <w:p>
      <w:pPr>
        <w:spacing w:after="0" w:line="176" w:lineRule="exact"/>
        <w:rPr>
          <w:rFonts w:ascii="Arial" w:cs="Arial" w:eastAsia="Arial" w:hAnsi="Arial"/>
          <w:sz w:val="14"/>
          <w:szCs w:val="14"/>
          <w:color w:val="auto"/>
        </w:rPr>
      </w:pPr>
    </w:p>
    <w:p>
      <w:pPr>
        <w:ind w:left="660" w:hanging="652"/>
        <w:spacing w:after="0"/>
        <w:tabs>
          <w:tab w:leader="none" w:pos="6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Incorporated by reference from the Company's Quarterly Report on Form 10-Q for the quarter ended March 31, 2000 filed on May 15, 2000.</w:t>
      </w:r>
    </w:p>
    <w:p>
      <w:pPr>
        <w:spacing w:after="0" w:line="176" w:lineRule="exact"/>
        <w:rPr>
          <w:rFonts w:ascii="Arial" w:cs="Arial" w:eastAsia="Arial" w:hAnsi="Arial"/>
          <w:sz w:val="14"/>
          <w:szCs w:val="14"/>
          <w:color w:val="auto"/>
        </w:rPr>
      </w:pPr>
    </w:p>
    <w:p>
      <w:pPr>
        <w:ind w:left="660" w:hanging="652"/>
        <w:spacing w:after="0"/>
        <w:tabs>
          <w:tab w:leader="none" w:pos="6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October 25, 2013.</w:t>
      </w:r>
    </w:p>
    <w:p>
      <w:pPr>
        <w:spacing w:after="0" w:line="176" w:lineRule="exact"/>
        <w:rPr>
          <w:rFonts w:ascii="Arial" w:cs="Arial" w:eastAsia="Arial" w:hAnsi="Arial"/>
          <w:sz w:val="14"/>
          <w:szCs w:val="14"/>
          <w:color w:val="auto"/>
        </w:rPr>
      </w:pPr>
    </w:p>
    <w:p>
      <w:pPr>
        <w:ind w:left="660" w:hanging="652"/>
        <w:spacing w:after="0"/>
        <w:tabs>
          <w:tab w:leader="none" w:pos="6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Incorporated by reference from the Company's Form S-3 Registration Statement filed on February 12, 2001.</w:t>
      </w:r>
    </w:p>
    <w:p>
      <w:pPr>
        <w:sectPr>
          <w:pgSz w:w="11900" w:h="16838" w:orient="portrait"/>
          <w:cols w:equalWidth="0" w:num="1">
            <w:col w:w="10720"/>
          </w:cols>
          <w:pgMar w:left="240" w:top="118" w:right="9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0720"/>
          </w:cols>
          <w:pgMar w:left="240" w:top="118" w:right="939" w:bottom="1440" w:gutter="0" w:footer="0" w:header="0"/>
          <w:type w:val="continuous"/>
        </w:sectPr>
      </w:pPr>
    </w:p>
    <w:bookmarkStart w:id="117" w:name="page118"/>
    <w:bookmarkEnd w:id="117"/>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247"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Incorporated by reference from the Company's Quarterly Report on Form 10-Q for the quarter ended September 30, 2002 filed on November 14, 2002.</w:t>
      </w:r>
    </w:p>
    <w:p>
      <w:pPr>
        <w:spacing w:after="0" w:line="176" w:lineRule="exact"/>
        <w:rPr>
          <w:rFonts w:ascii="Arial" w:cs="Arial" w:eastAsia="Arial" w:hAnsi="Arial"/>
          <w:sz w:val="14"/>
          <w:szCs w:val="14"/>
          <w:color w:val="auto"/>
        </w:rPr>
      </w:pPr>
    </w:p>
    <w:p>
      <w:pPr>
        <w:ind w:left="660" w:hanging="652"/>
        <w:spacing w:after="0"/>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8-A filed on July 8, 2003.</w:t>
      </w:r>
    </w:p>
    <w:p>
      <w:pPr>
        <w:spacing w:after="0" w:line="176" w:lineRule="exact"/>
        <w:rPr>
          <w:rFonts w:ascii="Arial" w:cs="Arial" w:eastAsia="Arial" w:hAnsi="Arial"/>
          <w:sz w:val="14"/>
          <w:szCs w:val="14"/>
          <w:color w:val="auto"/>
        </w:rPr>
      </w:pPr>
    </w:p>
    <w:p>
      <w:pPr>
        <w:ind w:left="660" w:hanging="652"/>
        <w:spacing w:after="0"/>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8-A filed on September 25, 2003.</w:t>
      </w:r>
    </w:p>
    <w:p>
      <w:pPr>
        <w:spacing w:after="0" w:line="176" w:lineRule="exact"/>
        <w:rPr>
          <w:rFonts w:ascii="Arial" w:cs="Arial" w:eastAsia="Arial" w:hAnsi="Arial"/>
          <w:sz w:val="14"/>
          <w:szCs w:val="14"/>
          <w:color w:val="auto"/>
        </w:rPr>
      </w:pPr>
    </w:p>
    <w:p>
      <w:pPr>
        <w:ind w:left="660" w:hanging="652"/>
        <w:spacing w:after="0"/>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8-A filed on December 10, 2003.</w:t>
      </w:r>
    </w:p>
    <w:p>
      <w:pPr>
        <w:spacing w:after="0" w:line="176" w:lineRule="exact"/>
        <w:rPr>
          <w:rFonts w:ascii="Arial" w:cs="Arial" w:eastAsia="Arial" w:hAnsi="Arial"/>
          <w:sz w:val="14"/>
          <w:szCs w:val="14"/>
          <w:color w:val="auto"/>
        </w:rPr>
      </w:pPr>
    </w:p>
    <w:p>
      <w:pPr>
        <w:ind w:left="660" w:hanging="652"/>
        <w:spacing w:after="0"/>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Incorporated by reference from the Company's Annual Report on Form 10-K for the year ended December 31, 2003 filed on March 15, 2004.</w:t>
      </w:r>
    </w:p>
    <w:p>
      <w:pPr>
        <w:spacing w:after="0" w:line="176" w:lineRule="exact"/>
        <w:rPr>
          <w:rFonts w:ascii="Arial" w:cs="Arial" w:eastAsia="Arial" w:hAnsi="Arial"/>
          <w:sz w:val="14"/>
          <w:szCs w:val="14"/>
          <w:color w:val="auto"/>
        </w:rPr>
      </w:pPr>
    </w:p>
    <w:p>
      <w:pPr>
        <w:ind w:left="660" w:hanging="652"/>
        <w:spacing w:after="0"/>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8-A filed on February 27, 2004.</w:t>
      </w:r>
    </w:p>
    <w:p>
      <w:pPr>
        <w:spacing w:after="0" w:line="176" w:lineRule="exact"/>
        <w:rPr>
          <w:rFonts w:ascii="Arial" w:cs="Arial" w:eastAsia="Arial" w:hAnsi="Arial"/>
          <w:sz w:val="14"/>
          <w:szCs w:val="14"/>
          <w:color w:val="auto"/>
        </w:rPr>
      </w:pPr>
    </w:p>
    <w:p>
      <w:pPr>
        <w:ind w:left="660" w:hanging="652"/>
        <w:spacing w:after="0"/>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Incorporated by reference from the Company's Definitive Proxy Statement filed on April 28, 2004.</w:t>
      </w:r>
    </w:p>
    <w:p>
      <w:pPr>
        <w:spacing w:after="0" w:line="176" w:lineRule="exact"/>
        <w:rPr>
          <w:rFonts w:ascii="Arial" w:cs="Arial" w:eastAsia="Arial" w:hAnsi="Arial"/>
          <w:sz w:val="14"/>
          <w:szCs w:val="14"/>
          <w:color w:val="auto"/>
        </w:rPr>
      </w:pPr>
    </w:p>
    <w:p>
      <w:pPr>
        <w:ind w:left="660" w:hanging="652"/>
        <w:spacing w:after="0"/>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November 19, 2013.</w:t>
      </w:r>
    </w:p>
    <w:p>
      <w:pPr>
        <w:spacing w:after="0" w:line="176" w:lineRule="exact"/>
        <w:rPr>
          <w:rFonts w:ascii="Arial" w:cs="Arial" w:eastAsia="Arial" w:hAnsi="Arial"/>
          <w:sz w:val="14"/>
          <w:szCs w:val="14"/>
          <w:color w:val="auto"/>
        </w:rPr>
      </w:pPr>
    </w:p>
    <w:p>
      <w:pPr>
        <w:ind w:left="660" w:hanging="652"/>
        <w:spacing w:after="0"/>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Incorporated by reference from the Company's Annual Report on Form 10-K for the year ended December 31, 2004 filed on March 16, 2005.</w:t>
      </w:r>
    </w:p>
    <w:p>
      <w:pPr>
        <w:spacing w:after="0" w:line="136" w:lineRule="exact"/>
        <w:rPr>
          <w:rFonts w:ascii="Arial" w:cs="Arial" w:eastAsia="Arial" w:hAnsi="Arial"/>
          <w:sz w:val="14"/>
          <w:szCs w:val="14"/>
          <w:color w:val="auto"/>
        </w:rPr>
      </w:pPr>
    </w:p>
    <w:p>
      <w:pPr>
        <w:ind w:left="660" w:hanging="652"/>
        <w:spacing w:after="0"/>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Incorporated by reference from Falcon Financial Investment Trust's Form 8-K filed on January 24, 2005.</w:t>
      </w:r>
    </w:p>
    <w:p>
      <w:pPr>
        <w:spacing w:after="0" w:line="136" w:lineRule="exact"/>
        <w:rPr>
          <w:rFonts w:ascii="Arial" w:cs="Arial" w:eastAsia="Arial" w:hAnsi="Arial"/>
          <w:sz w:val="14"/>
          <w:szCs w:val="14"/>
          <w:color w:val="auto"/>
        </w:rPr>
      </w:pPr>
    </w:p>
    <w:p>
      <w:pPr>
        <w:ind w:left="660" w:hanging="652"/>
        <w:spacing w:after="0"/>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April 20, 2005.</w:t>
      </w:r>
    </w:p>
    <w:p>
      <w:pPr>
        <w:spacing w:after="0" w:line="136" w:lineRule="exact"/>
        <w:rPr>
          <w:rFonts w:ascii="Arial" w:cs="Arial" w:eastAsia="Arial" w:hAnsi="Arial"/>
          <w:sz w:val="14"/>
          <w:szCs w:val="14"/>
          <w:color w:val="auto"/>
        </w:rPr>
      </w:pPr>
    </w:p>
    <w:p>
      <w:pPr>
        <w:ind w:left="660" w:hanging="652"/>
        <w:spacing w:after="0"/>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Incorporated by reference from the Company's Annual Report on Form 10-K for the year ended December 31, 2005 filed on March 16, 2006.</w:t>
      </w:r>
    </w:p>
    <w:p>
      <w:pPr>
        <w:spacing w:after="0" w:line="136" w:lineRule="exact"/>
        <w:rPr>
          <w:rFonts w:ascii="Arial" w:cs="Arial" w:eastAsia="Arial" w:hAnsi="Arial"/>
          <w:sz w:val="14"/>
          <w:szCs w:val="14"/>
          <w:color w:val="auto"/>
        </w:rPr>
      </w:pPr>
    </w:p>
    <w:p>
      <w:pPr>
        <w:ind w:left="660" w:hanging="652"/>
        <w:spacing w:after="0"/>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February 24, 2006.</w:t>
      </w:r>
    </w:p>
    <w:p>
      <w:pPr>
        <w:spacing w:after="0" w:line="136" w:lineRule="exact"/>
        <w:rPr>
          <w:rFonts w:ascii="Arial" w:cs="Arial" w:eastAsia="Arial" w:hAnsi="Arial"/>
          <w:sz w:val="14"/>
          <w:szCs w:val="14"/>
          <w:color w:val="auto"/>
        </w:rPr>
      </w:pPr>
    </w:p>
    <w:p>
      <w:pPr>
        <w:ind w:left="660" w:hanging="652"/>
        <w:spacing w:after="0"/>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March 18, 2013.</w:t>
      </w:r>
    </w:p>
    <w:p>
      <w:pPr>
        <w:spacing w:after="0" w:line="136" w:lineRule="exact"/>
        <w:rPr>
          <w:rFonts w:ascii="Arial" w:cs="Arial" w:eastAsia="Arial" w:hAnsi="Arial"/>
          <w:sz w:val="14"/>
          <w:szCs w:val="14"/>
          <w:color w:val="auto"/>
        </w:rPr>
      </w:pPr>
    </w:p>
    <w:p>
      <w:pPr>
        <w:ind w:left="660" w:hanging="652"/>
        <w:spacing w:after="0"/>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Incorporated by reference from the Company's Definitive Proxy Statement filed on April 27, 2009.</w:t>
      </w:r>
    </w:p>
    <w:p>
      <w:pPr>
        <w:spacing w:after="0" w:line="136" w:lineRule="exact"/>
        <w:rPr>
          <w:rFonts w:ascii="Arial" w:cs="Arial" w:eastAsia="Arial" w:hAnsi="Arial"/>
          <w:sz w:val="14"/>
          <w:szCs w:val="14"/>
          <w:color w:val="auto"/>
        </w:rPr>
      </w:pPr>
    </w:p>
    <w:p>
      <w:pPr>
        <w:ind w:left="660" w:hanging="652"/>
        <w:spacing w:after="0"/>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January 16, 2007.</w:t>
      </w:r>
    </w:p>
    <w:p>
      <w:pPr>
        <w:spacing w:after="0" w:line="176" w:lineRule="exact"/>
        <w:rPr>
          <w:rFonts w:ascii="Arial" w:cs="Arial" w:eastAsia="Arial" w:hAnsi="Arial"/>
          <w:sz w:val="14"/>
          <w:szCs w:val="14"/>
          <w:color w:val="auto"/>
        </w:rPr>
      </w:pPr>
    </w:p>
    <w:p>
      <w:pPr>
        <w:ind w:left="660" w:hanging="652"/>
        <w:spacing w:after="0"/>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January 25, 2007.</w:t>
      </w:r>
    </w:p>
    <w:p>
      <w:pPr>
        <w:spacing w:after="0" w:line="176" w:lineRule="exact"/>
        <w:rPr>
          <w:rFonts w:ascii="Arial" w:cs="Arial" w:eastAsia="Arial" w:hAnsi="Arial"/>
          <w:sz w:val="14"/>
          <w:szCs w:val="14"/>
          <w:color w:val="auto"/>
        </w:rPr>
      </w:pPr>
    </w:p>
    <w:p>
      <w:pPr>
        <w:ind w:left="660" w:hanging="652"/>
        <w:spacing w:after="0"/>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March 15, 2007.</w:t>
      </w:r>
    </w:p>
    <w:p>
      <w:pPr>
        <w:spacing w:after="0" w:line="176" w:lineRule="exact"/>
        <w:rPr>
          <w:rFonts w:ascii="Arial" w:cs="Arial" w:eastAsia="Arial" w:hAnsi="Arial"/>
          <w:sz w:val="14"/>
          <w:szCs w:val="14"/>
          <w:color w:val="auto"/>
        </w:rPr>
      </w:pPr>
    </w:p>
    <w:p>
      <w:pPr>
        <w:ind w:left="660" w:hanging="652"/>
        <w:spacing w:after="0"/>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Incorporated by reference from the Company's Quarterly Report on Form 10-Q for the quarter ended March 31, 2007 filed on May 9, 2007.</w:t>
      </w:r>
    </w:p>
    <w:p>
      <w:pPr>
        <w:spacing w:after="0" w:line="176" w:lineRule="exact"/>
        <w:rPr>
          <w:rFonts w:ascii="Arial" w:cs="Arial" w:eastAsia="Arial" w:hAnsi="Arial"/>
          <w:sz w:val="14"/>
          <w:szCs w:val="14"/>
          <w:color w:val="auto"/>
        </w:rPr>
      </w:pPr>
    </w:p>
    <w:p>
      <w:pPr>
        <w:ind w:left="660" w:hanging="652"/>
        <w:spacing w:after="0"/>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Incorporated by reference from the Company's Quarterly Report on Form 10-Q for the quarter ended March 31, 2008 filed on May 9, 2008.</w:t>
      </w:r>
    </w:p>
    <w:p>
      <w:pPr>
        <w:spacing w:after="0" w:line="176" w:lineRule="exact"/>
        <w:rPr>
          <w:rFonts w:ascii="Arial" w:cs="Arial" w:eastAsia="Arial" w:hAnsi="Arial"/>
          <w:sz w:val="14"/>
          <w:szCs w:val="14"/>
          <w:color w:val="auto"/>
        </w:rPr>
      </w:pPr>
    </w:p>
    <w:p>
      <w:pPr>
        <w:ind w:left="660" w:hanging="652"/>
        <w:spacing w:after="0"/>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8-A filed on March 18, 2013.</w:t>
      </w:r>
    </w:p>
    <w:p>
      <w:pPr>
        <w:spacing w:after="0" w:line="217" w:lineRule="exact"/>
        <w:rPr>
          <w:rFonts w:ascii="Arial" w:cs="Arial" w:eastAsia="Arial" w:hAnsi="Arial"/>
          <w:sz w:val="14"/>
          <w:szCs w:val="14"/>
          <w:color w:val="auto"/>
        </w:rPr>
      </w:pPr>
    </w:p>
    <w:p>
      <w:pPr>
        <w:ind w:left="420" w:hanging="412"/>
        <w:spacing w:after="0"/>
        <w:tabs>
          <w:tab w:leader="none" w:pos="4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March 23, 2012.</w:t>
      </w:r>
    </w:p>
    <w:p>
      <w:pPr>
        <w:spacing w:after="0" w:line="284" w:lineRule="exact"/>
        <w:rPr>
          <w:rFonts w:ascii="Arial" w:cs="Arial" w:eastAsia="Arial" w:hAnsi="Arial"/>
          <w:sz w:val="14"/>
          <w:szCs w:val="14"/>
          <w:color w:val="auto"/>
        </w:rPr>
      </w:pPr>
    </w:p>
    <w:p>
      <w:pPr>
        <w:ind w:left="420" w:hanging="412"/>
        <w:spacing w:after="0"/>
        <w:tabs>
          <w:tab w:leader="none" w:pos="4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May 11, 2012.</w:t>
      </w:r>
    </w:p>
    <w:p>
      <w:pPr>
        <w:spacing w:after="0" w:line="284" w:lineRule="exact"/>
        <w:rPr>
          <w:rFonts w:ascii="Arial" w:cs="Arial" w:eastAsia="Arial" w:hAnsi="Arial"/>
          <w:sz w:val="14"/>
          <w:szCs w:val="14"/>
          <w:color w:val="auto"/>
        </w:rPr>
      </w:pPr>
    </w:p>
    <w:p>
      <w:pPr>
        <w:ind w:left="420" w:hanging="412"/>
        <w:spacing w:after="0"/>
        <w:tabs>
          <w:tab w:leader="none" w:pos="4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Incorporated by reference from the Company's Form S-4 Registration Statement filed on June 8, 2012.</w:t>
      </w:r>
    </w:p>
    <w:p>
      <w:pPr>
        <w:spacing w:after="0" w:line="284" w:lineRule="exact"/>
        <w:rPr>
          <w:rFonts w:ascii="Arial" w:cs="Arial" w:eastAsia="Arial" w:hAnsi="Arial"/>
          <w:sz w:val="14"/>
          <w:szCs w:val="14"/>
          <w:color w:val="auto"/>
        </w:rPr>
      </w:pPr>
    </w:p>
    <w:p>
      <w:pPr>
        <w:ind w:left="420" w:hanging="412"/>
        <w:spacing w:after="0"/>
        <w:tabs>
          <w:tab w:leader="none" w:pos="4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October 19, 2012.</w:t>
      </w:r>
    </w:p>
    <w:p>
      <w:pPr>
        <w:spacing w:after="0" w:line="284" w:lineRule="exact"/>
        <w:rPr>
          <w:rFonts w:ascii="Arial" w:cs="Arial" w:eastAsia="Arial" w:hAnsi="Arial"/>
          <w:sz w:val="14"/>
          <w:szCs w:val="14"/>
          <w:color w:val="auto"/>
        </w:rPr>
      </w:pPr>
    </w:p>
    <w:p>
      <w:pPr>
        <w:ind w:left="420" w:hanging="412"/>
        <w:spacing w:after="0"/>
        <w:tabs>
          <w:tab w:leader="none" w:pos="4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November 19, 2012.</w:t>
      </w:r>
    </w:p>
    <w:p>
      <w:pPr>
        <w:spacing w:after="0" w:line="244" w:lineRule="exact"/>
        <w:rPr>
          <w:rFonts w:ascii="Arial" w:cs="Arial" w:eastAsia="Arial" w:hAnsi="Arial"/>
          <w:sz w:val="14"/>
          <w:szCs w:val="14"/>
          <w:color w:val="auto"/>
        </w:rPr>
      </w:pPr>
    </w:p>
    <w:p>
      <w:pPr>
        <w:ind w:left="400" w:hanging="392"/>
        <w:spacing w:after="0"/>
        <w:tabs>
          <w:tab w:leader="none" w:pos="4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February 15, 2013.</w:t>
      </w:r>
    </w:p>
    <w:p>
      <w:pPr>
        <w:spacing w:after="0" w:line="257" w:lineRule="exact"/>
        <w:rPr>
          <w:rFonts w:ascii="Arial" w:cs="Arial" w:eastAsia="Arial" w:hAnsi="Arial"/>
          <w:sz w:val="14"/>
          <w:szCs w:val="14"/>
          <w:color w:val="auto"/>
        </w:rPr>
      </w:pPr>
    </w:p>
    <w:p>
      <w:pPr>
        <w:ind w:left="420" w:hanging="412"/>
        <w:spacing w:after="0"/>
        <w:tabs>
          <w:tab w:leader="none" w:pos="4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May 16, 2013.</w:t>
      </w:r>
    </w:p>
    <w:p>
      <w:pPr>
        <w:spacing w:after="0" w:line="284" w:lineRule="exact"/>
        <w:rPr>
          <w:rFonts w:ascii="Arial" w:cs="Arial" w:eastAsia="Arial" w:hAnsi="Arial"/>
          <w:sz w:val="14"/>
          <w:szCs w:val="14"/>
          <w:color w:val="auto"/>
        </w:rPr>
      </w:pPr>
    </w:p>
    <w:p>
      <w:pPr>
        <w:ind w:left="420" w:hanging="412"/>
        <w:spacing w:after="0"/>
        <w:tabs>
          <w:tab w:leader="none" w:pos="4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September 30, 2003.</w:t>
      </w:r>
    </w:p>
    <w:p>
      <w:pPr>
        <w:spacing w:after="0" w:line="200" w:lineRule="exact"/>
        <w:rPr>
          <w:sz w:val="20"/>
          <w:szCs w:val="20"/>
          <w:color w:val="auto"/>
        </w:rPr>
      </w:pPr>
    </w:p>
    <w:p>
      <w:pPr>
        <w:spacing w:after="0" w:line="395" w:lineRule="exact"/>
        <w:rPr>
          <w:sz w:val="20"/>
          <w:szCs w:val="20"/>
          <w:color w:val="auto"/>
        </w:rPr>
      </w:pPr>
    </w:p>
    <w:p>
      <w:pPr>
        <w:ind w:firstLine="8"/>
        <w:spacing w:after="0" w:line="273" w:lineRule="auto"/>
        <w:tabs>
          <w:tab w:leader="none" w:pos="108"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 accordance with Rule 406T of Regulation S-T, the XBRL related information in Exhibit 101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118" w:right="259"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5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iSTAR FINANCIAL INC.</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Registrant</w:t>
      </w:r>
    </w:p>
    <w:p>
      <w:pPr>
        <w:spacing w:after="0" w:line="49"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8"/>
          <w:szCs w:val="18"/>
          <w:color w:val="auto"/>
        </w:rPr>
        <w:t>Date: February 28, 2014</w:t>
      </w:r>
      <w:r>
        <w:rPr>
          <w:sz w:val="20"/>
          <w:szCs w:val="20"/>
          <w:color w:val="auto"/>
        </w:rPr>
        <w:tab/>
      </w:r>
      <w:r>
        <w:rPr>
          <w:rFonts w:ascii="Arial" w:cs="Arial" w:eastAsia="Arial" w:hAnsi="Arial"/>
          <w:sz w:val="17"/>
          <w:szCs w:val="17"/>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Jay Sugarman</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i w:val="1"/>
          <w:iCs w:val="1"/>
          <w:color w:val="auto"/>
        </w:rPr>
        <w:t>Chairman of the Board of Directors and Chief</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Executive Officer (principal executive officer)</w:t>
      </w:r>
    </w:p>
    <w:p>
      <w:pPr>
        <w:spacing w:after="0" w:line="4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iSTAR FINANCIAL INC.</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Registrant</w:t>
      </w:r>
    </w:p>
    <w:p>
      <w:pPr>
        <w:spacing w:after="0" w:line="49" w:lineRule="exact"/>
        <w:rPr>
          <w:sz w:val="20"/>
          <w:szCs w:val="20"/>
          <w:color w:val="auto"/>
        </w:rPr>
      </w:pPr>
    </w:p>
    <w:p>
      <w:pPr>
        <w:ind w:left="280"/>
        <w:spacing w:after="0"/>
        <w:tabs>
          <w:tab w:leader="none" w:pos="7760" w:val="left"/>
        </w:tabs>
        <w:rPr>
          <w:sz w:val="20"/>
          <w:szCs w:val="20"/>
          <w:color w:val="auto"/>
        </w:rPr>
      </w:pPr>
      <w:r>
        <w:rPr>
          <w:rFonts w:ascii="Arial" w:cs="Arial" w:eastAsia="Arial" w:hAnsi="Arial"/>
          <w:sz w:val="18"/>
          <w:szCs w:val="18"/>
          <w:color w:val="auto"/>
        </w:rPr>
        <w:t>Date: February 28, 2014</w:t>
      </w:r>
      <w:r>
        <w:rPr>
          <w:sz w:val="20"/>
          <w:szCs w:val="20"/>
          <w:color w:val="auto"/>
        </w:rPr>
        <w:tab/>
      </w:r>
      <w:r>
        <w:rPr>
          <w:rFonts w:ascii="Arial" w:cs="Arial" w:eastAsia="Arial" w:hAnsi="Arial"/>
          <w:sz w:val="17"/>
          <w:szCs w:val="17"/>
          <w:color w:val="auto"/>
        </w:rPr>
        <w:t>/s/ DAVID M. DISTASO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David M. DiStaso</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i w:val="1"/>
          <w:iCs w:val="1"/>
          <w:color w:val="auto"/>
        </w:rPr>
        <w:t>Chief Financial Officer (principal financial and</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accounting officer)</w:t>
      </w:r>
    </w:p>
    <w:p>
      <w:pPr>
        <w:spacing w:after="0" w:line="31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76"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February 28, 2014</w:t>
            </w:r>
          </w:p>
        </w:tc>
        <w:tc>
          <w:tcPr>
            <w:tcW w:w="316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6"/>
              </w:rPr>
              <w:t>/s/ JAY SUGARMAN</w:t>
            </w:r>
          </w:p>
        </w:tc>
      </w:tr>
      <w:tr>
        <w:trPr>
          <w:trHeight w:val="27"/>
        </w:trPr>
        <w:tc>
          <w:tcPr>
            <w:tcW w:w="3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22"/>
        </w:trPr>
        <w:tc>
          <w:tcPr>
            <w:tcW w:w="35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86"/>
              </w:rPr>
              <w:t>Jay Sugarman</w:t>
            </w:r>
          </w:p>
        </w:tc>
      </w:tr>
      <w:tr>
        <w:trPr>
          <w:trHeight w:val="216"/>
        </w:trPr>
        <w:tc>
          <w:tcPr>
            <w:tcW w:w="35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Arial" w:cs="Arial" w:eastAsia="Arial" w:hAnsi="Arial"/>
                <w:sz w:val="18"/>
                <w:szCs w:val="18"/>
                <w:i w:val="1"/>
                <w:iCs w:val="1"/>
                <w:color w:val="auto"/>
                <w:w w:val="92"/>
              </w:rPr>
              <w:t>Chairman of the Board of Directors</w:t>
            </w:r>
          </w:p>
        </w:tc>
      </w:tr>
      <w:tr>
        <w:trPr>
          <w:trHeight w:val="230"/>
        </w:trPr>
        <w:tc>
          <w:tcPr>
            <w:tcW w:w="35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i w:val="1"/>
                <w:iCs w:val="1"/>
                <w:color w:val="auto"/>
                <w:w w:val="91"/>
              </w:rPr>
              <w:t>Chief Executive Officer</w:t>
            </w:r>
          </w:p>
        </w:tc>
      </w:tr>
      <w:tr>
        <w:trPr>
          <w:trHeight w:val="594"/>
        </w:trPr>
        <w:tc>
          <w:tcPr>
            <w:tcW w:w="3540" w:type="dxa"/>
            <w:vAlign w:val="bottom"/>
          </w:tcPr>
          <w:p>
            <w:pPr>
              <w:spacing w:after="0"/>
              <w:rPr>
                <w:sz w:val="20"/>
                <w:szCs w:val="20"/>
                <w:color w:val="auto"/>
              </w:rPr>
            </w:pPr>
            <w:r>
              <w:rPr>
                <w:rFonts w:ascii="Arial" w:cs="Arial" w:eastAsia="Arial" w:hAnsi="Arial"/>
                <w:sz w:val="18"/>
                <w:szCs w:val="18"/>
                <w:color w:val="auto"/>
              </w:rPr>
              <w:t>Date: February 28, 2014</w:t>
            </w:r>
          </w:p>
        </w:tc>
        <w:tc>
          <w:tcPr>
            <w:tcW w:w="3160" w:type="dxa"/>
            <w:vAlign w:val="bottom"/>
          </w:tcPr>
          <w:p>
            <w:pPr>
              <w:spacing w:after="0"/>
              <w:rPr>
                <w:sz w:val="24"/>
                <w:szCs w:val="24"/>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4"/>
              </w:rPr>
              <w:t>/s/ ROBERT W. HOLMAN, JR.</w:t>
            </w:r>
          </w:p>
        </w:tc>
      </w:tr>
      <w:tr>
        <w:trPr>
          <w:trHeight w:val="27"/>
        </w:trPr>
        <w:tc>
          <w:tcPr>
            <w:tcW w:w="3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22"/>
        </w:trPr>
        <w:tc>
          <w:tcPr>
            <w:tcW w:w="35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89"/>
              </w:rPr>
              <w:t>Robert W. Holman, Jr.</w:t>
            </w:r>
          </w:p>
        </w:tc>
      </w:tr>
      <w:tr>
        <w:trPr>
          <w:trHeight w:val="230"/>
        </w:trPr>
        <w:tc>
          <w:tcPr>
            <w:tcW w:w="35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594"/>
        </w:trPr>
        <w:tc>
          <w:tcPr>
            <w:tcW w:w="3540" w:type="dxa"/>
            <w:vAlign w:val="bottom"/>
          </w:tcPr>
          <w:p>
            <w:pPr>
              <w:spacing w:after="0"/>
              <w:rPr>
                <w:sz w:val="20"/>
                <w:szCs w:val="20"/>
                <w:color w:val="auto"/>
              </w:rPr>
            </w:pPr>
            <w:r>
              <w:rPr>
                <w:rFonts w:ascii="Arial" w:cs="Arial" w:eastAsia="Arial" w:hAnsi="Arial"/>
                <w:sz w:val="18"/>
                <w:szCs w:val="18"/>
                <w:color w:val="auto"/>
              </w:rPr>
              <w:t>Date: February 28, 2014</w:t>
            </w:r>
          </w:p>
        </w:tc>
        <w:tc>
          <w:tcPr>
            <w:tcW w:w="3160" w:type="dxa"/>
            <w:vAlign w:val="bottom"/>
          </w:tcPr>
          <w:p>
            <w:pPr>
              <w:spacing w:after="0"/>
              <w:rPr>
                <w:sz w:val="24"/>
                <w:szCs w:val="24"/>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1"/>
              </w:rPr>
              <w:t>/s/ ROBIN JOSEPHS</w:t>
            </w:r>
          </w:p>
        </w:tc>
      </w:tr>
      <w:tr>
        <w:trPr>
          <w:trHeight w:val="27"/>
        </w:trPr>
        <w:tc>
          <w:tcPr>
            <w:tcW w:w="3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22"/>
        </w:trPr>
        <w:tc>
          <w:tcPr>
            <w:tcW w:w="35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87"/>
              </w:rPr>
              <w:t>Robin Josephs</w:t>
            </w:r>
          </w:p>
        </w:tc>
      </w:tr>
      <w:tr>
        <w:trPr>
          <w:trHeight w:val="230"/>
        </w:trPr>
        <w:tc>
          <w:tcPr>
            <w:tcW w:w="35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594"/>
        </w:trPr>
        <w:tc>
          <w:tcPr>
            <w:tcW w:w="3540" w:type="dxa"/>
            <w:vAlign w:val="bottom"/>
          </w:tcPr>
          <w:p>
            <w:pPr>
              <w:spacing w:after="0"/>
              <w:rPr>
                <w:sz w:val="20"/>
                <w:szCs w:val="20"/>
                <w:color w:val="auto"/>
              </w:rPr>
            </w:pPr>
            <w:r>
              <w:rPr>
                <w:rFonts w:ascii="Arial" w:cs="Arial" w:eastAsia="Arial" w:hAnsi="Arial"/>
                <w:sz w:val="18"/>
                <w:szCs w:val="18"/>
                <w:color w:val="auto"/>
              </w:rPr>
              <w:t>Date: February 28, 2014</w:t>
            </w:r>
          </w:p>
        </w:tc>
        <w:tc>
          <w:tcPr>
            <w:tcW w:w="3160" w:type="dxa"/>
            <w:vAlign w:val="bottom"/>
          </w:tcPr>
          <w:p>
            <w:pPr>
              <w:spacing w:after="0"/>
              <w:rPr>
                <w:sz w:val="24"/>
                <w:szCs w:val="24"/>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6"/>
              </w:rPr>
              <w:t>/s/ JOHN G. MCDONALD</w:t>
            </w:r>
          </w:p>
        </w:tc>
      </w:tr>
      <w:tr>
        <w:trPr>
          <w:trHeight w:val="27"/>
        </w:trPr>
        <w:tc>
          <w:tcPr>
            <w:tcW w:w="3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22"/>
        </w:trPr>
        <w:tc>
          <w:tcPr>
            <w:tcW w:w="35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1"/>
              </w:rPr>
              <w:t>John G. McDonald</w:t>
            </w:r>
          </w:p>
        </w:tc>
      </w:tr>
      <w:tr>
        <w:trPr>
          <w:trHeight w:val="230"/>
        </w:trPr>
        <w:tc>
          <w:tcPr>
            <w:tcW w:w="35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594"/>
        </w:trPr>
        <w:tc>
          <w:tcPr>
            <w:tcW w:w="3540" w:type="dxa"/>
            <w:vAlign w:val="bottom"/>
          </w:tcPr>
          <w:p>
            <w:pPr>
              <w:spacing w:after="0"/>
              <w:rPr>
                <w:sz w:val="20"/>
                <w:szCs w:val="20"/>
                <w:color w:val="auto"/>
              </w:rPr>
            </w:pPr>
            <w:r>
              <w:rPr>
                <w:rFonts w:ascii="Arial" w:cs="Arial" w:eastAsia="Arial" w:hAnsi="Arial"/>
                <w:sz w:val="18"/>
                <w:szCs w:val="18"/>
                <w:color w:val="auto"/>
              </w:rPr>
              <w:t>Date: February 28, 2014</w:t>
            </w:r>
          </w:p>
        </w:tc>
        <w:tc>
          <w:tcPr>
            <w:tcW w:w="3160" w:type="dxa"/>
            <w:vAlign w:val="bottom"/>
          </w:tcPr>
          <w:p>
            <w:pPr>
              <w:spacing w:after="0"/>
              <w:rPr>
                <w:sz w:val="24"/>
                <w:szCs w:val="24"/>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4"/>
              </w:rPr>
              <w:t>/s/ DALE A. REISS</w:t>
            </w:r>
          </w:p>
        </w:tc>
      </w:tr>
      <w:tr>
        <w:trPr>
          <w:trHeight w:val="27"/>
        </w:trPr>
        <w:tc>
          <w:tcPr>
            <w:tcW w:w="3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22"/>
        </w:trPr>
        <w:tc>
          <w:tcPr>
            <w:tcW w:w="35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1"/>
              </w:rPr>
              <w:t>Dale A. Reiss</w:t>
            </w:r>
          </w:p>
        </w:tc>
      </w:tr>
      <w:tr>
        <w:trPr>
          <w:trHeight w:val="230"/>
        </w:trPr>
        <w:tc>
          <w:tcPr>
            <w:tcW w:w="35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594"/>
        </w:trPr>
        <w:tc>
          <w:tcPr>
            <w:tcW w:w="3540" w:type="dxa"/>
            <w:vAlign w:val="bottom"/>
          </w:tcPr>
          <w:p>
            <w:pPr>
              <w:spacing w:after="0"/>
              <w:rPr>
                <w:sz w:val="20"/>
                <w:szCs w:val="20"/>
                <w:color w:val="auto"/>
              </w:rPr>
            </w:pPr>
            <w:r>
              <w:rPr>
                <w:rFonts w:ascii="Arial" w:cs="Arial" w:eastAsia="Arial" w:hAnsi="Arial"/>
                <w:sz w:val="18"/>
                <w:szCs w:val="18"/>
                <w:color w:val="auto"/>
              </w:rPr>
              <w:t>Date: February 28, 2014</w:t>
            </w:r>
          </w:p>
        </w:tc>
        <w:tc>
          <w:tcPr>
            <w:tcW w:w="3160" w:type="dxa"/>
            <w:vAlign w:val="bottom"/>
          </w:tcPr>
          <w:p>
            <w:pPr>
              <w:spacing w:after="0"/>
              <w:rPr>
                <w:sz w:val="24"/>
                <w:szCs w:val="24"/>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5"/>
              </w:rPr>
              <w:t>/s/ BARRY W. RIDINGS</w:t>
            </w:r>
          </w:p>
        </w:tc>
      </w:tr>
      <w:tr>
        <w:trPr>
          <w:trHeight w:val="27"/>
        </w:trPr>
        <w:tc>
          <w:tcPr>
            <w:tcW w:w="3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22"/>
        </w:trPr>
        <w:tc>
          <w:tcPr>
            <w:tcW w:w="35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3"/>
              </w:rPr>
              <w:t>Barry W. Ridings</w:t>
            </w:r>
          </w:p>
        </w:tc>
      </w:tr>
      <w:tr>
        <w:trPr>
          <w:trHeight w:val="230"/>
        </w:trPr>
        <w:tc>
          <w:tcPr>
            <w:tcW w:w="35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702"/>
        </w:trPr>
        <w:tc>
          <w:tcPr>
            <w:tcW w:w="3540" w:type="dxa"/>
            <w:vAlign w:val="bottom"/>
          </w:tcPr>
          <w:p>
            <w:pPr>
              <w:spacing w:after="0"/>
              <w:rPr>
                <w:sz w:val="24"/>
                <w:szCs w:val="24"/>
                <w:color w:val="auto"/>
              </w:rPr>
            </w:pPr>
          </w:p>
        </w:tc>
        <w:tc>
          <w:tcPr>
            <w:tcW w:w="3160" w:type="dxa"/>
            <w:vAlign w:val="bottom"/>
          </w:tcPr>
          <w:p>
            <w:pPr>
              <w:jc w:val="right"/>
              <w:ind w:right="1050"/>
              <w:spacing w:after="0"/>
              <w:rPr>
                <w:sz w:val="20"/>
                <w:szCs w:val="20"/>
                <w:color w:val="auto"/>
              </w:rPr>
            </w:pPr>
            <w:r>
              <w:rPr>
                <w:rFonts w:ascii="Arial" w:cs="Arial" w:eastAsia="Arial" w:hAnsi="Arial"/>
                <w:sz w:val="18"/>
                <w:szCs w:val="18"/>
                <w:color w:val="auto"/>
              </w:rPr>
              <w:t>114</w:t>
            </w:r>
          </w:p>
        </w:tc>
        <w:tc>
          <w:tcPr>
            <w:tcW w:w="44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Computation of Ratio of Earnings to Fixed Charges and Earnings to Fixed Charges and Preferred Dividends</w:t>
      </w:r>
    </w:p>
    <w:p>
      <w:pPr>
        <w:spacing w:after="0" w:line="27"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 in thousands, except ratios)</w:t>
      </w:r>
    </w:p>
    <w:p>
      <w:pPr>
        <w:spacing w:after="0" w:line="200" w:lineRule="exact"/>
        <w:rPr>
          <w:sz w:val="20"/>
          <w:szCs w:val="20"/>
          <w:color w:val="auto"/>
        </w:rPr>
      </w:pPr>
    </w:p>
    <w:p>
      <w:pPr>
        <w:spacing w:after="0" w:line="232"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8"/>
          </w:tcPr>
          <w:p>
            <w:pPr>
              <w:ind w:left="480"/>
              <w:spacing w:after="0"/>
              <w:rPr>
                <w:sz w:val="20"/>
                <w:szCs w:val="20"/>
                <w:color w:val="auto"/>
              </w:rPr>
            </w:pPr>
            <w:r>
              <w:rPr>
                <w:rFonts w:ascii="Arial" w:cs="Arial" w:eastAsia="Arial" w:hAnsi="Arial"/>
                <w:sz w:val="14"/>
                <w:szCs w:val="14"/>
                <w:b w:val="1"/>
                <w:bCs w:val="1"/>
                <w:color w:val="auto"/>
              </w:rPr>
              <w:t>For the Years Ended December 31,</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3"/>
        </w:trPr>
        <w:tc>
          <w:tcPr>
            <w:tcW w:w="50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2009</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b w:val="1"/>
                <w:bCs w:val="1"/>
                <w:color w:val="auto"/>
              </w:rPr>
              <w:t>Earnings: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Pre-tax income from continuing operations before earnings from</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 and other items(1)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(255,574)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(409,242)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(150,820)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(253,818)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(785,647)</w:t>
            </w:r>
          </w:p>
        </w:tc>
      </w:tr>
      <w:tr>
        <w:trPr>
          <w:trHeight w:val="243"/>
        </w:trPr>
        <w:tc>
          <w:tcPr>
            <w:tcW w:w="5020" w:type="dxa"/>
            <w:vAlign w:val="bottom"/>
          </w:tcPr>
          <w:p>
            <w:pPr>
              <w:ind w:left="200"/>
              <w:spacing w:after="0"/>
              <w:rPr>
                <w:sz w:val="20"/>
                <w:szCs w:val="20"/>
                <w:color w:val="auto"/>
              </w:rPr>
            </w:pPr>
            <w:r>
              <w:rPr>
                <w:rFonts w:ascii="Arial" w:cs="Arial" w:eastAsia="Arial" w:hAnsi="Arial"/>
                <w:sz w:val="18"/>
                <w:szCs w:val="18"/>
                <w:color w:val="auto"/>
              </w:rPr>
              <w:t>Add: Fixed charges as calculated below</w:t>
            </w:r>
          </w:p>
        </w:tc>
        <w:tc>
          <w:tcPr>
            <w:tcW w:w="2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270,872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359,844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348,664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349,041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485,624</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6"/>
              </w:rPr>
              <w:t>Add: Distributions of earnings from equity method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105,586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85,766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36,766</w:t>
            </w:r>
          </w:p>
        </w:tc>
      </w:tr>
      <w:tr>
        <w:trPr>
          <w:trHeight w:val="243"/>
        </w:trPr>
        <w:tc>
          <w:tcPr>
            <w:tcW w:w="5020" w:type="dxa"/>
            <w:vAlign w:val="bottom"/>
          </w:tcPr>
          <w:p>
            <w:pPr>
              <w:ind w:left="200"/>
              <w:spacing w:after="0"/>
              <w:rPr>
                <w:sz w:val="20"/>
                <w:szCs w:val="20"/>
                <w:color w:val="auto"/>
              </w:rPr>
            </w:pPr>
            <w:r>
              <w:rPr>
                <w:rFonts w:ascii="Arial" w:cs="Arial" w:eastAsia="Arial" w:hAnsi="Arial"/>
                <w:sz w:val="18"/>
                <w:szCs w:val="18"/>
                <w:color w:val="auto"/>
              </w:rPr>
              <w:t>Less: Capitalized interest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earnings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54,394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282,822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127,407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(263,520)</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b w:val="1"/>
                <w:bCs w:val="1"/>
                <w:color w:val="auto"/>
              </w:rPr>
              <w:t>Fixed charges: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266,225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356,161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345,914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346,500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481,116</w:t>
            </w:r>
          </w:p>
        </w:tc>
      </w:tr>
      <w:tr>
        <w:trPr>
          <w:trHeight w:val="243"/>
        </w:trPr>
        <w:tc>
          <w:tcPr>
            <w:tcW w:w="5020" w:type="dxa"/>
            <w:vAlign w:val="bottom"/>
          </w:tcPr>
          <w:p>
            <w:pPr>
              <w:ind w:left="200"/>
              <w:spacing w:after="0"/>
              <w:rPr>
                <w:sz w:val="20"/>
                <w:szCs w:val="20"/>
                <w:color w:val="auto"/>
              </w:rPr>
            </w:pPr>
            <w:r>
              <w:rPr>
                <w:rFonts w:ascii="Arial" w:cs="Arial" w:eastAsia="Arial" w:hAnsi="Arial"/>
                <w:sz w:val="18"/>
                <w:szCs w:val="18"/>
                <w:color w:val="auto"/>
              </w:rPr>
              <w:t>Add: Capitalized interest</w:t>
            </w:r>
          </w:p>
        </w:tc>
        <w:tc>
          <w:tcPr>
            <w:tcW w:w="2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2,590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263</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8"/>
              </w:rPr>
              <w:t>Implied interest component on the company's rent obligations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4,245</w:t>
            </w:r>
          </w:p>
        </w:tc>
      </w:tr>
      <w:tr>
        <w:trPr>
          <w:trHeight w:val="237"/>
        </w:trPr>
        <w:tc>
          <w:tcPr>
            <w:tcW w:w="5020" w:type="dxa"/>
            <w:vAlign w:val="bottom"/>
          </w:tcPr>
          <w:p>
            <w:pPr>
              <w:ind w:left="40"/>
              <w:spacing w:after="0"/>
              <w:rPr>
                <w:sz w:val="20"/>
                <w:szCs w:val="20"/>
                <w:color w:val="auto"/>
              </w:rPr>
            </w:pPr>
            <w:r>
              <w:rPr>
                <w:rFonts w:ascii="Arial" w:cs="Arial" w:eastAsia="Arial" w:hAnsi="Arial"/>
                <w:sz w:val="18"/>
                <w:szCs w:val="18"/>
                <w:b w:val="1"/>
                <w:bCs w:val="1"/>
                <w:color w:val="auto"/>
              </w:rPr>
              <w:t>Fixed charges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270,872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359,844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348,664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349,041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485,624</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Preferred dividends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49,020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42,320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42,320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42,320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42,320</w:t>
            </w:r>
          </w:p>
        </w:tc>
      </w:tr>
      <w:tr>
        <w:trPr>
          <w:trHeight w:val="237"/>
        </w:trPr>
        <w:tc>
          <w:tcPr>
            <w:tcW w:w="5020" w:type="dxa"/>
            <w:vAlign w:val="bottom"/>
          </w:tcPr>
          <w:p>
            <w:pPr>
              <w:ind w:left="40"/>
              <w:spacing w:after="0"/>
              <w:rPr>
                <w:sz w:val="20"/>
                <w:szCs w:val="20"/>
                <w:color w:val="auto"/>
              </w:rPr>
            </w:pPr>
            <w:r>
              <w:rPr>
                <w:rFonts w:ascii="Arial" w:cs="Arial" w:eastAsia="Arial" w:hAnsi="Arial"/>
                <w:sz w:val="18"/>
                <w:szCs w:val="18"/>
                <w:b w:val="1"/>
                <w:bCs w:val="1"/>
                <w:color w:val="auto"/>
              </w:rPr>
              <w:t>Fixed charges and preferred dividends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319,892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402,164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390,984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391,361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527,944</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Earnings to fixed charges(3)</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020" w:type="dxa"/>
            <w:vAlign w:val="bottom"/>
          </w:tcPr>
          <w:p>
            <w:pPr>
              <w:ind w:left="220"/>
              <w:spacing w:after="0"/>
              <w:rPr>
                <w:sz w:val="20"/>
                <w:szCs w:val="20"/>
                <w:color w:val="auto"/>
              </w:rPr>
            </w:pPr>
            <w:r>
              <w:rPr>
                <w:rFonts w:ascii="Arial" w:cs="Arial" w:eastAsia="Arial" w:hAnsi="Arial"/>
                <w:sz w:val="18"/>
                <w:szCs w:val="18"/>
                <w:color w:val="auto"/>
              </w:rPr>
              <w:t>Earnings to fixed charges and preferred dividends(3)</w:t>
            </w: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Prior period presentation has been restated to conform to current period presentation.</w:t>
      </w:r>
    </w:p>
    <w:p>
      <w:pPr>
        <w:spacing w:after="0" w:line="13" w:lineRule="exact"/>
        <w:rPr>
          <w:rFonts w:ascii="Arial" w:cs="Arial" w:eastAsia="Arial" w:hAnsi="Arial"/>
          <w:sz w:val="14"/>
          <w:szCs w:val="14"/>
          <w:color w:val="auto"/>
        </w:rPr>
      </w:pPr>
    </w:p>
    <w:p>
      <w:pPr>
        <w:ind w:left="660" w:hanging="652"/>
        <w:spacing w:after="0" w:line="241" w:lineRule="auto"/>
        <w:tabs>
          <w:tab w:leader="none" w:pos="6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For the years ended December 31, 2013, 2012, 2011, 2010 and 2009, interest expense includes $0, $1,064, $3,728, $32,734 and $69,326, respectively, of interest expense reclassified to discontinued operations.</w:t>
      </w:r>
    </w:p>
    <w:p>
      <w:pPr>
        <w:ind w:left="660" w:hanging="652"/>
        <w:spacing w:after="0" w:line="293" w:lineRule="auto"/>
        <w:tabs>
          <w:tab w:leader="none" w:pos="660" w:val="left"/>
        </w:tabs>
        <w:numPr>
          <w:ilvl w:val="0"/>
          <w:numId w:val="56"/>
        </w:numPr>
        <w:rPr>
          <w:rFonts w:ascii="Arial" w:cs="Arial" w:eastAsia="Arial" w:hAnsi="Arial"/>
          <w:sz w:val="13"/>
          <w:szCs w:val="13"/>
          <w:color w:val="auto"/>
        </w:rPr>
      </w:pPr>
      <w:r>
        <w:rPr>
          <w:rFonts w:ascii="Arial" w:cs="Arial" w:eastAsia="Arial" w:hAnsi="Arial"/>
          <w:sz w:val="13"/>
          <w:szCs w:val="13"/>
          <w:color w:val="auto"/>
        </w:rPr>
        <w:t>For the years ended December 31, 2013, 2012, 2011, 2010 and 2009 earnings were not sufficient to cover fixed charges by $240,912, $305,450, $65,842, $221,634 and $749,144, respectively, and earnings were not sufficient to cover fixed charges and preferred dividends by $289,932, $347,770, $108,162, $263,954 and $791,464, respectively.</w:t>
      </w:r>
    </w:p>
    <w:p>
      <w:pPr>
        <w:sectPr>
          <w:pgSz w:w="11900" w:h="16838" w:orient="portrait"/>
          <w:cols w:equalWidth="0" w:num="1">
            <w:col w:w="11420"/>
          </w:cols>
          <w:pgMar w:left="240" w:top="796"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Computation of Ratio of Adjusted EBITDA to Interest Expense and Preferred Dividends</w:t>
      </w:r>
    </w:p>
    <w:p>
      <w:pPr>
        <w:spacing w:after="0" w:line="27"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 in thousands, except ratios)</w:t>
      </w:r>
    </w:p>
    <w:p>
      <w:pPr>
        <w:spacing w:after="0" w:line="200" w:lineRule="exact"/>
        <w:rPr>
          <w:sz w:val="20"/>
          <w:szCs w:val="20"/>
          <w:color w:val="auto"/>
        </w:rPr>
      </w:pPr>
    </w:p>
    <w:p>
      <w:pPr>
        <w:spacing w:after="0" w:line="232"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8"/>
          </w:tcPr>
          <w:p>
            <w:pPr>
              <w:ind w:left="460"/>
              <w:spacing w:after="0"/>
              <w:rPr>
                <w:sz w:val="20"/>
                <w:szCs w:val="20"/>
                <w:color w:val="auto"/>
              </w:rPr>
            </w:pPr>
            <w:r>
              <w:rPr>
                <w:rFonts w:ascii="Arial" w:cs="Arial" w:eastAsia="Arial" w:hAnsi="Arial"/>
                <w:sz w:val="14"/>
                <w:szCs w:val="14"/>
                <w:b w:val="1"/>
                <w:bCs w:val="1"/>
                <w:color w:val="auto"/>
              </w:rPr>
              <w:t>For the Years Ended December 31,</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3"/>
        </w:trPr>
        <w:tc>
          <w:tcPr>
            <w:tcW w:w="47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2009</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b w:val="1"/>
                <w:bCs w:val="1"/>
                <w:color w:val="auto"/>
              </w:rPr>
              <w:t>Adjusted EBITDA(1):</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(241,430)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80,206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(769,847)</w:t>
            </w:r>
          </w:p>
        </w:tc>
      </w:tr>
      <w:tr>
        <w:trPr>
          <w:trHeight w:val="243"/>
        </w:trPr>
        <w:tc>
          <w:tcPr>
            <w:tcW w:w="4760" w:type="dxa"/>
            <w:vAlign w:val="bottom"/>
          </w:tcPr>
          <w:p>
            <w:pPr>
              <w:ind w:left="200"/>
              <w:spacing w:after="0"/>
              <w:rPr>
                <w:sz w:val="20"/>
                <w:szCs w:val="20"/>
                <w:color w:val="auto"/>
              </w:rPr>
            </w:pPr>
            <w:r>
              <w:rPr>
                <w:rFonts w:ascii="Arial" w:cs="Arial" w:eastAsia="Arial" w:hAnsi="Arial"/>
                <w:sz w:val="18"/>
                <w:szCs w:val="18"/>
                <w:color w:val="auto"/>
              </w:rPr>
              <w:t>Add: Interest expense(2)</w:t>
            </w: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269,921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356,161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345,914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346,500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481,116</w:t>
            </w: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Income tax expense (benefit)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4,141</w:t>
            </w:r>
          </w:p>
        </w:tc>
      </w:tr>
      <w:tr>
        <w:trPr>
          <w:trHeight w:val="243"/>
        </w:trPr>
        <w:tc>
          <w:tcPr>
            <w:tcW w:w="4760" w:type="dxa"/>
            <w:vAlign w:val="bottom"/>
          </w:tcPr>
          <w:p>
            <w:pPr>
              <w:ind w:left="200"/>
              <w:spacing w:after="0"/>
              <w:rPr>
                <w:sz w:val="20"/>
                <w:szCs w:val="20"/>
                <w:color w:val="auto"/>
              </w:rPr>
            </w:pPr>
            <w:r>
              <w:rPr>
                <w:rFonts w:ascii="Arial" w:cs="Arial" w:eastAsia="Arial" w:hAnsi="Arial"/>
                <w:sz w:val="18"/>
                <w:szCs w:val="18"/>
                <w:color w:val="auto"/>
              </w:rPr>
              <w:t>Add: Depreciation and amortization(3)</w:t>
            </w: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74,673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70,786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63,928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70,786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98,238</w:t>
            </w: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 Provision for loan losses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81,740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331,487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1,255,357</w:t>
            </w:r>
          </w:p>
        </w:tc>
      </w:tr>
      <w:tr>
        <w:trPr>
          <w:trHeight w:val="243"/>
        </w:trPr>
        <w:tc>
          <w:tcPr>
            <w:tcW w:w="4760" w:type="dxa"/>
            <w:vAlign w:val="bottom"/>
          </w:tcPr>
          <w:p>
            <w:pPr>
              <w:ind w:left="200"/>
              <w:spacing w:after="0"/>
              <w:rPr>
                <w:sz w:val="20"/>
                <w:szCs w:val="20"/>
                <w:color w:val="auto"/>
              </w:rPr>
            </w:pPr>
            <w:r>
              <w:rPr>
                <w:rFonts w:ascii="Arial" w:cs="Arial" w:eastAsia="Arial" w:hAnsi="Arial"/>
                <w:sz w:val="18"/>
                <w:szCs w:val="18"/>
                <w:color w:val="auto"/>
              </w:rPr>
              <w:t>Add: Impairment of assets(4)</w:t>
            </w: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14,353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36,354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22,386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22,381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141,018</w:t>
            </w: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Add: Loss on transfer of interest to unconsolidated subsidiary</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60" w:type="dxa"/>
            <w:vAlign w:val="bottom"/>
          </w:tcPr>
          <w:p>
            <w:pPr>
              <w:ind w:left="200"/>
              <w:spacing w:after="0"/>
              <w:rPr>
                <w:sz w:val="20"/>
                <w:szCs w:val="20"/>
                <w:color w:val="auto"/>
              </w:rPr>
            </w:pPr>
            <w:r>
              <w:rPr>
                <w:rFonts w:ascii="Arial" w:cs="Arial" w:eastAsia="Arial" w:hAnsi="Arial"/>
                <w:sz w:val="18"/>
                <w:szCs w:val="18"/>
                <w:color w:val="auto"/>
              </w:rPr>
              <w:t>Add: Stock-based compensation expense</w:t>
            </w: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19,261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15,293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29,702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19,355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23,593</w:t>
            </w: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(Gain) loss on early extinguishment of debt, net(5)</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(101,466)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(110,075)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(547,349)</w:t>
            </w: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b w:val="1"/>
                <w:bCs w:val="1"/>
                <w:color w:val="auto"/>
              </w:rPr>
              <w:t>Total Adjusted EBITDA(1)(6)</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298,833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349,754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376,464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767,663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686,267</w:t>
            </w: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 and preferred dividends: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760" w:type="dxa"/>
            <w:vAlign w:val="bottom"/>
          </w:tcPr>
          <w:p>
            <w:pPr>
              <w:ind w:left="200"/>
              <w:spacing w:after="0"/>
              <w:rPr>
                <w:sz w:val="20"/>
                <w:szCs w:val="20"/>
                <w:color w:val="auto"/>
              </w:rPr>
            </w:pPr>
            <w:r>
              <w:rPr>
                <w:rFonts w:ascii="Arial" w:cs="Arial" w:eastAsia="Arial" w:hAnsi="Arial"/>
                <w:sz w:val="18"/>
                <w:szCs w:val="18"/>
                <w:color w:val="auto"/>
              </w:rPr>
              <w:t>Interest expense(2)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269,921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356,161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345,914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346,500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481,116</w:t>
            </w: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Preferred dividends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49,020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42,320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42,320</w:t>
            </w: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b w:val="1"/>
                <w:bCs w:val="1"/>
                <w:color w:val="auto"/>
              </w:rPr>
              <w:t>Total interest expense and preferred dividends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318,941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398,481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388,234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388,820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523,436</w:t>
            </w: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Adjusted EBITDA/Interest expense and preferred dividends</w:t>
            </w:r>
          </w:p>
        </w:tc>
        <w:tc>
          <w:tcPr>
            <w:tcW w:w="2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0.9x</w:t>
            </w: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0.9x</w:t>
            </w: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1.0x</w:t>
            </w: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2.0x</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1.3x</w:t>
            </w:r>
          </w:p>
        </w:tc>
      </w:tr>
      <w:tr>
        <w:trPr>
          <w:trHeight w:val="27"/>
        </w:trPr>
        <w:tc>
          <w:tcPr>
            <w:tcW w:w="4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340" w:hanging="332"/>
        <w:spacing w:after="0" w:line="264" w:lineRule="auto"/>
        <w:tabs>
          <w:tab w:leader="none" w:pos="3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Adjusted EBITDA should be examined in conjunction with net income (loss) as shown in the Company's Consolidated Statements of Operations. Adjusted EBITDA should not be considered as an alternative to net income (loss) (determined in accordance with GAAP), as an indicator of the Company's performance, or to cash flows from operating activities (determined in accordance with GAAP) as a measure of the Company's liquidity, nor is Adjusted EBITDA an indicative of funds available to fund the Company's cash needs or available for distribution to shareholders. Rather, Adjusted EBITDA is an additional measure for the Company to use to analyze how the business is performing. It should be noted that the Company's manner of calculating Adjusted EBITDA may differ from the calculations of similarly-titled measures by other companies. See computation of Adjusted EBITDA on page 33.</w:t>
      </w:r>
    </w:p>
    <w:p>
      <w:pPr>
        <w:ind w:left="340" w:hanging="332"/>
        <w:spacing w:after="0" w:line="241"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For the years ended December 31, 2013, 2012, 2011, 2010 and 2009, interest expense includes $0, $1,064, $3,728, $32,734 and $69,326, respectively, of interest expense reclassified to discontinued operations. Interest expense also includes the Company's proportionate share of interest for equity method investments.</w:t>
      </w:r>
    </w:p>
    <w:p>
      <w:pPr>
        <w:jc w:val="both"/>
        <w:ind w:left="340" w:hanging="332"/>
        <w:spacing w:after="0" w:line="241"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For the years ended December 31, 2013, 2012, 2011, 2010 and 2009, depreciation and amortization includes $264, $2,016, $5,837, $14,117, and $42,099, respectively, of depreciation and amortization reclassified to discontinued operations. Depreciation and amortization also includes the Company's proportionate share of depreciation and amortization expense for equity method investments.</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For the years ended December 31, 2013, 2012, 2011, 2010, 2009 impairment of assets includes $1,764, $22,576, $9,147, $9,572 and $26,901, respectively, of impairment of assets reclassified to discontinued operations.</w:t>
      </w:r>
    </w:p>
    <w:p>
      <w:pPr>
        <w:ind w:left="340" w:hanging="332"/>
        <w:spacing w:after="0"/>
        <w:tabs>
          <w:tab w:leader="none" w:pos="3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For the years ended December 31, 2013, 2012 and 2010, (gain) loss on early extinguishment of debt excludes the portion of losses paid in cash of $13,535, $15,411 and $1,152, respectively.</w:t>
      </w:r>
    </w:p>
    <w:p>
      <w:pPr>
        <w:spacing w:after="0" w:line="12" w:lineRule="exact"/>
        <w:rPr>
          <w:rFonts w:ascii="Arial" w:cs="Arial" w:eastAsia="Arial" w:hAnsi="Arial"/>
          <w:sz w:val="13"/>
          <w:szCs w:val="13"/>
          <w:color w:val="auto"/>
        </w:rPr>
      </w:pPr>
    </w:p>
    <w:p>
      <w:pPr>
        <w:ind w:left="340" w:hanging="332"/>
        <w:spacing w:after="0"/>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Prior year presentation has been restated to conform to current period presentation.</w:t>
      </w:r>
    </w:p>
    <w:p>
      <w:pPr>
        <w:sectPr>
          <w:pgSz w:w="11900" w:h="16838" w:orient="portrait"/>
          <w:cols w:equalWidth="0" w:num="1">
            <w:col w:w="11420"/>
          </w:cols>
          <w:pgMar w:left="240" w:top="580"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Subsidiaries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6"/>
                <w:szCs w:val="16"/>
                <w:color w:val="auto"/>
              </w:rPr>
            </w:pPr>
          </w:p>
        </w:tc>
        <w:tc>
          <w:tcPr>
            <w:tcW w:w="18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State of Formation</w:t>
            </w:r>
          </w:p>
        </w:tc>
        <w:tc>
          <w:tcPr>
            <w:tcW w:w="120" w:type="dxa"/>
            <w:vAlign w:val="bottom"/>
          </w:tcPr>
          <w:p>
            <w:pPr>
              <w:spacing w:after="0"/>
              <w:rPr>
                <w:sz w:val="16"/>
                <w:szCs w:val="16"/>
                <w:color w:val="auto"/>
              </w:rPr>
            </w:pPr>
          </w:p>
        </w:tc>
        <w:tc>
          <w:tcPr>
            <w:tcW w:w="364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Other Names Used</w:t>
            </w:r>
          </w:p>
        </w:tc>
      </w:tr>
      <w:tr>
        <w:trPr>
          <w:trHeight w:val="243"/>
        </w:trPr>
        <w:tc>
          <w:tcPr>
            <w:tcW w:w="5840" w:type="dxa"/>
            <w:vAlign w:val="bottom"/>
            <w:gridSpan w:val="4"/>
          </w:tcPr>
          <w:p>
            <w:pPr>
              <w:ind w:left="40"/>
              <w:spacing w:after="0"/>
              <w:rPr>
                <w:sz w:val="20"/>
                <w:szCs w:val="20"/>
                <w:color w:val="auto"/>
              </w:rPr>
            </w:pPr>
            <w:r>
              <w:rPr>
                <w:rFonts w:ascii="Arial" w:cs="Arial" w:eastAsia="Arial" w:hAnsi="Arial"/>
                <w:sz w:val="18"/>
                <w:szCs w:val="18"/>
                <w:color w:val="auto"/>
              </w:rPr>
              <w:t>12 Union Street-Westborough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1"/>
                <w:szCs w:val="21"/>
                <w:color w:val="auto"/>
              </w:rPr>
            </w:pPr>
          </w:p>
        </w:tc>
      </w:tr>
      <w:tr>
        <w:trPr>
          <w:trHeight w:val="270"/>
        </w:trPr>
        <w:tc>
          <w:tcPr>
            <w:tcW w:w="320" w:type="dxa"/>
            <w:vAlign w:val="bottom"/>
          </w:tcPr>
          <w:p>
            <w:pPr>
              <w:ind w:left="40"/>
              <w:spacing w:after="0"/>
              <w:rPr>
                <w:sz w:val="20"/>
                <w:szCs w:val="20"/>
                <w:color w:val="auto"/>
              </w:rPr>
            </w:pPr>
            <w:r>
              <w:rPr>
                <w:rFonts w:ascii="Arial" w:cs="Arial" w:eastAsia="Arial" w:hAnsi="Arial"/>
                <w:sz w:val="18"/>
                <w:szCs w:val="18"/>
                <w:color w:val="auto"/>
                <w:w w:val="86"/>
              </w:rPr>
              <w:t>100</w:t>
            </w:r>
          </w:p>
        </w:tc>
        <w:tc>
          <w:tcPr>
            <w:tcW w:w="5520" w:type="dxa"/>
            <w:vAlign w:val="bottom"/>
            <w:gridSpan w:val="3"/>
          </w:tcPr>
          <w:p>
            <w:pPr>
              <w:ind w:left="40"/>
              <w:spacing w:after="0"/>
              <w:rPr>
                <w:sz w:val="20"/>
                <w:szCs w:val="20"/>
                <w:color w:val="auto"/>
              </w:rPr>
            </w:pPr>
            <w:r>
              <w:rPr>
                <w:rFonts w:ascii="Arial" w:cs="Arial" w:eastAsia="Arial" w:hAnsi="Arial"/>
                <w:sz w:val="18"/>
                <w:szCs w:val="18"/>
                <w:color w:val="auto"/>
              </w:rPr>
              <w:t>Elkhorn Road-Sun Valley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320" w:type="dxa"/>
            <w:vAlign w:val="bottom"/>
          </w:tcPr>
          <w:p>
            <w:pPr>
              <w:ind w:left="40"/>
              <w:spacing w:after="0"/>
              <w:rPr>
                <w:sz w:val="20"/>
                <w:szCs w:val="20"/>
                <w:color w:val="auto"/>
              </w:rPr>
            </w:pPr>
            <w:r>
              <w:rPr>
                <w:rFonts w:ascii="Arial" w:cs="Arial" w:eastAsia="Arial" w:hAnsi="Arial"/>
                <w:sz w:val="18"/>
                <w:szCs w:val="18"/>
                <w:color w:val="auto"/>
                <w:w w:val="86"/>
              </w:rPr>
              <w:t>100</w:t>
            </w:r>
          </w:p>
        </w:tc>
        <w:tc>
          <w:tcPr>
            <w:tcW w:w="5520" w:type="dxa"/>
            <w:vAlign w:val="bottom"/>
            <w:gridSpan w:val="3"/>
          </w:tcPr>
          <w:p>
            <w:pPr>
              <w:ind w:left="40"/>
              <w:spacing w:after="0"/>
              <w:rPr>
                <w:sz w:val="20"/>
                <w:szCs w:val="20"/>
                <w:color w:val="auto"/>
              </w:rPr>
            </w:pPr>
            <w:r>
              <w:rPr>
                <w:rFonts w:ascii="Arial" w:cs="Arial" w:eastAsia="Arial" w:hAnsi="Arial"/>
                <w:sz w:val="18"/>
                <w:szCs w:val="18"/>
                <w:color w:val="auto"/>
              </w:rPr>
              <w:t>Elkhorn Road-Sun Valley TRS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320" w:type="dxa"/>
            <w:vAlign w:val="bottom"/>
          </w:tcPr>
          <w:p>
            <w:pPr>
              <w:ind w:left="40"/>
              <w:spacing w:after="0"/>
              <w:rPr>
                <w:sz w:val="20"/>
                <w:szCs w:val="20"/>
                <w:color w:val="auto"/>
              </w:rPr>
            </w:pPr>
            <w:r>
              <w:rPr>
                <w:rFonts w:ascii="Arial" w:cs="Arial" w:eastAsia="Arial" w:hAnsi="Arial"/>
                <w:sz w:val="18"/>
                <w:szCs w:val="18"/>
                <w:color w:val="auto"/>
                <w:w w:val="86"/>
              </w:rPr>
              <w:t>100</w:t>
            </w:r>
          </w:p>
        </w:tc>
        <w:tc>
          <w:tcPr>
            <w:tcW w:w="5520" w:type="dxa"/>
            <w:vAlign w:val="bottom"/>
            <w:gridSpan w:val="3"/>
          </w:tcPr>
          <w:p>
            <w:pPr>
              <w:ind w:left="40"/>
              <w:spacing w:after="0"/>
              <w:rPr>
                <w:sz w:val="20"/>
                <w:szCs w:val="20"/>
                <w:color w:val="auto"/>
              </w:rPr>
            </w:pPr>
            <w:r>
              <w:rPr>
                <w:rFonts w:ascii="Arial" w:cs="Arial" w:eastAsia="Arial" w:hAnsi="Arial"/>
                <w:sz w:val="18"/>
                <w:szCs w:val="18"/>
                <w:color w:val="auto"/>
              </w:rPr>
              <w:t>Riverview Condominium Association Inc.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New Jersey</w:t>
            </w:r>
          </w:p>
        </w:tc>
        <w:tc>
          <w:tcPr>
            <w:tcW w:w="3640" w:type="dxa"/>
            <w:vAlign w:val="bottom"/>
          </w:tcPr>
          <w:p>
            <w:pPr>
              <w:spacing w:after="0"/>
              <w:rPr>
                <w:sz w:val="23"/>
                <w:szCs w:val="23"/>
                <w:color w:val="auto"/>
              </w:rPr>
            </w:pPr>
          </w:p>
        </w:tc>
      </w:tr>
      <w:tr>
        <w:trPr>
          <w:trHeight w:val="270"/>
        </w:trPr>
        <w:tc>
          <w:tcPr>
            <w:tcW w:w="5840" w:type="dxa"/>
            <w:vAlign w:val="bottom"/>
            <w:gridSpan w:val="4"/>
          </w:tcPr>
          <w:p>
            <w:pPr>
              <w:ind w:left="40"/>
              <w:spacing w:after="0"/>
              <w:rPr>
                <w:sz w:val="20"/>
                <w:szCs w:val="20"/>
                <w:color w:val="auto"/>
              </w:rPr>
            </w:pPr>
            <w:r>
              <w:rPr>
                <w:rFonts w:ascii="Arial" w:cs="Arial" w:eastAsia="Arial" w:hAnsi="Arial"/>
                <w:sz w:val="18"/>
                <w:szCs w:val="18"/>
                <w:color w:val="auto"/>
              </w:rPr>
              <w:t>20 Chapel Street Lender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4"/>
          </w:tcPr>
          <w:p>
            <w:pPr>
              <w:ind w:left="40"/>
              <w:spacing w:after="0"/>
              <w:rPr>
                <w:sz w:val="20"/>
                <w:szCs w:val="20"/>
                <w:color w:val="auto"/>
              </w:rPr>
            </w:pPr>
            <w:r>
              <w:rPr>
                <w:rFonts w:ascii="Arial" w:cs="Arial" w:eastAsia="Arial" w:hAnsi="Arial"/>
                <w:sz w:val="18"/>
                <w:szCs w:val="18"/>
                <w:color w:val="auto"/>
              </w:rPr>
              <w:t>38 North Almaden Boulevard Venture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4"/>
          </w:tcPr>
          <w:p>
            <w:pPr>
              <w:ind w:left="40"/>
              <w:spacing w:after="0"/>
              <w:rPr>
                <w:sz w:val="20"/>
                <w:szCs w:val="20"/>
                <w:color w:val="auto"/>
              </w:rPr>
            </w:pPr>
            <w:r>
              <w:rPr>
                <w:rFonts w:ascii="Arial" w:cs="Arial" w:eastAsia="Arial" w:hAnsi="Arial"/>
                <w:sz w:val="18"/>
                <w:szCs w:val="18"/>
                <w:color w:val="auto"/>
              </w:rPr>
              <w:t>45-10 19th Avenue-Astoria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320" w:type="dxa"/>
            <w:vAlign w:val="bottom"/>
          </w:tcPr>
          <w:p>
            <w:pPr>
              <w:ind w:left="40"/>
              <w:spacing w:after="0"/>
              <w:rPr>
                <w:sz w:val="20"/>
                <w:szCs w:val="20"/>
                <w:color w:val="auto"/>
              </w:rPr>
            </w:pPr>
            <w:r>
              <w:rPr>
                <w:rFonts w:ascii="Arial" w:cs="Arial" w:eastAsia="Arial" w:hAnsi="Arial"/>
                <w:sz w:val="18"/>
                <w:szCs w:val="18"/>
                <w:color w:val="auto"/>
                <w:w w:val="86"/>
              </w:rPr>
              <w:t>221</w:t>
            </w:r>
          </w:p>
        </w:tc>
        <w:tc>
          <w:tcPr>
            <w:tcW w:w="5520" w:type="dxa"/>
            <w:vAlign w:val="bottom"/>
            <w:gridSpan w:val="3"/>
          </w:tcPr>
          <w:p>
            <w:pPr>
              <w:ind w:left="40"/>
              <w:spacing w:after="0"/>
              <w:rPr>
                <w:sz w:val="20"/>
                <w:szCs w:val="20"/>
                <w:color w:val="auto"/>
              </w:rPr>
            </w:pPr>
            <w:r>
              <w:rPr>
                <w:rFonts w:ascii="Arial" w:cs="Arial" w:eastAsia="Arial" w:hAnsi="Arial"/>
                <w:sz w:val="18"/>
                <w:szCs w:val="18"/>
                <w:color w:val="auto"/>
              </w:rPr>
              <w:t>American Boulevard-Bloomington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320" w:type="dxa"/>
            <w:vAlign w:val="bottom"/>
          </w:tcPr>
          <w:p>
            <w:pPr>
              <w:ind w:left="40"/>
              <w:spacing w:after="0"/>
              <w:rPr>
                <w:sz w:val="20"/>
                <w:szCs w:val="20"/>
                <w:color w:val="auto"/>
              </w:rPr>
            </w:pPr>
            <w:r>
              <w:rPr>
                <w:rFonts w:ascii="Arial" w:cs="Arial" w:eastAsia="Arial" w:hAnsi="Arial"/>
                <w:sz w:val="18"/>
                <w:szCs w:val="18"/>
                <w:color w:val="auto"/>
                <w:w w:val="86"/>
              </w:rPr>
              <w:t>240</w:t>
            </w:r>
          </w:p>
        </w:tc>
        <w:tc>
          <w:tcPr>
            <w:tcW w:w="5520" w:type="dxa"/>
            <w:vAlign w:val="bottom"/>
            <w:gridSpan w:val="3"/>
          </w:tcPr>
          <w:p>
            <w:pPr>
              <w:ind w:left="40"/>
              <w:spacing w:after="0"/>
              <w:rPr>
                <w:sz w:val="20"/>
                <w:szCs w:val="20"/>
                <w:color w:val="auto"/>
              </w:rPr>
            </w:pPr>
            <w:r>
              <w:rPr>
                <w:rFonts w:ascii="Arial" w:cs="Arial" w:eastAsia="Arial" w:hAnsi="Arial"/>
                <w:sz w:val="18"/>
                <w:szCs w:val="18"/>
                <w:color w:val="auto"/>
              </w:rPr>
              <w:t>S Pineapple Office-Sarasota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240 S Pineapple Parking-Sarasota LLC</w:t>
            </w:r>
          </w:p>
        </w:tc>
      </w:tr>
      <w:tr>
        <w:trPr>
          <w:trHeight w:val="270"/>
        </w:trPr>
        <w:tc>
          <w:tcPr>
            <w:tcW w:w="320" w:type="dxa"/>
            <w:vAlign w:val="bottom"/>
          </w:tcPr>
          <w:p>
            <w:pPr>
              <w:ind w:left="40"/>
              <w:spacing w:after="0"/>
              <w:rPr>
                <w:sz w:val="20"/>
                <w:szCs w:val="20"/>
                <w:color w:val="auto"/>
              </w:rPr>
            </w:pPr>
            <w:r>
              <w:rPr>
                <w:rFonts w:ascii="Arial" w:cs="Arial" w:eastAsia="Arial" w:hAnsi="Arial"/>
                <w:sz w:val="18"/>
                <w:szCs w:val="18"/>
                <w:color w:val="auto"/>
                <w:w w:val="86"/>
              </w:rPr>
              <w:t>246</w:t>
            </w:r>
          </w:p>
        </w:tc>
        <w:tc>
          <w:tcPr>
            <w:tcW w:w="5520" w:type="dxa"/>
            <w:vAlign w:val="bottom"/>
            <w:gridSpan w:val="3"/>
          </w:tcPr>
          <w:p>
            <w:pPr>
              <w:ind w:left="40"/>
              <w:spacing w:after="0"/>
              <w:rPr>
                <w:sz w:val="20"/>
                <w:szCs w:val="20"/>
                <w:color w:val="auto"/>
              </w:rPr>
            </w:pPr>
            <w:r>
              <w:rPr>
                <w:rFonts w:ascii="Arial" w:cs="Arial" w:eastAsia="Arial" w:hAnsi="Arial"/>
                <w:sz w:val="18"/>
                <w:szCs w:val="18"/>
                <w:color w:val="auto"/>
              </w:rPr>
              <w:t>Spring Street LOC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320" w:type="dxa"/>
            <w:vAlign w:val="bottom"/>
          </w:tcPr>
          <w:p>
            <w:pPr>
              <w:ind w:left="40"/>
              <w:spacing w:after="0"/>
              <w:rPr>
                <w:sz w:val="20"/>
                <w:szCs w:val="20"/>
                <w:color w:val="auto"/>
              </w:rPr>
            </w:pPr>
            <w:r>
              <w:rPr>
                <w:rFonts w:ascii="Arial" w:cs="Arial" w:eastAsia="Arial" w:hAnsi="Arial"/>
                <w:sz w:val="18"/>
                <w:szCs w:val="18"/>
                <w:color w:val="auto"/>
                <w:w w:val="86"/>
              </w:rPr>
              <w:t>300</w:t>
            </w:r>
          </w:p>
        </w:tc>
        <w:tc>
          <w:tcPr>
            <w:tcW w:w="5520" w:type="dxa"/>
            <w:vAlign w:val="bottom"/>
            <w:gridSpan w:val="3"/>
          </w:tcPr>
          <w:p>
            <w:pPr>
              <w:ind w:left="40"/>
              <w:spacing w:after="0"/>
              <w:rPr>
                <w:sz w:val="20"/>
                <w:szCs w:val="20"/>
                <w:color w:val="auto"/>
              </w:rPr>
            </w:pPr>
            <w:r>
              <w:rPr>
                <w:rFonts w:ascii="Arial" w:cs="Arial" w:eastAsia="Arial" w:hAnsi="Arial"/>
                <w:sz w:val="18"/>
                <w:szCs w:val="18"/>
                <w:color w:val="auto"/>
              </w:rPr>
              <w:t>Riverview Condominium Association Inc.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New Jersey</w:t>
            </w:r>
          </w:p>
        </w:tc>
        <w:tc>
          <w:tcPr>
            <w:tcW w:w="3640" w:type="dxa"/>
            <w:vAlign w:val="bottom"/>
          </w:tcPr>
          <w:p>
            <w:pPr>
              <w:spacing w:after="0"/>
              <w:rPr>
                <w:sz w:val="23"/>
                <w:szCs w:val="23"/>
                <w:color w:val="auto"/>
              </w:rPr>
            </w:pPr>
          </w:p>
        </w:tc>
      </w:tr>
      <w:tr>
        <w:trPr>
          <w:trHeight w:val="270"/>
        </w:trPr>
        <w:tc>
          <w:tcPr>
            <w:tcW w:w="5840" w:type="dxa"/>
            <w:vAlign w:val="bottom"/>
            <w:gridSpan w:val="4"/>
          </w:tcPr>
          <w:p>
            <w:pPr>
              <w:ind w:left="40"/>
              <w:spacing w:after="0"/>
              <w:rPr>
                <w:sz w:val="20"/>
                <w:szCs w:val="20"/>
                <w:color w:val="auto"/>
              </w:rPr>
            </w:pPr>
            <w:r>
              <w:rPr>
                <w:rFonts w:ascii="Arial" w:cs="Arial" w:eastAsia="Arial" w:hAnsi="Arial"/>
                <w:sz w:val="18"/>
                <w:szCs w:val="18"/>
                <w:color w:val="auto"/>
              </w:rPr>
              <w:t>328-342 Washington Blvd-Jersey City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320" w:type="dxa"/>
            <w:vAlign w:val="bottom"/>
          </w:tcPr>
          <w:p>
            <w:pPr>
              <w:ind w:left="40"/>
              <w:spacing w:after="0"/>
              <w:rPr>
                <w:sz w:val="20"/>
                <w:szCs w:val="20"/>
                <w:color w:val="auto"/>
              </w:rPr>
            </w:pPr>
            <w:r>
              <w:rPr>
                <w:rFonts w:ascii="Arial" w:cs="Arial" w:eastAsia="Arial" w:hAnsi="Arial"/>
                <w:sz w:val="18"/>
                <w:szCs w:val="18"/>
                <w:color w:val="auto"/>
                <w:w w:val="86"/>
              </w:rPr>
              <w:t>333</w:t>
            </w:r>
          </w:p>
        </w:tc>
        <w:tc>
          <w:tcPr>
            <w:tcW w:w="5520" w:type="dxa"/>
            <w:vAlign w:val="bottom"/>
            <w:gridSpan w:val="3"/>
          </w:tcPr>
          <w:p>
            <w:pPr>
              <w:ind w:left="40"/>
              <w:spacing w:after="0"/>
              <w:rPr>
                <w:sz w:val="20"/>
                <w:szCs w:val="20"/>
                <w:color w:val="auto"/>
              </w:rPr>
            </w:pPr>
            <w:r>
              <w:rPr>
                <w:rFonts w:ascii="Arial" w:cs="Arial" w:eastAsia="Arial" w:hAnsi="Arial"/>
                <w:sz w:val="18"/>
                <w:szCs w:val="18"/>
                <w:color w:val="auto"/>
              </w:rPr>
              <w:t>Rector Park-River Rose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iStar Garden City LLC</w:t>
            </w:r>
          </w:p>
        </w:tc>
      </w:tr>
      <w:tr>
        <w:trPr>
          <w:trHeight w:val="270"/>
        </w:trPr>
        <w:tc>
          <w:tcPr>
            <w:tcW w:w="320" w:type="dxa"/>
            <w:vAlign w:val="bottom"/>
          </w:tcPr>
          <w:p>
            <w:pPr>
              <w:ind w:left="40"/>
              <w:spacing w:after="0"/>
              <w:rPr>
                <w:sz w:val="20"/>
                <w:szCs w:val="20"/>
                <w:color w:val="auto"/>
              </w:rPr>
            </w:pPr>
            <w:r>
              <w:rPr>
                <w:rFonts w:ascii="Arial" w:cs="Arial" w:eastAsia="Arial" w:hAnsi="Arial"/>
                <w:sz w:val="18"/>
                <w:szCs w:val="18"/>
                <w:color w:val="auto"/>
                <w:w w:val="86"/>
              </w:rPr>
              <w:t>345</w:t>
            </w:r>
          </w:p>
        </w:tc>
        <w:tc>
          <w:tcPr>
            <w:tcW w:w="5520" w:type="dxa"/>
            <w:vAlign w:val="bottom"/>
            <w:gridSpan w:val="3"/>
          </w:tcPr>
          <w:p>
            <w:pPr>
              <w:ind w:left="40"/>
              <w:spacing w:after="0"/>
              <w:rPr>
                <w:sz w:val="20"/>
                <w:szCs w:val="20"/>
                <w:color w:val="auto"/>
              </w:rPr>
            </w:pPr>
            <w:r>
              <w:rPr>
                <w:rFonts w:ascii="Arial" w:cs="Arial" w:eastAsia="Arial" w:hAnsi="Arial"/>
                <w:sz w:val="18"/>
                <w:szCs w:val="18"/>
                <w:color w:val="auto"/>
              </w:rPr>
              <w:t>Los Coches Street-Milpitas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320" w:type="dxa"/>
            <w:vAlign w:val="bottom"/>
          </w:tcPr>
          <w:p>
            <w:pPr>
              <w:ind w:left="40"/>
              <w:spacing w:after="0"/>
              <w:rPr>
                <w:sz w:val="20"/>
                <w:szCs w:val="20"/>
                <w:color w:val="auto"/>
              </w:rPr>
            </w:pPr>
            <w:r>
              <w:rPr>
                <w:rFonts w:ascii="Arial" w:cs="Arial" w:eastAsia="Arial" w:hAnsi="Arial"/>
                <w:sz w:val="18"/>
                <w:szCs w:val="18"/>
                <w:color w:val="auto"/>
                <w:w w:val="86"/>
              </w:rPr>
              <w:t>401</w:t>
            </w:r>
          </w:p>
        </w:tc>
        <w:tc>
          <w:tcPr>
            <w:tcW w:w="5520" w:type="dxa"/>
            <w:vAlign w:val="bottom"/>
            <w:gridSpan w:val="3"/>
          </w:tcPr>
          <w:p>
            <w:pPr>
              <w:ind w:left="40"/>
              <w:spacing w:after="0"/>
              <w:rPr>
                <w:sz w:val="20"/>
                <w:szCs w:val="20"/>
                <w:color w:val="auto"/>
              </w:rPr>
            </w:pPr>
            <w:r>
              <w:rPr>
                <w:rFonts w:ascii="Arial" w:cs="Arial" w:eastAsia="Arial" w:hAnsi="Arial"/>
                <w:sz w:val="18"/>
                <w:szCs w:val="18"/>
                <w:color w:val="auto"/>
              </w:rPr>
              <w:t>W Michigan Street-Milwaukee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4"/>
          </w:tcPr>
          <w:p>
            <w:pPr>
              <w:ind w:left="40"/>
              <w:spacing w:after="0"/>
              <w:rPr>
                <w:sz w:val="20"/>
                <w:szCs w:val="20"/>
                <w:color w:val="auto"/>
              </w:rPr>
            </w:pPr>
            <w:r>
              <w:rPr>
                <w:rFonts w:ascii="Arial" w:cs="Arial" w:eastAsia="Arial" w:hAnsi="Arial"/>
                <w:sz w:val="18"/>
                <w:szCs w:val="18"/>
                <w:color w:val="auto"/>
              </w:rPr>
              <w:t>475-525 Sycamore Drive-Milpitas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4"/>
          </w:tcPr>
          <w:p>
            <w:pPr>
              <w:ind w:left="40"/>
              <w:spacing w:after="0"/>
              <w:rPr>
                <w:sz w:val="20"/>
                <w:szCs w:val="20"/>
                <w:color w:val="auto"/>
              </w:rPr>
            </w:pPr>
            <w:r>
              <w:rPr>
                <w:rFonts w:ascii="Arial" w:cs="Arial" w:eastAsia="Arial" w:hAnsi="Arial"/>
                <w:sz w:val="18"/>
                <w:szCs w:val="18"/>
                <w:color w:val="auto"/>
              </w:rPr>
              <w:t>500 Woodward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4"/>
          </w:tcPr>
          <w:p>
            <w:pPr>
              <w:ind w:left="40"/>
              <w:spacing w:after="0"/>
              <w:rPr>
                <w:sz w:val="20"/>
                <w:szCs w:val="20"/>
                <w:color w:val="auto"/>
              </w:rPr>
            </w:pPr>
            <w:r>
              <w:rPr>
                <w:rFonts w:ascii="Arial" w:cs="Arial" w:eastAsia="Arial" w:hAnsi="Arial"/>
                <w:sz w:val="18"/>
                <w:szCs w:val="18"/>
                <w:color w:val="auto"/>
              </w:rPr>
              <w:t>500 Woodward Café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320" w:type="dxa"/>
            <w:vAlign w:val="bottom"/>
          </w:tcPr>
          <w:p>
            <w:pPr>
              <w:ind w:left="40"/>
              <w:spacing w:after="0"/>
              <w:rPr>
                <w:sz w:val="20"/>
                <w:szCs w:val="20"/>
                <w:color w:val="auto"/>
              </w:rPr>
            </w:pPr>
            <w:r>
              <w:rPr>
                <w:rFonts w:ascii="Arial" w:cs="Arial" w:eastAsia="Arial" w:hAnsi="Arial"/>
                <w:sz w:val="18"/>
                <w:szCs w:val="18"/>
                <w:color w:val="auto"/>
                <w:w w:val="86"/>
              </w:rPr>
              <w:t>560</w:t>
            </w:r>
          </w:p>
        </w:tc>
        <w:tc>
          <w:tcPr>
            <w:tcW w:w="5520" w:type="dxa"/>
            <w:vAlign w:val="bottom"/>
            <w:gridSpan w:val="3"/>
          </w:tcPr>
          <w:p>
            <w:pPr>
              <w:ind w:left="40"/>
              <w:spacing w:after="0"/>
              <w:rPr>
                <w:sz w:val="20"/>
                <w:szCs w:val="20"/>
                <w:color w:val="auto"/>
              </w:rPr>
            </w:pPr>
            <w:r>
              <w:rPr>
                <w:rFonts w:ascii="Arial" w:cs="Arial" w:eastAsia="Arial" w:hAnsi="Arial"/>
                <w:sz w:val="18"/>
                <w:szCs w:val="18"/>
                <w:color w:val="auto"/>
              </w:rPr>
              <w:t>Cottonwood Drive-Milpitas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320" w:type="dxa"/>
            <w:vAlign w:val="bottom"/>
          </w:tcPr>
          <w:p>
            <w:pPr>
              <w:ind w:left="40"/>
              <w:spacing w:after="0"/>
              <w:rPr>
                <w:sz w:val="20"/>
                <w:szCs w:val="20"/>
                <w:color w:val="auto"/>
              </w:rPr>
            </w:pPr>
            <w:r>
              <w:rPr>
                <w:rFonts w:ascii="Arial" w:cs="Arial" w:eastAsia="Arial" w:hAnsi="Arial"/>
                <w:sz w:val="18"/>
                <w:szCs w:val="18"/>
                <w:color w:val="auto"/>
                <w:w w:val="86"/>
              </w:rPr>
              <w:t>615</w:t>
            </w:r>
          </w:p>
        </w:tc>
        <w:tc>
          <w:tcPr>
            <w:tcW w:w="5520" w:type="dxa"/>
            <w:vAlign w:val="bottom"/>
            <w:gridSpan w:val="3"/>
          </w:tcPr>
          <w:p>
            <w:pPr>
              <w:ind w:left="40"/>
              <w:spacing w:after="0"/>
              <w:rPr>
                <w:sz w:val="20"/>
                <w:szCs w:val="20"/>
                <w:color w:val="auto"/>
              </w:rPr>
            </w:pPr>
            <w:r>
              <w:rPr>
                <w:rFonts w:ascii="Arial" w:cs="Arial" w:eastAsia="Arial" w:hAnsi="Arial"/>
                <w:sz w:val="18"/>
                <w:szCs w:val="18"/>
                <w:color w:val="auto"/>
              </w:rPr>
              <w:t>E. Weber Drive-Tempe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320" w:type="dxa"/>
            <w:vAlign w:val="bottom"/>
          </w:tcPr>
          <w:p>
            <w:pPr>
              <w:ind w:left="40"/>
              <w:spacing w:after="0"/>
              <w:rPr>
                <w:sz w:val="20"/>
                <w:szCs w:val="20"/>
                <w:color w:val="auto"/>
              </w:rPr>
            </w:pPr>
            <w:r>
              <w:rPr>
                <w:rFonts w:ascii="Arial" w:cs="Arial" w:eastAsia="Arial" w:hAnsi="Arial"/>
                <w:sz w:val="18"/>
                <w:szCs w:val="18"/>
                <w:color w:val="auto"/>
                <w:w w:val="86"/>
              </w:rPr>
              <w:t>628</w:t>
            </w:r>
          </w:p>
        </w:tc>
        <w:tc>
          <w:tcPr>
            <w:tcW w:w="5520" w:type="dxa"/>
            <w:vAlign w:val="bottom"/>
            <w:gridSpan w:val="3"/>
          </w:tcPr>
          <w:p>
            <w:pPr>
              <w:ind w:left="40"/>
              <w:spacing w:after="0"/>
              <w:rPr>
                <w:sz w:val="20"/>
                <w:szCs w:val="20"/>
                <w:color w:val="auto"/>
              </w:rPr>
            </w:pPr>
            <w:r>
              <w:rPr>
                <w:rFonts w:ascii="Arial" w:cs="Arial" w:eastAsia="Arial" w:hAnsi="Arial"/>
                <w:sz w:val="18"/>
                <w:szCs w:val="18"/>
                <w:color w:val="auto"/>
              </w:rPr>
              <w:t>East Cleveland Street-Clearwater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420" w:type="dxa"/>
            <w:vAlign w:val="bottom"/>
            <w:gridSpan w:val="2"/>
          </w:tcPr>
          <w:p>
            <w:pPr>
              <w:ind w:left="40"/>
              <w:spacing w:after="0"/>
              <w:rPr>
                <w:sz w:val="20"/>
                <w:szCs w:val="20"/>
                <w:color w:val="auto"/>
              </w:rPr>
            </w:pPr>
            <w:r>
              <w:rPr>
                <w:rFonts w:ascii="Arial" w:cs="Arial" w:eastAsia="Arial" w:hAnsi="Arial"/>
                <w:sz w:val="18"/>
                <w:szCs w:val="18"/>
                <w:color w:val="auto"/>
                <w:w w:val="89"/>
              </w:rPr>
              <w:t>1050</w:t>
            </w:r>
          </w:p>
        </w:tc>
        <w:tc>
          <w:tcPr>
            <w:tcW w:w="5420" w:type="dxa"/>
            <w:vAlign w:val="bottom"/>
            <w:gridSpan w:val="2"/>
          </w:tcPr>
          <w:p>
            <w:pPr>
              <w:ind w:left="20"/>
              <w:spacing w:after="0"/>
              <w:rPr>
                <w:sz w:val="20"/>
                <w:szCs w:val="20"/>
                <w:color w:val="auto"/>
              </w:rPr>
            </w:pPr>
            <w:r>
              <w:rPr>
                <w:rFonts w:ascii="Arial" w:cs="Arial" w:eastAsia="Arial" w:hAnsi="Arial"/>
                <w:sz w:val="18"/>
                <w:szCs w:val="18"/>
                <w:color w:val="auto"/>
              </w:rPr>
              <w:t>N. El Mirage Road-Avondale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420" w:type="dxa"/>
            <w:vAlign w:val="bottom"/>
            <w:gridSpan w:val="2"/>
          </w:tcPr>
          <w:p>
            <w:pPr>
              <w:ind w:left="40"/>
              <w:spacing w:after="0"/>
              <w:rPr>
                <w:sz w:val="20"/>
                <w:szCs w:val="20"/>
                <w:color w:val="auto"/>
              </w:rPr>
            </w:pPr>
            <w:r>
              <w:rPr>
                <w:rFonts w:ascii="Arial" w:cs="Arial" w:eastAsia="Arial" w:hAnsi="Arial"/>
                <w:sz w:val="18"/>
                <w:szCs w:val="18"/>
                <w:color w:val="auto"/>
                <w:w w:val="89"/>
              </w:rPr>
              <w:t>1200</w:t>
            </w:r>
          </w:p>
        </w:tc>
        <w:tc>
          <w:tcPr>
            <w:tcW w:w="5420" w:type="dxa"/>
            <w:vAlign w:val="bottom"/>
            <w:gridSpan w:val="2"/>
          </w:tcPr>
          <w:p>
            <w:pPr>
              <w:ind w:left="20"/>
              <w:spacing w:after="0"/>
              <w:rPr>
                <w:sz w:val="20"/>
                <w:szCs w:val="20"/>
                <w:color w:val="auto"/>
              </w:rPr>
            </w:pPr>
            <w:r>
              <w:rPr>
                <w:rFonts w:ascii="Arial" w:cs="Arial" w:eastAsia="Arial" w:hAnsi="Arial"/>
                <w:sz w:val="18"/>
                <w:szCs w:val="18"/>
                <w:color w:val="auto"/>
              </w:rPr>
              <w:t>Holiday Drive-Coconut Grove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8440 Warner Crossing-Tempe LLC</w:t>
            </w:r>
          </w:p>
        </w:tc>
      </w:tr>
      <w:tr>
        <w:trPr>
          <w:trHeight w:val="270"/>
        </w:trPr>
        <w:tc>
          <w:tcPr>
            <w:tcW w:w="420" w:type="dxa"/>
            <w:vAlign w:val="bottom"/>
            <w:gridSpan w:val="2"/>
          </w:tcPr>
          <w:p>
            <w:pPr>
              <w:ind w:left="40"/>
              <w:spacing w:after="0"/>
              <w:rPr>
                <w:sz w:val="20"/>
                <w:szCs w:val="20"/>
                <w:color w:val="auto"/>
              </w:rPr>
            </w:pPr>
            <w:r>
              <w:rPr>
                <w:rFonts w:ascii="Arial" w:cs="Arial" w:eastAsia="Arial" w:hAnsi="Arial"/>
                <w:sz w:val="18"/>
                <w:szCs w:val="18"/>
                <w:color w:val="auto"/>
                <w:w w:val="89"/>
              </w:rPr>
              <w:t>1250</w:t>
            </w:r>
          </w:p>
        </w:tc>
        <w:tc>
          <w:tcPr>
            <w:tcW w:w="5420" w:type="dxa"/>
            <w:vAlign w:val="bottom"/>
            <w:gridSpan w:val="2"/>
          </w:tcPr>
          <w:p>
            <w:pPr>
              <w:ind w:left="20"/>
              <w:spacing w:after="0"/>
              <w:rPr>
                <w:sz w:val="20"/>
                <w:szCs w:val="20"/>
                <w:color w:val="auto"/>
              </w:rPr>
            </w:pPr>
            <w:r>
              <w:rPr>
                <w:rFonts w:ascii="Arial" w:cs="Arial" w:eastAsia="Arial" w:hAnsi="Arial"/>
                <w:sz w:val="18"/>
                <w:szCs w:val="18"/>
                <w:color w:val="auto"/>
              </w:rPr>
              <w:t>N. El Mirage Road-Avondale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4"/>
          </w:tcPr>
          <w:p>
            <w:pPr>
              <w:ind w:left="40"/>
              <w:spacing w:after="0"/>
              <w:rPr>
                <w:sz w:val="20"/>
                <w:szCs w:val="20"/>
                <w:color w:val="auto"/>
              </w:rPr>
            </w:pPr>
            <w:r>
              <w:rPr>
                <w:rFonts w:ascii="Arial" w:cs="Arial" w:eastAsia="Arial" w:hAnsi="Arial"/>
                <w:sz w:val="18"/>
                <w:szCs w:val="18"/>
                <w:color w:val="auto"/>
              </w:rPr>
              <w:t>1419-1425 Locust Street-Philadelphia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4"/>
          </w:tcPr>
          <w:p>
            <w:pPr>
              <w:ind w:left="40"/>
              <w:spacing w:after="0"/>
              <w:rPr>
                <w:sz w:val="20"/>
                <w:szCs w:val="20"/>
                <w:color w:val="auto"/>
              </w:rPr>
            </w:pPr>
            <w:r>
              <w:rPr>
                <w:rFonts w:ascii="Arial" w:cs="Arial" w:eastAsia="Arial" w:hAnsi="Arial"/>
                <w:sz w:val="18"/>
                <w:szCs w:val="18"/>
                <w:color w:val="auto"/>
              </w:rPr>
              <w:t>1504-1530 McCarthy Boulevard-Milpitas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420" w:type="dxa"/>
            <w:vAlign w:val="bottom"/>
            <w:gridSpan w:val="2"/>
          </w:tcPr>
          <w:p>
            <w:pPr>
              <w:ind w:left="40"/>
              <w:spacing w:after="0"/>
              <w:rPr>
                <w:sz w:val="20"/>
                <w:szCs w:val="20"/>
                <w:color w:val="auto"/>
              </w:rPr>
            </w:pPr>
            <w:r>
              <w:rPr>
                <w:rFonts w:ascii="Arial" w:cs="Arial" w:eastAsia="Arial" w:hAnsi="Arial"/>
                <w:sz w:val="18"/>
                <w:szCs w:val="18"/>
                <w:color w:val="auto"/>
                <w:w w:val="89"/>
              </w:rPr>
              <w:t>1515</w:t>
            </w:r>
          </w:p>
        </w:tc>
        <w:tc>
          <w:tcPr>
            <w:tcW w:w="5420" w:type="dxa"/>
            <w:vAlign w:val="bottom"/>
            <w:gridSpan w:val="2"/>
          </w:tcPr>
          <w:p>
            <w:pPr>
              <w:ind w:left="20"/>
              <w:spacing w:after="0"/>
              <w:rPr>
                <w:sz w:val="20"/>
                <w:szCs w:val="20"/>
                <w:color w:val="auto"/>
              </w:rPr>
            </w:pPr>
            <w:r>
              <w:rPr>
                <w:rFonts w:ascii="Arial" w:cs="Arial" w:eastAsia="Arial" w:hAnsi="Arial"/>
                <w:sz w:val="18"/>
                <w:szCs w:val="18"/>
                <w:color w:val="auto"/>
              </w:rPr>
              <w:t>Dock Street-Tacoma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420" w:type="dxa"/>
            <w:vAlign w:val="bottom"/>
            <w:gridSpan w:val="2"/>
          </w:tcPr>
          <w:p>
            <w:pPr>
              <w:ind w:left="40"/>
              <w:spacing w:after="0"/>
              <w:rPr>
                <w:sz w:val="20"/>
                <w:szCs w:val="20"/>
                <w:color w:val="auto"/>
              </w:rPr>
            </w:pPr>
            <w:r>
              <w:rPr>
                <w:rFonts w:ascii="Arial" w:cs="Arial" w:eastAsia="Arial" w:hAnsi="Arial"/>
                <w:sz w:val="18"/>
                <w:szCs w:val="18"/>
                <w:color w:val="auto"/>
                <w:w w:val="89"/>
              </w:rPr>
              <w:t>1804</w:t>
            </w:r>
          </w:p>
        </w:tc>
        <w:tc>
          <w:tcPr>
            <w:tcW w:w="5420" w:type="dxa"/>
            <w:vAlign w:val="bottom"/>
            <w:gridSpan w:val="2"/>
          </w:tcPr>
          <w:p>
            <w:pPr>
              <w:ind w:left="20"/>
              <w:spacing w:after="0"/>
              <w:rPr>
                <w:sz w:val="20"/>
                <w:szCs w:val="20"/>
                <w:color w:val="auto"/>
              </w:rPr>
            </w:pPr>
            <w:r>
              <w:rPr>
                <w:rFonts w:ascii="Arial" w:cs="Arial" w:eastAsia="Arial" w:hAnsi="Arial"/>
                <w:sz w:val="18"/>
                <w:szCs w:val="18"/>
                <w:color w:val="auto"/>
              </w:rPr>
              <w:t>McCarthy Boulevard-Milpitas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420" w:type="dxa"/>
            <w:vAlign w:val="bottom"/>
            <w:gridSpan w:val="2"/>
          </w:tcPr>
          <w:p>
            <w:pPr>
              <w:ind w:left="40"/>
              <w:spacing w:after="0"/>
              <w:rPr>
                <w:sz w:val="20"/>
                <w:szCs w:val="20"/>
                <w:color w:val="auto"/>
              </w:rPr>
            </w:pPr>
            <w:r>
              <w:rPr>
                <w:rFonts w:ascii="Arial" w:cs="Arial" w:eastAsia="Arial" w:hAnsi="Arial"/>
                <w:sz w:val="18"/>
                <w:szCs w:val="18"/>
                <w:color w:val="auto"/>
                <w:w w:val="89"/>
              </w:rPr>
              <w:t>1855</w:t>
            </w:r>
          </w:p>
        </w:tc>
        <w:tc>
          <w:tcPr>
            <w:tcW w:w="5420" w:type="dxa"/>
            <w:vAlign w:val="bottom"/>
            <w:gridSpan w:val="2"/>
          </w:tcPr>
          <w:p>
            <w:pPr>
              <w:ind w:left="20"/>
              <w:spacing w:after="0"/>
              <w:rPr>
                <w:sz w:val="20"/>
                <w:szCs w:val="20"/>
                <w:color w:val="auto"/>
              </w:rPr>
            </w:pPr>
            <w:r>
              <w:rPr>
                <w:rFonts w:ascii="Arial" w:cs="Arial" w:eastAsia="Arial" w:hAnsi="Arial"/>
                <w:sz w:val="18"/>
                <w:szCs w:val="18"/>
                <w:color w:val="auto"/>
              </w:rPr>
              <w:t>Barber Lane-Milpitas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4"/>
          </w:tcPr>
          <w:p>
            <w:pPr>
              <w:ind w:left="40"/>
              <w:spacing w:after="0"/>
              <w:rPr>
                <w:sz w:val="20"/>
                <w:szCs w:val="20"/>
                <w:color w:val="auto"/>
              </w:rPr>
            </w:pPr>
            <w:r>
              <w:rPr>
                <w:rFonts w:ascii="Arial" w:cs="Arial" w:eastAsia="Arial" w:hAnsi="Arial"/>
                <w:sz w:val="18"/>
                <w:szCs w:val="18"/>
                <w:color w:val="auto"/>
              </w:rPr>
              <w:t>1861 NW South River Drive-Miami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4"/>
          </w:tcPr>
          <w:p>
            <w:pPr>
              <w:ind w:left="40"/>
              <w:spacing w:after="0"/>
              <w:rPr>
                <w:sz w:val="20"/>
                <w:szCs w:val="20"/>
                <w:color w:val="auto"/>
              </w:rPr>
            </w:pPr>
            <w:r>
              <w:rPr>
                <w:rFonts w:ascii="Arial" w:cs="Arial" w:eastAsia="Arial" w:hAnsi="Arial"/>
                <w:sz w:val="18"/>
                <w:szCs w:val="18"/>
                <w:color w:val="auto"/>
              </w:rPr>
              <w:t>2003-2007 Nonconnah Boulevard-Memphis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420" w:type="dxa"/>
            <w:vAlign w:val="bottom"/>
            <w:gridSpan w:val="2"/>
          </w:tcPr>
          <w:p>
            <w:pPr>
              <w:ind w:left="40"/>
              <w:spacing w:after="0"/>
              <w:rPr>
                <w:sz w:val="20"/>
                <w:szCs w:val="20"/>
                <w:color w:val="auto"/>
              </w:rPr>
            </w:pPr>
            <w:r>
              <w:rPr>
                <w:rFonts w:ascii="Arial" w:cs="Arial" w:eastAsia="Arial" w:hAnsi="Arial"/>
                <w:sz w:val="18"/>
                <w:szCs w:val="18"/>
                <w:color w:val="auto"/>
                <w:w w:val="89"/>
              </w:rPr>
              <w:t>2021</w:t>
            </w:r>
          </w:p>
        </w:tc>
        <w:tc>
          <w:tcPr>
            <w:tcW w:w="5420" w:type="dxa"/>
            <w:vAlign w:val="bottom"/>
            <w:gridSpan w:val="2"/>
          </w:tcPr>
          <w:p>
            <w:pPr>
              <w:ind w:left="20"/>
              <w:spacing w:after="0"/>
              <w:rPr>
                <w:sz w:val="20"/>
                <w:szCs w:val="20"/>
                <w:color w:val="auto"/>
              </w:rPr>
            </w:pPr>
            <w:r>
              <w:rPr>
                <w:rFonts w:ascii="Arial" w:cs="Arial" w:eastAsia="Arial" w:hAnsi="Arial"/>
                <w:sz w:val="18"/>
                <w:szCs w:val="18"/>
                <w:color w:val="auto"/>
              </w:rPr>
              <w:t>Lakeside Boulevard-Richardson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420" w:type="dxa"/>
            <w:vAlign w:val="bottom"/>
            <w:gridSpan w:val="2"/>
          </w:tcPr>
          <w:p>
            <w:pPr>
              <w:ind w:left="40"/>
              <w:spacing w:after="0"/>
              <w:rPr>
                <w:sz w:val="20"/>
                <w:szCs w:val="20"/>
                <w:color w:val="auto"/>
              </w:rPr>
            </w:pPr>
            <w:r>
              <w:rPr>
                <w:rFonts w:ascii="Arial" w:cs="Arial" w:eastAsia="Arial" w:hAnsi="Arial"/>
                <w:sz w:val="18"/>
                <w:szCs w:val="18"/>
                <w:color w:val="auto"/>
                <w:w w:val="89"/>
              </w:rPr>
              <w:t>2220</w:t>
            </w:r>
          </w:p>
        </w:tc>
        <w:tc>
          <w:tcPr>
            <w:tcW w:w="5420" w:type="dxa"/>
            <w:vAlign w:val="bottom"/>
            <w:gridSpan w:val="2"/>
          </w:tcPr>
          <w:p>
            <w:pPr>
              <w:ind w:left="20"/>
              <w:spacing w:after="0"/>
              <w:rPr>
                <w:sz w:val="20"/>
                <w:szCs w:val="20"/>
                <w:color w:val="auto"/>
              </w:rPr>
            </w:pPr>
            <w:r>
              <w:rPr>
                <w:rFonts w:ascii="Arial" w:cs="Arial" w:eastAsia="Arial" w:hAnsi="Arial"/>
                <w:sz w:val="18"/>
                <w:szCs w:val="18"/>
                <w:color w:val="auto"/>
              </w:rPr>
              <w:t>West First Street-Fort Myers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4"/>
          </w:tcPr>
          <w:p>
            <w:pPr>
              <w:ind w:left="40"/>
              <w:spacing w:after="0"/>
              <w:rPr>
                <w:sz w:val="20"/>
                <w:szCs w:val="20"/>
                <w:color w:val="auto"/>
              </w:rPr>
            </w:pPr>
            <w:r>
              <w:rPr>
                <w:rFonts w:ascii="Arial" w:cs="Arial" w:eastAsia="Arial" w:hAnsi="Arial"/>
                <w:sz w:val="18"/>
                <w:szCs w:val="18"/>
                <w:color w:val="auto"/>
              </w:rPr>
              <w:t>2611 Corporate West Drive Venture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420" w:type="dxa"/>
            <w:vAlign w:val="bottom"/>
            <w:gridSpan w:val="2"/>
          </w:tcPr>
          <w:p>
            <w:pPr>
              <w:ind w:left="40"/>
              <w:spacing w:after="0"/>
              <w:rPr>
                <w:sz w:val="20"/>
                <w:szCs w:val="20"/>
                <w:color w:val="auto"/>
              </w:rPr>
            </w:pPr>
            <w:r>
              <w:rPr>
                <w:rFonts w:ascii="Arial" w:cs="Arial" w:eastAsia="Arial" w:hAnsi="Arial"/>
                <w:sz w:val="18"/>
                <w:szCs w:val="18"/>
                <w:color w:val="auto"/>
                <w:w w:val="89"/>
              </w:rPr>
              <w:t>2901</w:t>
            </w:r>
          </w:p>
        </w:tc>
        <w:tc>
          <w:tcPr>
            <w:tcW w:w="5420" w:type="dxa"/>
            <w:vAlign w:val="bottom"/>
            <w:gridSpan w:val="2"/>
          </w:tcPr>
          <w:p>
            <w:pPr>
              <w:ind w:left="20"/>
              <w:spacing w:after="0"/>
              <w:rPr>
                <w:sz w:val="20"/>
                <w:szCs w:val="20"/>
                <w:color w:val="auto"/>
              </w:rPr>
            </w:pPr>
            <w:r>
              <w:rPr>
                <w:rFonts w:ascii="Arial" w:cs="Arial" w:eastAsia="Arial" w:hAnsi="Arial"/>
                <w:sz w:val="18"/>
                <w:szCs w:val="18"/>
                <w:color w:val="auto"/>
              </w:rPr>
              <w:t>Kinwest Parkway-Irving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420" w:type="dxa"/>
            <w:vAlign w:val="bottom"/>
            <w:gridSpan w:val="2"/>
          </w:tcPr>
          <w:p>
            <w:pPr>
              <w:ind w:left="40"/>
              <w:spacing w:after="0"/>
              <w:rPr>
                <w:sz w:val="20"/>
                <w:szCs w:val="20"/>
                <w:color w:val="auto"/>
              </w:rPr>
            </w:pPr>
            <w:r>
              <w:rPr>
                <w:rFonts w:ascii="Arial" w:cs="Arial" w:eastAsia="Arial" w:hAnsi="Arial"/>
                <w:sz w:val="18"/>
                <w:szCs w:val="18"/>
                <w:color w:val="auto"/>
                <w:w w:val="89"/>
              </w:rPr>
              <w:t>3000</w:t>
            </w:r>
          </w:p>
        </w:tc>
        <w:tc>
          <w:tcPr>
            <w:tcW w:w="5420" w:type="dxa"/>
            <w:vAlign w:val="bottom"/>
            <w:gridSpan w:val="2"/>
          </w:tcPr>
          <w:p>
            <w:pPr>
              <w:ind w:left="20"/>
              <w:spacing w:after="0"/>
              <w:rPr>
                <w:sz w:val="20"/>
                <w:szCs w:val="20"/>
                <w:color w:val="auto"/>
              </w:rPr>
            </w:pPr>
            <w:r>
              <w:rPr>
                <w:rFonts w:ascii="Arial" w:cs="Arial" w:eastAsia="Arial" w:hAnsi="Arial"/>
                <w:sz w:val="18"/>
                <w:szCs w:val="18"/>
                <w:color w:val="auto"/>
              </w:rPr>
              <w:t>Waterview Parkway-Richardson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4"/>
          </w:tcPr>
          <w:p>
            <w:pPr>
              <w:ind w:left="40"/>
              <w:spacing w:after="0"/>
              <w:rPr>
                <w:sz w:val="20"/>
                <w:szCs w:val="20"/>
                <w:color w:val="auto"/>
              </w:rPr>
            </w:pPr>
            <w:r>
              <w:rPr>
                <w:rFonts w:ascii="Arial" w:cs="Arial" w:eastAsia="Arial" w:hAnsi="Arial"/>
                <w:sz w:val="18"/>
                <w:szCs w:val="18"/>
                <w:color w:val="auto"/>
              </w:rPr>
              <w:t>3150 SW 38th Avenue-Miami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bl>
    <w:p>
      <w:pPr>
        <w:sectPr>
          <w:pgSz w:w="11900" w:h="16838" w:orient="portrait"/>
          <w:cols w:equalWidth="0" w:num="1">
            <w:col w:w="11420"/>
          </w:cols>
          <w:pgMar w:left="240" w:top="364" w:right="239"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6"/>
                <w:szCs w:val="16"/>
                <w:color w:val="auto"/>
              </w:rPr>
            </w:pPr>
          </w:p>
        </w:tc>
        <w:tc>
          <w:tcPr>
            <w:tcW w:w="18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State of Formation</w:t>
            </w:r>
          </w:p>
        </w:tc>
        <w:tc>
          <w:tcPr>
            <w:tcW w:w="120" w:type="dxa"/>
            <w:vAlign w:val="bottom"/>
          </w:tcPr>
          <w:p>
            <w:pPr>
              <w:spacing w:after="0"/>
              <w:rPr>
                <w:sz w:val="16"/>
                <w:szCs w:val="16"/>
                <w:color w:val="auto"/>
              </w:rPr>
            </w:pPr>
          </w:p>
        </w:tc>
        <w:tc>
          <w:tcPr>
            <w:tcW w:w="364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Other Names Used</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3376</w:t>
            </w:r>
          </w:p>
        </w:tc>
        <w:tc>
          <w:tcPr>
            <w:tcW w:w="5420" w:type="dxa"/>
            <w:vAlign w:val="bottom"/>
            <w:gridSpan w:val="2"/>
          </w:tcPr>
          <w:p>
            <w:pPr>
              <w:ind w:left="20"/>
              <w:spacing w:after="0"/>
              <w:rPr>
                <w:sz w:val="20"/>
                <w:szCs w:val="20"/>
                <w:color w:val="auto"/>
              </w:rPr>
            </w:pPr>
            <w:r>
              <w:rPr>
                <w:rFonts w:ascii="Arial" w:cs="Arial" w:eastAsia="Arial" w:hAnsi="Arial"/>
                <w:sz w:val="18"/>
                <w:szCs w:val="18"/>
                <w:color w:val="auto"/>
              </w:rPr>
              <w:t>Peachtree Commercial Unit 1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1"/>
                <w:szCs w:val="21"/>
                <w:color w:val="auto"/>
              </w:rPr>
            </w:pPr>
          </w:p>
        </w:tc>
      </w:tr>
      <w:tr>
        <w:trPr>
          <w:trHeight w:val="270"/>
        </w:trPr>
        <w:tc>
          <w:tcPr>
            <w:tcW w:w="420" w:type="dxa"/>
            <w:vAlign w:val="bottom"/>
          </w:tcPr>
          <w:p>
            <w:pPr>
              <w:ind w:left="40"/>
              <w:spacing w:after="0"/>
              <w:rPr>
                <w:sz w:val="20"/>
                <w:szCs w:val="20"/>
                <w:color w:val="auto"/>
              </w:rPr>
            </w:pPr>
            <w:r>
              <w:rPr>
                <w:rFonts w:ascii="Arial" w:cs="Arial" w:eastAsia="Arial" w:hAnsi="Arial"/>
                <w:sz w:val="18"/>
                <w:szCs w:val="18"/>
                <w:color w:val="auto"/>
                <w:w w:val="89"/>
              </w:rPr>
              <w:t>3376</w:t>
            </w:r>
          </w:p>
        </w:tc>
        <w:tc>
          <w:tcPr>
            <w:tcW w:w="5420" w:type="dxa"/>
            <w:vAlign w:val="bottom"/>
            <w:gridSpan w:val="2"/>
          </w:tcPr>
          <w:p>
            <w:pPr>
              <w:ind w:left="20"/>
              <w:spacing w:after="0"/>
              <w:rPr>
                <w:sz w:val="20"/>
                <w:szCs w:val="20"/>
                <w:color w:val="auto"/>
              </w:rPr>
            </w:pPr>
            <w:r>
              <w:rPr>
                <w:rFonts w:ascii="Arial" w:cs="Arial" w:eastAsia="Arial" w:hAnsi="Arial"/>
                <w:sz w:val="18"/>
                <w:szCs w:val="18"/>
                <w:color w:val="auto"/>
              </w:rPr>
              <w:t>Peachtree Commercial Unit 2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420" w:type="dxa"/>
            <w:vAlign w:val="bottom"/>
          </w:tcPr>
          <w:p>
            <w:pPr>
              <w:ind w:left="40"/>
              <w:spacing w:after="0"/>
              <w:rPr>
                <w:sz w:val="20"/>
                <w:szCs w:val="20"/>
                <w:color w:val="auto"/>
              </w:rPr>
            </w:pPr>
            <w:r>
              <w:rPr>
                <w:rFonts w:ascii="Arial" w:cs="Arial" w:eastAsia="Arial" w:hAnsi="Arial"/>
                <w:sz w:val="18"/>
                <w:szCs w:val="18"/>
                <w:color w:val="auto"/>
                <w:w w:val="89"/>
              </w:rPr>
              <w:t>3376</w:t>
            </w:r>
          </w:p>
        </w:tc>
        <w:tc>
          <w:tcPr>
            <w:tcW w:w="5420" w:type="dxa"/>
            <w:vAlign w:val="bottom"/>
            <w:gridSpan w:val="2"/>
          </w:tcPr>
          <w:p>
            <w:pPr>
              <w:ind w:left="20"/>
              <w:spacing w:after="0"/>
              <w:rPr>
                <w:sz w:val="20"/>
                <w:szCs w:val="20"/>
                <w:color w:val="auto"/>
              </w:rPr>
            </w:pPr>
            <w:r>
              <w:rPr>
                <w:rFonts w:ascii="Arial" w:cs="Arial" w:eastAsia="Arial" w:hAnsi="Arial"/>
                <w:sz w:val="18"/>
                <w:szCs w:val="18"/>
                <w:color w:val="auto"/>
              </w:rPr>
              <w:t>Peachtree Hotel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420" w:type="dxa"/>
            <w:vAlign w:val="bottom"/>
          </w:tcPr>
          <w:p>
            <w:pPr>
              <w:ind w:left="40"/>
              <w:spacing w:after="0"/>
              <w:rPr>
                <w:sz w:val="20"/>
                <w:szCs w:val="20"/>
                <w:color w:val="auto"/>
              </w:rPr>
            </w:pPr>
            <w:r>
              <w:rPr>
                <w:rFonts w:ascii="Arial" w:cs="Arial" w:eastAsia="Arial" w:hAnsi="Arial"/>
                <w:sz w:val="18"/>
                <w:szCs w:val="18"/>
                <w:color w:val="auto"/>
                <w:w w:val="89"/>
              </w:rPr>
              <w:t>3376</w:t>
            </w:r>
          </w:p>
        </w:tc>
        <w:tc>
          <w:tcPr>
            <w:tcW w:w="5420" w:type="dxa"/>
            <w:vAlign w:val="bottom"/>
            <w:gridSpan w:val="2"/>
          </w:tcPr>
          <w:p>
            <w:pPr>
              <w:ind w:left="20"/>
              <w:spacing w:after="0"/>
              <w:rPr>
                <w:sz w:val="20"/>
                <w:szCs w:val="20"/>
                <w:color w:val="auto"/>
              </w:rPr>
            </w:pPr>
            <w:r>
              <w:rPr>
                <w:rFonts w:ascii="Arial" w:cs="Arial" w:eastAsia="Arial" w:hAnsi="Arial"/>
                <w:sz w:val="18"/>
                <w:szCs w:val="18"/>
                <w:color w:val="auto"/>
              </w:rPr>
              <w:t>Peachtree Residential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Georgia</w:t>
            </w:r>
          </w:p>
        </w:tc>
        <w:tc>
          <w:tcPr>
            <w:tcW w:w="3640" w:type="dxa"/>
            <w:vAlign w:val="bottom"/>
          </w:tcPr>
          <w:p>
            <w:pPr>
              <w:spacing w:after="0"/>
              <w:rPr>
                <w:sz w:val="23"/>
                <w:szCs w:val="23"/>
                <w:color w:val="auto"/>
              </w:rPr>
            </w:pPr>
          </w:p>
        </w:tc>
      </w:tr>
      <w:tr>
        <w:trPr>
          <w:trHeight w:val="270"/>
        </w:trPr>
        <w:tc>
          <w:tcPr>
            <w:tcW w:w="420" w:type="dxa"/>
            <w:vAlign w:val="bottom"/>
          </w:tcPr>
          <w:p>
            <w:pPr>
              <w:ind w:left="40"/>
              <w:spacing w:after="0"/>
              <w:rPr>
                <w:sz w:val="20"/>
                <w:szCs w:val="20"/>
                <w:color w:val="auto"/>
              </w:rPr>
            </w:pPr>
            <w:r>
              <w:rPr>
                <w:rFonts w:ascii="Arial" w:cs="Arial" w:eastAsia="Arial" w:hAnsi="Arial"/>
                <w:sz w:val="18"/>
                <w:szCs w:val="18"/>
                <w:color w:val="auto"/>
                <w:w w:val="89"/>
              </w:rPr>
              <w:t>3376</w:t>
            </w:r>
          </w:p>
        </w:tc>
        <w:tc>
          <w:tcPr>
            <w:tcW w:w="5420" w:type="dxa"/>
            <w:vAlign w:val="bottom"/>
            <w:gridSpan w:val="2"/>
          </w:tcPr>
          <w:p>
            <w:pPr>
              <w:ind w:left="20"/>
              <w:spacing w:after="0"/>
              <w:rPr>
                <w:sz w:val="20"/>
                <w:szCs w:val="20"/>
                <w:color w:val="auto"/>
              </w:rPr>
            </w:pPr>
            <w:r>
              <w:rPr>
                <w:rFonts w:ascii="Arial" w:cs="Arial" w:eastAsia="Arial" w:hAnsi="Arial"/>
                <w:sz w:val="18"/>
                <w:szCs w:val="18"/>
                <w:color w:val="auto"/>
              </w:rPr>
              <w:t>Peachtree Retail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420" w:type="dxa"/>
            <w:vAlign w:val="bottom"/>
          </w:tcPr>
          <w:p>
            <w:pPr>
              <w:ind w:left="40"/>
              <w:spacing w:after="0"/>
              <w:rPr>
                <w:sz w:val="20"/>
                <w:szCs w:val="20"/>
                <w:color w:val="auto"/>
              </w:rPr>
            </w:pPr>
            <w:r>
              <w:rPr>
                <w:rFonts w:ascii="Arial" w:cs="Arial" w:eastAsia="Arial" w:hAnsi="Arial"/>
                <w:sz w:val="18"/>
                <w:szCs w:val="18"/>
                <w:color w:val="auto"/>
                <w:w w:val="89"/>
              </w:rPr>
              <w:t>3376</w:t>
            </w:r>
          </w:p>
        </w:tc>
        <w:tc>
          <w:tcPr>
            <w:tcW w:w="5420" w:type="dxa"/>
            <w:vAlign w:val="bottom"/>
            <w:gridSpan w:val="2"/>
          </w:tcPr>
          <w:p>
            <w:pPr>
              <w:ind w:left="20"/>
              <w:spacing w:after="0"/>
              <w:rPr>
                <w:sz w:val="20"/>
                <w:szCs w:val="20"/>
                <w:color w:val="auto"/>
              </w:rPr>
            </w:pPr>
            <w:r>
              <w:rPr>
                <w:rFonts w:ascii="Arial" w:cs="Arial" w:eastAsia="Arial" w:hAnsi="Arial"/>
                <w:sz w:val="18"/>
                <w:szCs w:val="18"/>
                <w:color w:val="auto"/>
              </w:rPr>
              <w:t>Peachtree Villas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420" w:type="dxa"/>
            <w:vAlign w:val="bottom"/>
          </w:tcPr>
          <w:p>
            <w:pPr>
              <w:ind w:left="40"/>
              <w:spacing w:after="0"/>
              <w:rPr>
                <w:sz w:val="20"/>
                <w:szCs w:val="20"/>
                <w:color w:val="auto"/>
              </w:rPr>
            </w:pPr>
            <w:r>
              <w:rPr>
                <w:rFonts w:ascii="Arial" w:cs="Arial" w:eastAsia="Arial" w:hAnsi="Arial"/>
                <w:sz w:val="18"/>
                <w:szCs w:val="18"/>
                <w:color w:val="auto"/>
                <w:w w:val="89"/>
              </w:rPr>
              <w:t>3376</w:t>
            </w:r>
          </w:p>
        </w:tc>
        <w:tc>
          <w:tcPr>
            <w:tcW w:w="5420" w:type="dxa"/>
            <w:vAlign w:val="bottom"/>
            <w:gridSpan w:val="2"/>
          </w:tcPr>
          <w:p>
            <w:pPr>
              <w:ind w:left="20"/>
              <w:spacing w:after="0"/>
              <w:rPr>
                <w:sz w:val="20"/>
                <w:szCs w:val="20"/>
                <w:color w:val="auto"/>
              </w:rPr>
            </w:pPr>
            <w:r>
              <w:rPr>
                <w:rFonts w:ascii="Arial" w:cs="Arial" w:eastAsia="Arial" w:hAnsi="Arial"/>
                <w:sz w:val="18"/>
                <w:szCs w:val="18"/>
                <w:color w:val="auto"/>
              </w:rPr>
              <w:t>Peachtree Road - Atlanta Hotel LL Inc.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420" w:type="dxa"/>
            <w:vAlign w:val="bottom"/>
          </w:tcPr>
          <w:p>
            <w:pPr>
              <w:ind w:left="40"/>
              <w:spacing w:after="0"/>
              <w:rPr>
                <w:sz w:val="20"/>
                <w:szCs w:val="20"/>
                <w:color w:val="auto"/>
              </w:rPr>
            </w:pPr>
            <w:r>
              <w:rPr>
                <w:rFonts w:ascii="Arial" w:cs="Arial" w:eastAsia="Arial" w:hAnsi="Arial"/>
                <w:sz w:val="18"/>
                <w:szCs w:val="18"/>
                <w:color w:val="auto"/>
                <w:w w:val="89"/>
              </w:rPr>
              <w:t>3376</w:t>
            </w:r>
          </w:p>
        </w:tc>
        <w:tc>
          <w:tcPr>
            <w:tcW w:w="5420" w:type="dxa"/>
            <w:vAlign w:val="bottom"/>
            <w:gridSpan w:val="2"/>
          </w:tcPr>
          <w:p>
            <w:pPr>
              <w:ind w:left="20"/>
              <w:spacing w:after="0"/>
              <w:rPr>
                <w:sz w:val="20"/>
                <w:szCs w:val="20"/>
                <w:color w:val="auto"/>
              </w:rPr>
            </w:pPr>
            <w:r>
              <w:rPr>
                <w:rFonts w:ascii="Arial" w:cs="Arial" w:eastAsia="Arial" w:hAnsi="Arial"/>
                <w:sz w:val="18"/>
                <w:szCs w:val="18"/>
                <w:color w:val="auto"/>
              </w:rPr>
              <w:t>Peachtree Road - Atlanta Restaurant LL Inc.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420" w:type="dxa"/>
            <w:vAlign w:val="bottom"/>
          </w:tcPr>
          <w:p>
            <w:pPr>
              <w:ind w:left="40"/>
              <w:spacing w:after="0"/>
              <w:rPr>
                <w:sz w:val="20"/>
                <w:szCs w:val="20"/>
                <w:color w:val="auto"/>
              </w:rPr>
            </w:pPr>
            <w:r>
              <w:rPr>
                <w:rFonts w:ascii="Arial" w:cs="Arial" w:eastAsia="Arial" w:hAnsi="Arial"/>
                <w:sz w:val="18"/>
                <w:szCs w:val="18"/>
                <w:color w:val="auto"/>
                <w:w w:val="89"/>
              </w:rPr>
              <w:t>3460</w:t>
            </w:r>
          </w:p>
        </w:tc>
        <w:tc>
          <w:tcPr>
            <w:tcW w:w="5420" w:type="dxa"/>
            <w:vAlign w:val="bottom"/>
            <w:gridSpan w:val="2"/>
          </w:tcPr>
          <w:p>
            <w:pPr>
              <w:ind w:left="20"/>
              <w:spacing w:after="0"/>
              <w:rPr>
                <w:sz w:val="20"/>
                <w:szCs w:val="20"/>
                <w:color w:val="auto"/>
              </w:rPr>
            </w:pPr>
            <w:r>
              <w:rPr>
                <w:rFonts w:ascii="Arial" w:cs="Arial" w:eastAsia="Arial" w:hAnsi="Arial"/>
                <w:sz w:val="18"/>
                <w:szCs w:val="18"/>
                <w:color w:val="auto"/>
              </w:rPr>
              <w:t>14th Street NW-Washington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420" w:type="dxa"/>
            <w:vAlign w:val="bottom"/>
          </w:tcPr>
          <w:p>
            <w:pPr>
              <w:ind w:left="40"/>
              <w:spacing w:after="0"/>
              <w:rPr>
                <w:sz w:val="20"/>
                <w:szCs w:val="20"/>
                <w:color w:val="auto"/>
              </w:rPr>
            </w:pPr>
            <w:r>
              <w:rPr>
                <w:rFonts w:ascii="Arial" w:cs="Arial" w:eastAsia="Arial" w:hAnsi="Arial"/>
                <w:sz w:val="18"/>
                <w:szCs w:val="18"/>
                <w:color w:val="auto"/>
                <w:w w:val="89"/>
              </w:rPr>
              <w:t>4471</w:t>
            </w:r>
          </w:p>
        </w:tc>
        <w:tc>
          <w:tcPr>
            <w:tcW w:w="5420" w:type="dxa"/>
            <w:vAlign w:val="bottom"/>
            <w:gridSpan w:val="2"/>
          </w:tcPr>
          <w:p>
            <w:pPr>
              <w:ind w:left="20"/>
              <w:spacing w:after="0"/>
              <w:rPr>
                <w:sz w:val="20"/>
                <w:szCs w:val="20"/>
                <w:color w:val="auto"/>
              </w:rPr>
            </w:pPr>
            <w:r>
              <w:rPr>
                <w:rFonts w:ascii="Arial" w:cs="Arial" w:eastAsia="Arial" w:hAnsi="Arial"/>
                <w:sz w:val="18"/>
                <w:szCs w:val="18"/>
                <w:color w:val="auto"/>
              </w:rPr>
              <w:t>Dean Martin Drive-Las Vegas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4230 S. Decatur Boulevard-Las Vegas LLC</w:t>
            </w:r>
          </w:p>
        </w:tc>
      </w:tr>
      <w:tr>
        <w:trPr>
          <w:trHeight w:val="270"/>
        </w:trPr>
        <w:tc>
          <w:tcPr>
            <w:tcW w:w="420" w:type="dxa"/>
            <w:vAlign w:val="bottom"/>
          </w:tcPr>
          <w:p>
            <w:pPr>
              <w:ind w:left="40"/>
              <w:spacing w:after="0"/>
              <w:rPr>
                <w:sz w:val="20"/>
                <w:szCs w:val="20"/>
                <w:color w:val="auto"/>
              </w:rPr>
            </w:pPr>
            <w:r>
              <w:rPr>
                <w:rFonts w:ascii="Arial" w:cs="Arial" w:eastAsia="Arial" w:hAnsi="Arial"/>
                <w:sz w:val="18"/>
                <w:szCs w:val="18"/>
                <w:color w:val="auto"/>
                <w:w w:val="89"/>
              </w:rPr>
              <w:t>6087</w:t>
            </w:r>
          </w:p>
        </w:tc>
        <w:tc>
          <w:tcPr>
            <w:tcW w:w="5420" w:type="dxa"/>
            <w:vAlign w:val="bottom"/>
            <w:gridSpan w:val="2"/>
          </w:tcPr>
          <w:p>
            <w:pPr>
              <w:ind w:left="20"/>
              <w:spacing w:after="0"/>
              <w:rPr>
                <w:sz w:val="20"/>
                <w:szCs w:val="20"/>
                <w:color w:val="auto"/>
              </w:rPr>
            </w:pPr>
            <w:r>
              <w:rPr>
                <w:rFonts w:ascii="Arial" w:cs="Arial" w:eastAsia="Arial" w:hAnsi="Arial"/>
                <w:sz w:val="18"/>
                <w:szCs w:val="18"/>
                <w:color w:val="auto"/>
              </w:rPr>
              <w:t>Sunset Boulevard-Hollywood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420" w:type="dxa"/>
            <w:vAlign w:val="bottom"/>
          </w:tcPr>
          <w:p>
            <w:pPr>
              <w:ind w:left="40"/>
              <w:spacing w:after="0"/>
              <w:rPr>
                <w:sz w:val="20"/>
                <w:szCs w:val="20"/>
                <w:color w:val="auto"/>
              </w:rPr>
            </w:pPr>
            <w:r>
              <w:rPr>
                <w:rFonts w:ascii="Arial" w:cs="Arial" w:eastAsia="Arial" w:hAnsi="Arial"/>
                <w:sz w:val="18"/>
                <w:szCs w:val="18"/>
                <w:color w:val="auto"/>
                <w:w w:val="89"/>
              </w:rPr>
              <w:t>6162</w:t>
            </w:r>
          </w:p>
        </w:tc>
        <w:tc>
          <w:tcPr>
            <w:tcW w:w="5420" w:type="dxa"/>
            <w:vAlign w:val="bottom"/>
            <w:gridSpan w:val="2"/>
          </w:tcPr>
          <w:p>
            <w:pPr>
              <w:ind w:left="20"/>
              <w:spacing w:after="0"/>
              <w:rPr>
                <w:sz w:val="20"/>
                <w:szCs w:val="20"/>
                <w:color w:val="auto"/>
              </w:rPr>
            </w:pPr>
            <w:r>
              <w:rPr>
                <w:rFonts w:ascii="Arial" w:cs="Arial" w:eastAsia="Arial" w:hAnsi="Arial"/>
                <w:sz w:val="18"/>
                <w:szCs w:val="18"/>
                <w:color w:val="auto"/>
              </w:rPr>
              <w:t>S Willow Drive-Englewood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420" w:type="dxa"/>
            <w:vAlign w:val="bottom"/>
          </w:tcPr>
          <w:p>
            <w:pPr>
              <w:ind w:left="40"/>
              <w:spacing w:after="0"/>
              <w:rPr>
                <w:sz w:val="20"/>
                <w:szCs w:val="20"/>
                <w:color w:val="auto"/>
              </w:rPr>
            </w:pPr>
            <w:r>
              <w:rPr>
                <w:rFonts w:ascii="Arial" w:cs="Arial" w:eastAsia="Arial" w:hAnsi="Arial"/>
                <w:sz w:val="18"/>
                <w:szCs w:val="18"/>
                <w:color w:val="auto"/>
                <w:w w:val="89"/>
              </w:rPr>
              <w:t>6400</w:t>
            </w:r>
          </w:p>
        </w:tc>
        <w:tc>
          <w:tcPr>
            <w:tcW w:w="5420" w:type="dxa"/>
            <w:vAlign w:val="bottom"/>
            <w:gridSpan w:val="2"/>
          </w:tcPr>
          <w:p>
            <w:pPr>
              <w:ind w:left="20"/>
              <w:spacing w:after="0"/>
              <w:rPr>
                <w:sz w:val="20"/>
                <w:szCs w:val="20"/>
                <w:color w:val="auto"/>
              </w:rPr>
            </w:pPr>
            <w:r>
              <w:rPr>
                <w:rFonts w:ascii="Arial" w:cs="Arial" w:eastAsia="Arial" w:hAnsi="Arial"/>
                <w:sz w:val="18"/>
                <w:szCs w:val="18"/>
                <w:color w:val="auto"/>
              </w:rPr>
              <w:t>Christie Avenue-Emeryville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3"/>
          </w:tcPr>
          <w:p>
            <w:pPr>
              <w:ind w:left="40"/>
              <w:spacing w:after="0"/>
              <w:rPr>
                <w:sz w:val="20"/>
                <w:szCs w:val="20"/>
                <w:color w:val="auto"/>
              </w:rPr>
            </w:pPr>
            <w:r>
              <w:rPr>
                <w:rFonts w:ascii="Arial" w:cs="Arial" w:eastAsia="Arial" w:hAnsi="Arial"/>
                <w:sz w:val="18"/>
                <w:szCs w:val="18"/>
                <w:color w:val="auto"/>
              </w:rPr>
              <w:t>6801 Woolridge Road GenPar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420" w:type="dxa"/>
            <w:vAlign w:val="bottom"/>
          </w:tcPr>
          <w:p>
            <w:pPr>
              <w:ind w:left="40"/>
              <w:spacing w:after="0"/>
              <w:rPr>
                <w:sz w:val="20"/>
                <w:szCs w:val="20"/>
                <w:color w:val="auto"/>
              </w:rPr>
            </w:pPr>
            <w:r>
              <w:rPr>
                <w:rFonts w:ascii="Arial" w:cs="Arial" w:eastAsia="Arial" w:hAnsi="Arial"/>
                <w:sz w:val="18"/>
                <w:szCs w:val="18"/>
                <w:color w:val="auto"/>
                <w:w w:val="89"/>
              </w:rPr>
              <w:t>6801</w:t>
            </w:r>
          </w:p>
        </w:tc>
        <w:tc>
          <w:tcPr>
            <w:tcW w:w="5420" w:type="dxa"/>
            <w:vAlign w:val="bottom"/>
            <w:gridSpan w:val="2"/>
          </w:tcPr>
          <w:p>
            <w:pPr>
              <w:ind w:left="20"/>
              <w:spacing w:after="0"/>
              <w:rPr>
                <w:sz w:val="20"/>
                <w:szCs w:val="20"/>
                <w:color w:val="auto"/>
              </w:rPr>
            </w:pPr>
            <w:r>
              <w:rPr>
                <w:rFonts w:ascii="Arial" w:cs="Arial" w:eastAsia="Arial" w:hAnsi="Arial"/>
                <w:sz w:val="18"/>
                <w:szCs w:val="18"/>
                <w:color w:val="auto"/>
              </w:rPr>
              <w:t>Woolridge Road - Moseley LP</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6801 Woolridge Road - Moseley TRS LLC</w:t>
            </w:r>
          </w:p>
        </w:tc>
      </w:tr>
      <w:tr>
        <w:trPr>
          <w:trHeight w:val="270"/>
        </w:trPr>
        <w:tc>
          <w:tcPr>
            <w:tcW w:w="420" w:type="dxa"/>
            <w:vAlign w:val="bottom"/>
          </w:tcPr>
          <w:p>
            <w:pPr>
              <w:ind w:left="40"/>
              <w:spacing w:after="0"/>
              <w:rPr>
                <w:sz w:val="20"/>
                <w:szCs w:val="20"/>
                <w:color w:val="auto"/>
              </w:rPr>
            </w:pPr>
            <w:r>
              <w:rPr>
                <w:rFonts w:ascii="Arial" w:cs="Arial" w:eastAsia="Arial" w:hAnsi="Arial"/>
                <w:sz w:val="18"/>
                <w:szCs w:val="18"/>
                <w:color w:val="auto"/>
                <w:w w:val="89"/>
              </w:rPr>
              <w:t>7445</w:t>
            </w:r>
          </w:p>
        </w:tc>
        <w:tc>
          <w:tcPr>
            <w:tcW w:w="5420" w:type="dxa"/>
            <w:vAlign w:val="bottom"/>
            <w:gridSpan w:val="2"/>
          </w:tcPr>
          <w:p>
            <w:pPr>
              <w:ind w:left="20"/>
              <w:spacing w:after="0"/>
              <w:rPr>
                <w:sz w:val="20"/>
                <w:szCs w:val="20"/>
                <w:color w:val="auto"/>
              </w:rPr>
            </w:pPr>
            <w:r>
              <w:rPr>
                <w:rFonts w:ascii="Arial" w:cs="Arial" w:eastAsia="Arial" w:hAnsi="Arial"/>
                <w:sz w:val="18"/>
                <w:szCs w:val="18"/>
                <w:color w:val="auto"/>
              </w:rPr>
              <w:t>East Chaparral Road-Scottsdale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3"/>
          </w:tcPr>
          <w:p>
            <w:pPr>
              <w:ind w:left="40"/>
              <w:spacing w:after="0"/>
              <w:rPr>
                <w:sz w:val="20"/>
                <w:szCs w:val="20"/>
                <w:color w:val="auto"/>
              </w:rPr>
            </w:pPr>
            <w:r>
              <w:rPr>
                <w:rFonts w:ascii="Arial" w:cs="Arial" w:eastAsia="Arial" w:hAnsi="Arial"/>
                <w:sz w:val="18"/>
                <w:szCs w:val="18"/>
                <w:color w:val="auto"/>
              </w:rPr>
              <w:t>11650 Central Parkway-Jacksonville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3"/>
          </w:tcPr>
          <w:p>
            <w:pPr>
              <w:ind w:left="40"/>
              <w:spacing w:after="0"/>
              <w:rPr>
                <w:sz w:val="20"/>
                <w:szCs w:val="20"/>
                <w:color w:val="auto"/>
              </w:rPr>
            </w:pPr>
            <w:r>
              <w:rPr>
                <w:rFonts w:ascii="Arial" w:cs="Arial" w:eastAsia="Arial" w:hAnsi="Arial"/>
                <w:sz w:val="18"/>
                <w:szCs w:val="18"/>
                <w:color w:val="auto"/>
              </w:rPr>
              <w:t>13351 Overseas Highway-Marathon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475-525 Sycamore Drive-Milpitas LLC</w:t>
            </w:r>
          </w:p>
        </w:tc>
      </w:tr>
      <w:tr>
        <w:trPr>
          <w:trHeight w:val="270"/>
        </w:trPr>
        <w:tc>
          <w:tcPr>
            <w:tcW w:w="5840" w:type="dxa"/>
            <w:vAlign w:val="bottom"/>
            <w:gridSpan w:val="3"/>
          </w:tcPr>
          <w:p>
            <w:pPr>
              <w:ind w:left="40"/>
              <w:spacing w:after="0"/>
              <w:rPr>
                <w:sz w:val="20"/>
                <w:szCs w:val="20"/>
                <w:color w:val="auto"/>
              </w:rPr>
            </w:pPr>
            <w:r>
              <w:rPr>
                <w:rFonts w:ascii="Arial" w:cs="Arial" w:eastAsia="Arial" w:hAnsi="Arial"/>
                <w:sz w:val="18"/>
                <w:szCs w:val="18"/>
                <w:color w:val="auto"/>
              </w:rPr>
              <w:t>14000 N. Hayden Road-Scottsdale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3"/>
          </w:tcPr>
          <w:p>
            <w:pPr>
              <w:ind w:left="40"/>
              <w:spacing w:after="0"/>
              <w:rPr>
                <w:sz w:val="20"/>
                <w:szCs w:val="20"/>
                <w:color w:val="auto"/>
              </w:rPr>
            </w:pPr>
            <w:r>
              <w:rPr>
                <w:rFonts w:ascii="Arial" w:cs="Arial" w:eastAsia="Arial" w:hAnsi="Arial"/>
                <w:sz w:val="18"/>
                <w:szCs w:val="18"/>
                <w:color w:val="auto"/>
              </w:rPr>
              <w:t>17093 Biscayne Boulevard-North Miami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3"/>
          </w:tcPr>
          <w:p>
            <w:pPr>
              <w:ind w:left="40"/>
              <w:spacing w:after="0"/>
              <w:rPr>
                <w:sz w:val="20"/>
                <w:szCs w:val="20"/>
                <w:color w:val="auto"/>
              </w:rPr>
            </w:pPr>
            <w:r>
              <w:rPr>
                <w:rFonts w:ascii="Arial" w:cs="Arial" w:eastAsia="Arial" w:hAnsi="Arial"/>
                <w:sz w:val="18"/>
                <w:szCs w:val="18"/>
                <w:color w:val="auto"/>
              </w:rPr>
              <w:t>17623-17695 N Dale Mabry Hwy-Lutz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3"/>
          </w:tcPr>
          <w:p>
            <w:pPr>
              <w:ind w:left="40"/>
              <w:spacing w:after="0"/>
              <w:rPr>
                <w:sz w:val="20"/>
                <w:szCs w:val="20"/>
                <w:color w:val="auto"/>
              </w:rPr>
            </w:pPr>
            <w:r>
              <w:rPr>
                <w:rFonts w:ascii="Arial" w:cs="Arial" w:eastAsia="Arial" w:hAnsi="Arial"/>
                <w:sz w:val="18"/>
                <w:szCs w:val="18"/>
                <w:color w:val="auto"/>
              </w:rPr>
              <w:t>21625 Red Rum Drive-Ashburn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3"/>
          </w:tcPr>
          <w:p>
            <w:pPr>
              <w:ind w:left="40"/>
              <w:spacing w:after="0"/>
              <w:rPr>
                <w:sz w:val="20"/>
                <w:szCs w:val="20"/>
                <w:color w:val="auto"/>
              </w:rPr>
            </w:pPr>
            <w:r>
              <w:rPr>
                <w:rFonts w:ascii="Arial" w:cs="Arial" w:eastAsia="Arial" w:hAnsi="Arial"/>
                <w:sz w:val="18"/>
                <w:szCs w:val="18"/>
                <w:color w:val="auto"/>
              </w:rPr>
              <w:t>46702 Bayside Parkway-Fremont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3"/>
          </w:tcPr>
          <w:p>
            <w:pPr>
              <w:ind w:left="40"/>
              <w:spacing w:after="0"/>
              <w:rPr>
                <w:sz w:val="20"/>
                <w:szCs w:val="20"/>
                <w:color w:val="auto"/>
              </w:rPr>
            </w:pPr>
            <w:r>
              <w:rPr>
                <w:rFonts w:ascii="Arial" w:cs="Arial" w:eastAsia="Arial" w:hAnsi="Arial"/>
                <w:sz w:val="18"/>
                <w:szCs w:val="18"/>
                <w:color w:val="auto"/>
              </w:rPr>
              <w:t>46831 Lakeview Boulevard-Fremont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3"/>
          </w:tcPr>
          <w:p>
            <w:pPr>
              <w:ind w:left="40"/>
              <w:spacing w:after="0"/>
              <w:rPr>
                <w:sz w:val="20"/>
                <w:szCs w:val="20"/>
                <w:color w:val="auto"/>
              </w:rPr>
            </w:pPr>
            <w:r>
              <w:rPr>
                <w:rFonts w:ascii="Arial" w:cs="Arial" w:eastAsia="Arial" w:hAnsi="Arial"/>
                <w:sz w:val="18"/>
                <w:szCs w:val="18"/>
                <w:color w:val="auto"/>
              </w:rPr>
              <w:t>Acquest Government Holdings II,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New York</w:t>
            </w:r>
          </w:p>
        </w:tc>
        <w:tc>
          <w:tcPr>
            <w:tcW w:w="3640" w:type="dxa"/>
            <w:vAlign w:val="bottom"/>
          </w:tcPr>
          <w:p>
            <w:pPr>
              <w:spacing w:after="0"/>
              <w:rPr>
                <w:sz w:val="23"/>
                <w:szCs w:val="23"/>
                <w:color w:val="auto"/>
              </w:rPr>
            </w:pPr>
          </w:p>
        </w:tc>
      </w:tr>
      <w:tr>
        <w:trPr>
          <w:trHeight w:val="270"/>
        </w:trPr>
        <w:tc>
          <w:tcPr>
            <w:tcW w:w="5840" w:type="dxa"/>
            <w:vAlign w:val="bottom"/>
            <w:gridSpan w:val="3"/>
          </w:tcPr>
          <w:p>
            <w:pPr>
              <w:ind w:left="40"/>
              <w:spacing w:after="0"/>
              <w:rPr>
                <w:sz w:val="20"/>
                <w:szCs w:val="20"/>
                <w:color w:val="auto"/>
              </w:rPr>
            </w:pPr>
            <w:r>
              <w:rPr>
                <w:rFonts w:ascii="Arial" w:cs="Arial" w:eastAsia="Arial" w:hAnsi="Arial"/>
                <w:sz w:val="18"/>
                <w:szCs w:val="18"/>
                <w:color w:val="auto"/>
              </w:rPr>
              <w:t>Acquest Government Holdings,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New York</w:t>
            </w:r>
          </w:p>
        </w:tc>
        <w:tc>
          <w:tcPr>
            <w:tcW w:w="3640" w:type="dxa"/>
            <w:vAlign w:val="bottom"/>
          </w:tcPr>
          <w:p>
            <w:pPr>
              <w:spacing w:after="0"/>
              <w:rPr>
                <w:sz w:val="23"/>
                <w:szCs w:val="23"/>
                <w:color w:val="auto"/>
              </w:rPr>
            </w:pPr>
          </w:p>
        </w:tc>
      </w:tr>
      <w:tr>
        <w:trPr>
          <w:trHeight w:val="270"/>
        </w:trPr>
        <w:tc>
          <w:tcPr>
            <w:tcW w:w="5840" w:type="dxa"/>
            <w:vAlign w:val="bottom"/>
            <w:gridSpan w:val="3"/>
          </w:tcPr>
          <w:p>
            <w:pPr>
              <w:ind w:left="40"/>
              <w:spacing w:after="0"/>
              <w:rPr>
                <w:sz w:val="20"/>
                <w:szCs w:val="20"/>
                <w:color w:val="auto"/>
              </w:rPr>
            </w:pPr>
            <w:r>
              <w:rPr>
                <w:rFonts w:ascii="Arial" w:cs="Arial" w:eastAsia="Arial" w:hAnsi="Arial"/>
                <w:sz w:val="18"/>
                <w:szCs w:val="18"/>
                <w:color w:val="auto"/>
              </w:rPr>
              <w:t>Acquest Holdings FC,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New York</w:t>
            </w:r>
          </w:p>
        </w:tc>
        <w:tc>
          <w:tcPr>
            <w:tcW w:w="3640" w:type="dxa"/>
            <w:vAlign w:val="bottom"/>
          </w:tcPr>
          <w:p>
            <w:pPr>
              <w:spacing w:after="0"/>
              <w:rPr>
                <w:sz w:val="23"/>
                <w:szCs w:val="23"/>
                <w:color w:val="auto"/>
              </w:rPr>
            </w:pPr>
          </w:p>
        </w:tc>
      </w:tr>
      <w:tr>
        <w:trPr>
          <w:trHeight w:val="270"/>
        </w:trPr>
        <w:tc>
          <w:tcPr>
            <w:tcW w:w="5840" w:type="dxa"/>
            <w:vAlign w:val="bottom"/>
            <w:gridSpan w:val="3"/>
          </w:tcPr>
          <w:p>
            <w:pPr>
              <w:ind w:left="40"/>
              <w:spacing w:after="0"/>
              <w:rPr>
                <w:sz w:val="20"/>
                <w:szCs w:val="20"/>
                <w:color w:val="auto"/>
              </w:rPr>
            </w:pPr>
            <w:r>
              <w:rPr>
                <w:rFonts w:ascii="Arial" w:cs="Arial" w:eastAsia="Arial" w:hAnsi="Arial"/>
                <w:sz w:val="18"/>
                <w:szCs w:val="18"/>
                <w:color w:val="auto"/>
              </w:rPr>
              <w:t>ACRE IDG,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3"/>
          </w:tcPr>
          <w:p>
            <w:pPr>
              <w:ind w:left="40"/>
              <w:spacing w:after="0"/>
              <w:rPr>
                <w:sz w:val="20"/>
                <w:szCs w:val="20"/>
                <w:color w:val="auto"/>
              </w:rPr>
            </w:pPr>
            <w:r>
              <w:rPr>
                <w:rFonts w:ascii="Arial" w:cs="Arial" w:eastAsia="Arial" w:hAnsi="Arial"/>
                <w:sz w:val="18"/>
                <w:szCs w:val="18"/>
                <w:color w:val="auto"/>
              </w:rPr>
              <w:t>ACRE Simon,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3"/>
          </w:tcPr>
          <w:p>
            <w:pPr>
              <w:ind w:left="40"/>
              <w:spacing w:after="0"/>
              <w:rPr>
                <w:sz w:val="20"/>
                <w:szCs w:val="20"/>
                <w:color w:val="auto"/>
              </w:rPr>
            </w:pPr>
            <w:r>
              <w:rPr>
                <w:rFonts w:ascii="Arial" w:cs="Arial" w:eastAsia="Arial" w:hAnsi="Arial"/>
                <w:sz w:val="18"/>
                <w:szCs w:val="18"/>
                <w:color w:val="auto"/>
              </w:rPr>
              <w:t>American Financial Exchange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New Jersey</w:t>
            </w:r>
          </w:p>
        </w:tc>
        <w:tc>
          <w:tcPr>
            <w:tcW w:w="3640" w:type="dxa"/>
            <w:vAlign w:val="bottom"/>
          </w:tcPr>
          <w:p>
            <w:pPr>
              <w:spacing w:after="0"/>
              <w:rPr>
                <w:sz w:val="23"/>
                <w:szCs w:val="23"/>
                <w:color w:val="auto"/>
              </w:rPr>
            </w:pPr>
          </w:p>
        </w:tc>
      </w:tr>
      <w:tr>
        <w:trPr>
          <w:trHeight w:val="270"/>
        </w:trPr>
        <w:tc>
          <w:tcPr>
            <w:tcW w:w="5840" w:type="dxa"/>
            <w:vAlign w:val="bottom"/>
            <w:gridSpan w:val="3"/>
          </w:tcPr>
          <w:p>
            <w:pPr>
              <w:ind w:left="40"/>
              <w:spacing w:after="0"/>
              <w:rPr>
                <w:sz w:val="20"/>
                <w:szCs w:val="20"/>
                <w:color w:val="auto"/>
              </w:rPr>
            </w:pPr>
            <w:r>
              <w:rPr>
                <w:rFonts w:ascii="Arial" w:cs="Arial" w:eastAsia="Arial" w:hAnsi="Arial"/>
                <w:sz w:val="18"/>
                <w:szCs w:val="18"/>
                <w:color w:val="auto"/>
              </w:rPr>
              <w:t>AP Block 146 Developer Urban Renewal,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New Jersey</w:t>
            </w:r>
          </w:p>
        </w:tc>
        <w:tc>
          <w:tcPr>
            <w:tcW w:w="3640" w:type="dxa"/>
            <w:vAlign w:val="bottom"/>
          </w:tcPr>
          <w:p>
            <w:pPr>
              <w:ind w:left="20"/>
              <w:spacing w:after="0"/>
              <w:rPr>
                <w:sz w:val="20"/>
                <w:szCs w:val="20"/>
                <w:color w:val="auto"/>
              </w:rPr>
            </w:pPr>
            <w:r>
              <w:rPr>
                <w:rFonts w:ascii="Arial" w:cs="Arial" w:eastAsia="Arial" w:hAnsi="Arial"/>
                <w:sz w:val="18"/>
                <w:szCs w:val="18"/>
                <w:color w:val="auto"/>
              </w:rPr>
              <w:t>AP Block 146 Developer LLC</w:t>
            </w:r>
          </w:p>
        </w:tc>
      </w:tr>
      <w:tr>
        <w:trPr>
          <w:trHeight w:val="270"/>
        </w:trPr>
        <w:tc>
          <w:tcPr>
            <w:tcW w:w="5840" w:type="dxa"/>
            <w:vAlign w:val="bottom"/>
            <w:gridSpan w:val="3"/>
          </w:tcPr>
          <w:p>
            <w:pPr>
              <w:ind w:left="40"/>
              <w:spacing w:after="0"/>
              <w:rPr>
                <w:sz w:val="20"/>
                <w:szCs w:val="20"/>
                <w:color w:val="auto"/>
              </w:rPr>
            </w:pPr>
            <w:r>
              <w:rPr>
                <w:rFonts w:ascii="Arial" w:cs="Arial" w:eastAsia="Arial" w:hAnsi="Arial"/>
                <w:sz w:val="18"/>
                <w:szCs w:val="18"/>
                <w:color w:val="auto"/>
              </w:rPr>
              <w:t>AP Block 176 Venture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New Jersey</w:t>
            </w:r>
          </w:p>
        </w:tc>
        <w:tc>
          <w:tcPr>
            <w:tcW w:w="3640" w:type="dxa"/>
            <w:vAlign w:val="bottom"/>
          </w:tcPr>
          <w:p>
            <w:pPr>
              <w:spacing w:after="0"/>
              <w:rPr>
                <w:sz w:val="23"/>
                <w:szCs w:val="23"/>
                <w:color w:val="auto"/>
              </w:rPr>
            </w:pPr>
          </w:p>
        </w:tc>
      </w:tr>
      <w:tr>
        <w:trPr>
          <w:trHeight w:val="270"/>
        </w:trPr>
        <w:tc>
          <w:tcPr>
            <w:tcW w:w="5840" w:type="dxa"/>
            <w:vAlign w:val="bottom"/>
            <w:gridSpan w:val="3"/>
          </w:tcPr>
          <w:p>
            <w:pPr>
              <w:ind w:left="40"/>
              <w:spacing w:after="0"/>
              <w:rPr>
                <w:sz w:val="20"/>
                <w:szCs w:val="20"/>
                <w:color w:val="auto"/>
              </w:rPr>
            </w:pPr>
            <w:r>
              <w:rPr>
                <w:rFonts w:ascii="Arial" w:cs="Arial" w:eastAsia="Arial" w:hAnsi="Arial"/>
                <w:sz w:val="18"/>
                <w:szCs w:val="18"/>
                <w:color w:val="auto"/>
              </w:rPr>
              <w:t>AP Block 178 Venture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New Jersey</w:t>
            </w:r>
          </w:p>
        </w:tc>
        <w:tc>
          <w:tcPr>
            <w:tcW w:w="3640" w:type="dxa"/>
            <w:vAlign w:val="bottom"/>
          </w:tcPr>
          <w:p>
            <w:pPr>
              <w:spacing w:after="0"/>
              <w:rPr>
                <w:sz w:val="23"/>
                <w:szCs w:val="23"/>
                <w:color w:val="auto"/>
              </w:rPr>
            </w:pPr>
          </w:p>
        </w:tc>
      </w:tr>
      <w:tr>
        <w:trPr>
          <w:trHeight w:val="270"/>
        </w:trPr>
        <w:tc>
          <w:tcPr>
            <w:tcW w:w="5840" w:type="dxa"/>
            <w:vAlign w:val="bottom"/>
            <w:gridSpan w:val="3"/>
          </w:tcPr>
          <w:p>
            <w:pPr>
              <w:ind w:left="40"/>
              <w:spacing w:after="0"/>
              <w:rPr>
                <w:sz w:val="20"/>
                <w:szCs w:val="20"/>
                <w:color w:val="auto"/>
              </w:rPr>
            </w:pPr>
            <w:r>
              <w:rPr>
                <w:rFonts w:ascii="Arial" w:cs="Arial" w:eastAsia="Arial" w:hAnsi="Arial"/>
                <w:sz w:val="18"/>
                <w:szCs w:val="18"/>
                <w:color w:val="auto"/>
              </w:rPr>
              <w:t>AP Fifteen Property Holding,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New Jersey</w:t>
            </w:r>
          </w:p>
        </w:tc>
        <w:tc>
          <w:tcPr>
            <w:tcW w:w="3640" w:type="dxa"/>
            <w:vAlign w:val="bottom"/>
          </w:tcPr>
          <w:p>
            <w:pPr>
              <w:spacing w:after="0"/>
              <w:rPr>
                <w:sz w:val="23"/>
                <w:szCs w:val="23"/>
                <w:color w:val="auto"/>
              </w:rPr>
            </w:pPr>
          </w:p>
        </w:tc>
      </w:tr>
      <w:tr>
        <w:trPr>
          <w:trHeight w:val="270"/>
        </w:trPr>
        <w:tc>
          <w:tcPr>
            <w:tcW w:w="5840" w:type="dxa"/>
            <w:vAlign w:val="bottom"/>
            <w:gridSpan w:val="3"/>
          </w:tcPr>
          <w:p>
            <w:pPr>
              <w:ind w:left="40"/>
              <w:spacing w:after="0"/>
              <w:rPr>
                <w:sz w:val="20"/>
                <w:szCs w:val="20"/>
                <w:color w:val="auto"/>
              </w:rPr>
            </w:pPr>
            <w:r>
              <w:rPr>
                <w:rFonts w:ascii="Arial" w:cs="Arial" w:eastAsia="Arial" w:hAnsi="Arial"/>
                <w:sz w:val="18"/>
                <w:szCs w:val="18"/>
                <w:color w:val="auto"/>
              </w:rPr>
              <w:t>AP Five Property Holding,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New Jersey</w:t>
            </w:r>
          </w:p>
        </w:tc>
        <w:tc>
          <w:tcPr>
            <w:tcW w:w="3640" w:type="dxa"/>
            <w:vAlign w:val="bottom"/>
          </w:tcPr>
          <w:p>
            <w:pPr>
              <w:spacing w:after="0"/>
              <w:rPr>
                <w:sz w:val="23"/>
                <w:szCs w:val="23"/>
                <w:color w:val="auto"/>
              </w:rPr>
            </w:pPr>
          </w:p>
        </w:tc>
      </w:tr>
      <w:tr>
        <w:trPr>
          <w:trHeight w:val="270"/>
        </w:trPr>
        <w:tc>
          <w:tcPr>
            <w:tcW w:w="5840" w:type="dxa"/>
            <w:vAlign w:val="bottom"/>
            <w:gridSpan w:val="3"/>
          </w:tcPr>
          <w:p>
            <w:pPr>
              <w:ind w:left="40"/>
              <w:spacing w:after="0"/>
              <w:rPr>
                <w:sz w:val="20"/>
                <w:szCs w:val="20"/>
                <w:color w:val="auto"/>
              </w:rPr>
            </w:pPr>
            <w:r>
              <w:rPr>
                <w:rFonts w:ascii="Arial" w:cs="Arial" w:eastAsia="Arial" w:hAnsi="Arial"/>
                <w:sz w:val="18"/>
                <w:szCs w:val="18"/>
                <w:color w:val="auto"/>
              </w:rPr>
              <w:t>AP Mortgagee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3"/>
          </w:tcPr>
          <w:p>
            <w:pPr>
              <w:ind w:left="40"/>
              <w:spacing w:after="0"/>
              <w:rPr>
                <w:sz w:val="20"/>
                <w:szCs w:val="20"/>
                <w:color w:val="auto"/>
              </w:rPr>
            </w:pPr>
            <w:r>
              <w:rPr>
                <w:rFonts w:ascii="Arial" w:cs="Arial" w:eastAsia="Arial" w:hAnsi="Arial"/>
                <w:sz w:val="18"/>
                <w:szCs w:val="18"/>
                <w:color w:val="auto"/>
              </w:rPr>
              <w:t>AP Retail Venture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3"/>
          </w:tcPr>
          <w:p>
            <w:pPr>
              <w:ind w:left="40"/>
              <w:spacing w:after="0"/>
              <w:rPr>
                <w:sz w:val="20"/>
                <w:szCs w:val="20"/>
                <w:color w:val="auto"/>
              </w:rPr>
            </w:pPr>
            <w:r>
              <w:rPr>
                <w:rFonts w:ascii="Arial" w:cs="Arial" w:eastAsia="Arial" w:hAnsi="Arial"/>
                <w:sz w:val="18"/>
                <w:szCs w:val="18"/>
                <w:color w:val="auto"/>
              </w:rPr>
              <w:t>AP Ten Property Holding,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New Jersey</w:t>
            </w:r>
          </w:p>
        </w:tc>
        <w:tc>
          <w:tcPr>
            <w:tcW w:w="3640" w:type="dxa"/>
            <w:vAlign w:val="bottom"/>
          </w:tcPr>
          <w:p>
            <w:pPr>
              <w:spacing w:after="0"/>
              <w:rPr>
                <w:sz w:val="23"/>
                <w:szCs w:val="23"/>
                <w:color w:val="auto"/>
              </w:rPr>
            </w:pPr>
          </w:p>
        </w:tc>
      </w:tr>
      <w:tr>
        <w:trPr>
          <w:trHeight w:val="270"/>
        </w:trPr>
        <w:tc>
          <w:tcPr>
            <w:tcW w:w="5840" w:type="dxa"/>
            <w:vAlign w:val="bottom"/>
            <w:gridSpan w:val="3"/>
          </w:tcPr>
          <w:p>
            <w:pPr>
              <w:ind w:left="40"/>
              <w:spacing w:after="0"/>
              <w:rPr>
                <w:sz w:val="20"/>
                <w:szCs w:val="20"/>
                <w:color w:val="auto"/>
              </w:rPr>
            </w:pPr>
            <w:r>
              <w:rPr>
                <w:rFonts w:ascii="Arial" w:cs="Arial" w:eastAsia="Arial" w:hAnsi="Arial"/>
                <w:sz w:val="18"/>
                <w:szCs w:val="18"/>
                <w:color w:val="auto"/>
              </w:rPr>
              <w:t>AP Triangle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Madison Wesley Lake Three LLC</w:t>
            </w:r>
          </w:p>
        </w:tc>
      </w:tr>
      <w:tr>
        <w:trPr>
          <w:trHeight w:val="270"/>
        </w:trPr>
        <w:tc>
          <w:tcPr>
            <w:tcW w:w="5840" w:type="dxa"/>
            <w:vAlign w:val="bottom"/>
            <w:gridSpan w:val="3"/>
          </w:tcPr>
          <w:p>
            <w:pPr>
              <w:ind w:left="40"/>
              <w:spacing w:after="0"/>
              <w:rPr>
                <w:sz w:val="20"/>
                <w:szCs w:val="20"/>
                <w:color w:val="auto"/>
              </w:rPr>
            </w:pPr>
            <w:r>
              <w:rPr>
                <w:rFonts w:ascii="Arial" w:cs="Arial" w:eastAsia="Arial" w:hAnsi="Arial"/>
                <w:sz w:val="18"/>
                <w:szCs w:val="18"/>
                <w:color w:val="auto"/>
              </w:rPr>
              <w:t>AP Wesley Lake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Madison Wesley Lake Two LLC</w:t>
            </w:r>
          </w:p>
        </w:tc>
      </w:tr>
    </w:tbl>
    <w:p>
      <w:pPr>
        <w:sectPr>
          <w:pgSz w:w="11900" w:h="16838" w:orient="portrait"/>
          <w:cols w:equalWidth="0" w:num="1">
            <w:col w:w="11420"/>
          </w:cols>
          <w:pgMar w:left="240" w:top="589" w:right="239" w:bottom="144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6"/>
                <w:szCs w:val="16"/>
                <w:color w:val="auto"/>
              </w:rPr>
            </w:pPr>
          </w:p>
        </w:tc>
        <w:tc>
          <w:tcPr>
            <w:tcW w:w="18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State of Formation</w:t>
            </w:r>
          </w:p>
        </w:tc>
        <w:tc>
          <w:tcPr>
            <w:tcW w:w="120" w:type="dxa"/>
            <w:vAlign w:val="bottom"/>
          </w:tcPr>
          <w:p>
            <w:pPr>
              <w:spacing w:after="0"/>
              <w:rPr>
                <w:sz w:val="16"/>
                <w:szCs w:val="16"/>
                <w:color w:val="auto"/>
              </w:rPr>
            </w:pPr>
          </w:p>
        </w:tc>
        <w:tc>
          <w:tcPr>
            <w:tcW w:w="364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Other Names Used</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Asbury Convention Hall Limited Liability Company</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New Jersey</w:t>
            </w:r>
          </w:p>
        </w:tc>
        <w:tc>
          <w:tcPr>
            <w:tcW w:w="3640" w:type="dxa"/>
            <w:vAlign w:val="bottom"/>
          </w:tcPr>
          <w:p>
            <w:pPr>
              <w:spacing w:after="0"/>
              <w:rPr>
                <w:sz w:val="21"/>
                <w:szCs w:val="21"/>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Asbury Partners,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New Jersey</w:t>
            </w:r>
          </w:p>
        </w:tc>
        <w:tc>
          <w:tcPr>
            <w:tcW w:w="3640" w:type="dxa"/>
            <w:vAlign w:val="bottom"/>
          </w:tcPr>
          <w:p>
            <w:pPr>
              <w:ind w:left="20"/>
              <w:spacing w:after="0"/>
              <w:rPr>
                <w:sz w:val="20"/>
                <w:szCs w:val="20"/>
                <w:color w:val="auto"/>
              </w:rPr>
            </w:pPr>
            <w:r>
              <w:rPr>
                <w:rFonts w:ascii="Arial" w:cs="Arial" w:eastAsia="Arial" w:hAnsi="Arial"/>
                <w:sz w:val="18"/>
                <w:szCs w:val="18"/>
                <w:color w:val="auto"/>
              </w:rPr>
              <w:t>Asbury Shores Community, LLC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12203 East Colonial Drive-Orlando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1360 Greely Chapel Road-Lima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325 Route 17M-Monroe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ASB AR1,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ASB AR2,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ASB FL1,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ASB FL10,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ASB FL2,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ASB FL3,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ASB FL4,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ASB FL5,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ASB FL6,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ASB FL7,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ASB FL8,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ASB FL9,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ASB GA1,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ASB GA2,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ASB GA3,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ASB Holdings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ASB NC1,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ASB NC2,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ASB NC3,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ASB NC4,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ASB TX1 GenPar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ASB TX1 LimPar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ASB TX1 LP</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ASB VA1,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ASB VA2,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CHA NM1,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Finance Falcon I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Finance Falcon II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Finance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ASTAR AF NH1, LLC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FRR FL1,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FRR Holdings,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FRR TX1 GenPar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FRR TX1 LP</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G1A NH1,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Highway 290-North Hempstead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SFI Dallas FC LLC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Hope Street - Los Angeles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ASTAR Los Angeles Honda LLC</w:t>
            </w:r>
          </w:p>
        </w:tc>
      </w:tr>
    </w:tbl>
    <w:p>
      <w:pPr>
        <w:sectPr>
          <w:pgSz w:w="11900" w:h="16838" w:orient="portrait"/>
          <w:cols w:equalWidth="0" w:num="1">
            <w:col w:w="11420"/>
          </w:cols>
          <w:pgMar w:left="240" w:top="589" w:right="23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6"/>
                <w:szCs w:val="16"/>
                <w:color w:val="auto"/>
              </w:rPr>
            </w:pPr>
          </w:p>
        </w:tc>
        <w:tc>
          <w:tcPr>
            <w:tcW w:w="18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State of Formation</w:t>
            </w:r>
          </w:p>
        </w:tc>
        <w:tc>
          <w:tcPr>
            <w:tcW w:w="120" w:type="dxa"/>
            <w:vAlign w:val="bottom"/>
          </w:tcPr>
          <w:p>
            <w:pPr>
              <w:spacing w:after="0"/>
              <w:rPr>
                <w:sz w:val="16"/>
                <w:szCs w:val="16"/>
                <w:color w:val="auto"/>
              </w:rPr>
            </w:pPr>
          </w:p>
        </w:tc>
        <w:tc>
          <w:tcPr>
            <w:tcW w:w="364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Other Names Used</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National City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Falcon 1999-1 Turlock 815015 LLC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Pima Road-Scottsdale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ROU AL1,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ROU LA1,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Route 33 - Hamilton NJ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Spokane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Suncadia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Two Notch Columbia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UAG AZ1,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UAG AZ2,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UAG AZ3,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UAG FL1,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UAG NJ1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West Genesee Street II-Syracuse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ASTAR West Genesee Street I-Syracuse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AutoStar F Funding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iStar MLV Investor LLC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Autostar Investors Partnership LLP</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AutoStar Realty Operating Partnership, L.P.</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Milestone Realty Operating Partnership</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Autostar Realty GP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Bath Site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Belmont Ridge Development Co</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SFI One Madison Park LLC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Bond Portfolio Holdings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Cajun Fish Holdings,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New Jersey</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Campbell Commons-Richardson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Childs Associates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Coney Childs Lender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Coney Entertainment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Coney Island Holdings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Coyote Center Development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CTL I Maryland, Inc.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Entertainment Center Development,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Every Bear Investments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Falcon 2003-1 Columbus 818007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Falcon 2003-1 Dryden 818019</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855 Avenue of the Americas - SFI LLC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Falcon 2003-1 Emporia 818012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Falcon 2003-1 Englewood 818021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Falcon 2003-1 Manteca 818017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Falcon 2003-1 Rimrock 818018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Falcon 2003-1 Seneca 818020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Falcon Auto Dealership Loan Trust 2001-1</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bl>
    <w:p>
      <w:pPr>
        <w:sectPr>
          <w:pgSz w:w="11900" w:h="16838" w:orient="portrait"/>
          <w:cols w:equalWidth="0" w:num="1">
            <w:col w:w="11420"/>
          </w:cols>
          <w:pgMar w:left="240" w:top="589" w:right="23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6"/>
                <w:szCs w:val="16"/>
                <w:color w:val="auto"/>
              </w:rPr>
            </w:pPr>
          </w:p>
        </w:tc>
        <w:tc>
          <w:tcPr>
            <w:tcW w:w="18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State of Formation</w:t>
            </w:r>
          </w:p>
        </w:tc>
        <w:tc>
          <w:tcPr>
            <w:tcW w:w="120" w:type="dxa"/>
            <w:vAlign w:val="bottom"/>
          </w:tcPr>
          <w:p>
            <w:pPr>
              <w:spacing w:after="0"/>
              <w:rPr>
                <w:sz w:val="16"/>
                <w:szCs w:val="16"/>
                <w:color w:val="auto"/>
              </w:rPr>
            </w:pPr>
          </w:p>
        </w:tc>
        <w:tc>
          <w:tcPr>
            <w:tcW w:w="364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Other Names Used</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Falcon Auto Dealership Loan Trust 2003-1</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1"/>
                <w:szCs w:val="21"/>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Falcon Auto Dealership,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Falcon Financial II,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Falcon Franchise Loan Corp.</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Falcon Franchise Loan Trust 1999-1</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Falcon Franchise Loan Trust 2000-1</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Falcon Franchise Loan,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Florida 2005 Theaters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MUVICO Realty, LLC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Freezer Bear Investments,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Highland View Associates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Gold Coast Chicago Acquisition Company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100 Management Inc.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100 Riverview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100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200-300 Management Inc.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200-300 Riverview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200-300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85 10th L/C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Alpha Holdings TRS II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iStar Alpha LLC Holdings TRS II Inc.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Alpha Holdings TRS III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iStar Alpha LLC Holdings TRS III Inc.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Alpha Holdings TRSLLC.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iStar Alpha LLC Holdings TRS Inc.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Alpha TRS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iStar Alpha TRS inc.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Alpha Structured Products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Apartment Holdings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Asset Receivables Trust</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Asset Services, Inc.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Starwood Asset Services, Inc.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Automotive Investments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Bishops Gate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Blues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Bowling Centers I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iStar Fort Collins USGS LLC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Bowling Centers I LP</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Bowling Centers II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Bowling Centers II LP</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Busco Inc.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Columbus Circle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Corporate Collateral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CP Investment Fund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CS Emery Bay North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CS Kicker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CTL I GenPar, Inc.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bl>
    <w:p>
      <w:pPr>
        <w:sectPr>
          <w:pgSz w:w="11900" w:h="16838" w:orient="portrait"/>
          <w:cols w:equalWidth="0" w:num="1">
            <w:col w:w="11420"/>
          </w:cols>
          <w:pgMar w:left="240" w:top="589" w:right="239"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6"/>
                <w:szCs w:val="16"/>
                <w:color w:val="auto"/>
              </w:rPr>
            </w:pPr>
          </w:p>
        </w:tc>
        <w:tc>
          <w:tcPr>
            <w:tcW w:w="18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State of Formation</w:t>
            </w:r>
          </w:p>
        </w:tc>
        <w:tc>
          <w:tcPr>
            <w:tcW w:w="120" w:type="dxa"/>
            <w:vAlign w:val="bottom"/>
          </w:tcPr>
          <w:p>
            <w:pPr>
              <w:spacing w:after="0"/>
              <w:rPr>
                <w:sz w:val="16"/>
                <w:szCs w:val="16"/>
                <w:color w:val="auto"/>
              </w:rPr>
            </w:pPr>
          </w:p>
        </w:tc>
        <w:tc>
          <w:tcPr>
            <w:tcW w:w="364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Other Names Used</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CTL I, L.P.</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1"/>
                <w:szCs w:val="21"/>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CTL RiverEdge Summit-Atlanta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Dallas GL GenPar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Dallas GL LP</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DB Holdco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DB Seller,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DH Holdings TRS Inc.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Cayman Islands</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Diplomat Drive-Farmers Branch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DMI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Financial Protective Trust</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Maryland</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Financial Statutory Trust I</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FM Kicker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FM Loans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FM REO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Harborside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ACRE Chandler, LLC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Harrisburg Business Trust</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Harrisburg GenPar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Harrisburg, L.P.</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HQ I GenPar, Inc.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HQ I, Inc.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HQ I, L.P.</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IF III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Marlin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Madison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iStar Madison TRS Inc.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Merger Co. I</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Starwood Merger Co. I</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Minnesota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Net Lease I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Net Lease Manager I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Net Lease Member I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OHACS TRS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iStar OHACS TRS Inc.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OHAFF TRS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iStar OHAFF TRS Inc.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OHCOF GP TRS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iStar OHCOF GP TRS Inc.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Page Mill Road-Palo Alto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RC Paradise Valley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Real Estate Services, Inc.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Maryland</w:t>
            </w:r>
          </w:p>
        </w:tc>
        <w:tc>
          <w:tcPr>
            <w:tcW w:w="3640" w:type="dxa"/>
            <w:vAlign w:val="bottom"/>
          </w:tcPr>
          <w:p>
            <w:pPr>
              <w:ind w:left="20"/>
              <w:spacing w:after="0"/>
              <w:rPr>
                <w:sz w:val="20"/>
                <w:szCs w:val="20"/>
                <w:color w:val="auto"/>
              </w:rPr>
            </w:pPr>
            <w:r>
              <w:rPr>
                <w:rFonts w:ascii="Arial" w:cs="Arial" w:eastAsia="Arial" w:hAnsi="Arial"/>
                <w:sz w:val="18"/>
                <w:szCs w:val="18"/>
                <w:color w:val="auto"/>
              </w:rPr>
              <w:t>TriNet Property Management, Inc.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REO Holdings TRS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San Jose,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SLC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iStar SLC TRS Inc.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Solo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SPP II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iStar SPP II TRS Inc.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SPP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iStar SPP TRS inc.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Statutory Trust</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bl>
    <w:p>
      <w:pPr>
        <w:sectPr>
          <w:pgSz w:w="11900" w:h="16838" w:orient="portrait"/>
          <w:cols w:equalWidth="0" w:num="1">
            <w:col w:w="11420"/>
          </w:cols>
          <w:pgMar w:left="240" w:top="589" w:right="239"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6"/>
                <w:szCs w:val="16"/>
                <w:color w:val="auto"/>
              </w:rPr>
            </w:pPr>
          </w:p>
        </w:tc>
        <w:tc>
          <w:tcPr>
            <w:tcW w:w="18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State of Formation</w:t>
            </w:r>
          </w:p>
        </w:tc>
        <w:tc>
          <w:tcPr>
            <w:tcW w:w="120" w:type="dxa"/>
            <w:vAlign w:val="bottom"/>
          </w:tcPr>
          <w:p>
            <w:pPr>
              <w:spacing w:after="0"/>
              <w:rPr>
                <w:sz w:val="16"/>
                <w:szCs w:val="16"/>
                <w:color w:val="auto"/>
              </w:rPr>
            </w:pPr>
          </w:p>
        </w:tc>
        <w:tc>
          <w:tcPr>
            <w:tcW w:w="364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Other Names Used</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Sunnyvale Partners, L.P.</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1"/>
                <w:szCs w:val="21"/>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Sunnyvale,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TALF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Tara Holdings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Tara Kickers TRS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Tara REO TRS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Tara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WALH Investor TRS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iStar WALH Investor LLC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iStar Woodward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Jade Eight Properties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Jersey Star GenPar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Jersey Star LP</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Jersey Star LLC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Loft Office Acquisition,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Los Valles Company, L.P.</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Lysol Limited</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Cyprus</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Madison Asbury Retail,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Asbury Park Retail, LLC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MF III Albion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New Jersey</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MN Theaters 2006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Minnesota</w:t>
            </w:r>
          </w:p>
        </w:tc>
        <w:tc>
          <w:tcPr>
            <w:tcW w:w="3640" w:type="dxa"/>
            <w:vAlign w:val="bottom"/>
          </w:tcPr>
          <w:p>
            <w:pPr>
              <w:ind w:left="20"/>
              <w:spacing w:after="0"/>
              <w:rPr>
                <w:sz w:val="20"/>
                <w:szCs w:val="20"/>
                <w:color w:val="auto"/>
              </w:rPr>
            </w:pPr>
            <w:r>
              <w:rPr>
                <w:rFonts w:ascii="Arial" w:cs="Arial" w:eastAsia="Arial" w:hAnsi="Arial"/>
                <w:sz w:val="18"/>
                <w:szCs w:val="18"/>
                <w:color w:val="auto"/>
              </w:rPr>
              <w:t>GAC Theaters LLC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MSK Resort Finance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Naples AW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240 S Pineapple Land - Sarasota LLC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Oakton NLA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One Palm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Paramount Bay Owner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Piscataway Road-Clinton MD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Plaza X Leasing Associates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New Jersey</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Plaza X Realty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New Jersey</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Plaza X Urban Renewal Associates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New Jersey</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Red Lion G.P., Inc.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RLH Partnership, L.P.</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Royal Oaks Lane (Biscayne Landing)-North Miami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SCC Distribution Centers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iStar SCC Distribution Centers LLC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Seaside Park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10 Rittenhouse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1120 Warner-Tempe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10255 East Via Linda LLC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8320 Warner - Tempe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Acquest Holdings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AHBR Falk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Almaden Manager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Ambassador East TRS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Artesia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SFI Artesia Retail LLC</w:t>
            </w:r>
          </w:p>
        </w:tc>
      </w:tr>
    </w:tbl>
    <w:p>
      <w:pPr>
        <w:sectPr>
          <w:pgSz w:w="11900" w:h="16838" w:orient="portrait"/>
          <w:cols w:equalWidth="0" w:num="1">
            <w:col w:w="11420"/>
          </w:cols>
          <w:pgMar w:left="240" w:top="589" w:right="23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6"/>
                <w:szCs w:val="16"/>
                <w:color w:val="auto"/>
              </w:rPr>
            </w:pPr>
          </w:p>
        </w:tc>
        <w:tc>
          <w:tcPr>
            <w:tcW w:w="18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State of Formation</w:t>
            </w:r>
          </w:p>
        </w:tc>
        <w:tc>
          <w:tcPr>
            <w:tcW w:w="120" w:type="dxa"/>
            <w:vAlign w:val="bottom"/>
          </w:tcPr>
          <w:p>
            <w:pPr>
              <w:spacing w:after="0"/>
              <w:rPr>
                <w:sz w:val="16"/>
                <w:szCs w:val="16"/>
                <w:color w:val="auto"/>
              </w:rPr>
            </w:pPr>
          </w:p>
        </w:tc>
        <w:tc>
          <w:tcPr>
            <w:tcW w:w="364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Other Names Used</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Ballpark Village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1"/>
                <w:szCs w:val="21"/>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Belmont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Biscayne Boulevard Acquisitions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BR Villa Luisa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Bridgeview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SFI Harbor View LLC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Bullseye - Chicago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Cascade Highlands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Center Horseheads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Chicago Tollway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SFI Wilton Oases LLC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College Park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Coney Island Manager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CWD Venture Manager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DT Holdings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Eagle Land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Emery Bay Participant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Euro Holdings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Euro Holdings II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Florida Marina Holdings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Harry Bear Manager LLC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FMC - Sanibel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Ford City - Chicago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Ginn Investments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Gold Coast Partner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Golden Hills-Vacaville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Grand Vista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56"/>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Harborspire GenPar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328-342 Washington Blvd-Jersey City</w:t>
            </w:r>
          </w:p>
        </w:tc>
      </w:tr>
      <w:tr>
        <w:trPr>
          <w:trHeight w:val="230"/>
        </w:trPr>
        <w:tc>
          <w:tcPr>
            <w:tcW w:w="5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GenPar LLC</w:t>
            </w:r>
          </w:p>
        </w:tc>
      </w:tr>
      <w:tr>
        <w:trPr>
          <w:trHeight w:val="256"/>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Harborspire LimPar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328-342 Washington Blvd-Jersey City</w:t>
            </w:r>
          </w:p>
        </w:tc>
      </w:tr>
      <w:tr>
        <w:trPr>
          <w:trHeight w:val="230"/>
        </w:trPr>
        <w:tc>
          <w:tcPr>
            <w:tcW w:w="5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LimPar LLC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I,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Ilikai 104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Ilikai GenPar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Ilikai LL Parent Inc.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Ilikai LL Inc.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Ilikai LP</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SFI Ilikai TRS LLC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Ilikai Property Owner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Ilikai Retail Owner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Kapolei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Kauai GenPar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Kauai LP</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SFI Kauai TRS LLC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Kauai Operator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Kauai Owner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Kaupulehu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bl>
    <w:p>
      <w:pPr>
        <w:sectPr>
          <w:pgSz w:w="11900" w:h="16838" w:orient="portrait"/>
          <w:cols w:equalWidth="0" w:num="1">
            <w:col w:w="11420"/>
          </w:cols>
          <w:pgMar w:left="240" w:top="589" w:right="23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6"/>
                <w:szCs w:val="16"/>
                <w:color w:val="auto"/>
              </w:rPr>
            </w:pPr>
          </w:p>
        </w:tc>
        <w:tc>
          <w:tcPr>
            <w:tcW w:w="18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State of Formation</w:t>
            </w:r>
          </w:p>
        </w:tc>
        <w:tc>
          <w:tcPr>
            <w:tcW w:w="120" w:type="dxa"/>
            <w:vAlign w:val="bottom"/>
          </w:tcPr>
          <w:p>
            <w:pPr>
              <w:spacing w:after="0"/>
              <w:rPr>
                <w:sz w:val="16"/>
                <w:szCs w:val="16"/>
                <w:color w:val="auto"/>
              </w:rPr>
            </w:pPr>
          </w:p>
        </w:tc>
        <w:tc>
          <w:tcPr>
            <w:tcW w:w="364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Other Names Used</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Kua 4 Partner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1"/>
                <w:szCs w:val="21"/>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Kukio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Kula 1800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Los Valles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Los Valles REO LLC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Magnolia Avenue-Riverside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SFI Emperor Estates - Riverside County LLC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Mammoth Crossing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SFI West Hills - Riverside County LLC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Mammoth Finance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900 North Point Street-San Francisco LLC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Mammoth GenPar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Mammoth Owner LP</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SFI Mammoth LLC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Marina Investments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Marina Stuart TRS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Marlin Holdings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iStar REO TRS Inc.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MG Investor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Mortgage Funding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Naples Reserve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Net Lease Holdings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One Palm Partner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Palm Tree Farms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56"/>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Palm Tree (St. Lucie)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14951 Royal Oaks (Biscayne Landing)-North</w:t>
            </w:r>
          </w:p>
        </w:tc>
      </w:tr>
      <w:tr>
        <w:trPr>
          <w:trHeight w:val="230"/>
        </w:trPr>
        <w:tc>
          <w:tcPr>
            <w:tcW w:w="5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Miami</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Penn Properties Statutory Trust</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Raintree-Scottsdale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Rittenhouse Statutory Trust</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Savannah Commercial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Savannah Residential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Shadelands-Walnut Creek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50 Adrian Court-Burlingame LLC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SMR LP</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SFI SMR LLC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SMR GenPar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SOHO TRS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Spring Mountain Ranch Phase 1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Sugar Mill Investor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SFI Paramount Bay Owner LLC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Theater Investments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Transitional-Dixmoor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Valley Plaza - North Hollywood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Waipouli TRS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Waipouli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Westgate City Center - Glendale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Windsor-Pembroke Pines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SFI Winkel Way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SFT I, Inc.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bl>
    <w:p>
      <w:pPr>
        <w:sectPr>
          <w:pgSz w:w="11900" w:h="16838" w:orient="portrait"/>
          <w:cols w:equalWidth="0" w:num="1">
            <w:col w:w="11420"/>
          </w:cols>
          <w:pgMar w:left="240" w:top="590" w:right="239"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6"/>
                <w:szCs w:val="16"/>
                <w:color w:val="auto"/>
              </w:rPr>
            </w:pPr>
          </w:p>
        </w:tc>
        <w:tc>
          <w:tcPr>
            <w:tcW w:w="18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State of Formation</w:t>
            </w:r>
          </w:p>
        </w:tc>
        <w:tc>
          <w:tcPr>
            <w:tcW w:w="120" w:type="dxa"/>
            <w:vAlign w:val="bottom"/>
          </w:tcPr>
          <w:p>
            <w:pPr>
              <w:spacing w:after="0"/>
              <w:rPr>
                <w:sz w:val="16"/>
                <w:szCs w:val="16"/>
                <w:color w:val="auto"/>
              </w:rPr>
            </w:pPr>
          </w:p>
        </w:tc>
        <w:tc>
          <w:tcPr>
            <w:tcW w:w="364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Other Names Used</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SFT/RLH, Inc.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1"/>
                <w:szCs w:val="21"/>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Shore Road - Long Beach LP</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w w:val="94"/>
              </w:rPr>
              <w:t>Shore Road - Long Beach Superblock TRS LLC</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Shore Road GenPar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Shore Road-Long Beach Superblock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SMR Phase 1 Joint Venture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Spring Mountain Ranch REO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New Jersey</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State Road 710-Indiantown TRS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State Road 710-Indiantown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Stone Pony Partners,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Sugar MG II,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Sugar Mill Glen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Talking Partners,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New Jersey</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TDM Kua 4,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THCF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New Jersey</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The New Westgate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TimberStar Investors Partnership LLP</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TimberStar Operating Partnership, L.P.</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TimberStar Selling Party Representative Holdco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TimberStar Southwest Investor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TPRJC Owner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New Jersey</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TriNet Essential Facilities XXIII, Inc.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TriNet Essential Facilities XXVI, Inc.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TriNet Essential Facilities XXVII, Inc.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TriNet Sunnyvale Partners, L.P.</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20"/>
              <w:spacing w:after="0"/>
              <w:rPr>
                <w:sz w:val="20"/>
                <w:szCs w:val="20"/>
                <w:color w:val="auto"/>
              </w:rPr>
            </w:pPr>
            <w:r>
              <w:rPr>
                <w:rFonts w:ascii="Arial" w:cs="Arial" w:eastAsia="Arial" w:hAnsi="Arial"/>
                <w:sz w:val="18"/>
                <w:szCs w:val="18"/>
                <w:color w:val="auto"/>
              </w:rPr>
              <w:t>Sunnyvale Partners, L.P.</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TSM I,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TSM II,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Vector Urban Renewal Associates I, L.P.</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New Jersey</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Westgate Investments,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Westgate Signage,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Westgate Sports and Entertainment Group, LLC</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23"/>
                <w:szCs w:val="23"/>
                <w:color w:val="auto"/>
              </w:rPr>
            </w:pPr>
          </w:p>
        </w:tc>
      </w:tr>
    </w:tbl>
    <w:p>
      <w:pPr>
        <w:sectPr>
          <w:pgSz w:w="11900" w:h="16838" w:orient="portrait"/>
          <w:cols w:equalWidth="0" w:num="1">
            <w:col w:w="11420"/>
          </w:cols>
          <w:pgMar w:left="240" w:top="589"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00" w:lineRule="exact"/>
        <w:rPr>
          <w:sz w:val="20"/>
          <w:szCs w:val="20"/>
          <w:color w:val="auto"/>
        </w:rPr>
      </w:pPr>
    </w:p>
    <w:p>
      <w:pPr>
        <w:spacing w:after="0" w:line="229" w:lineRule="exact"/>
        <w:rPr>
          <w:sz w:val="20"/>
          <w:szCs w:val="20"/>
          <w:color w:val="auto"/>
        </w:rPr>
      </w:pPr>
    </w:p>
    <w:p>
      <w:pPr>
        <w:jc w:val="both"/>
        <w:ind w:firstLine="405"/>
        <w:spacing w:after="0" w:line="221" w:lineRule="exact"/>
        <w:rPr>
          <w:sz w:val="20"/>
          <w:szCs w:val="20"/>
          <w:color w:val="auto"/>
        </w:rPr>
      </w:pPr>
      <w:r>
        <w:rPr>
          <w:rFonts w:ascii="Arial" w:cs="Arial" w:eastAsia="Arial" w:hAnsi="Arial"/>
          <w:sz w:val="18"/>
          <w:szCs w:val="18"/>
          <w:color w:val="auto"/>
        </w:rPr>
        <w:t>We hereby consent to the incorporation by reference in the Registration Statements on Form S-3 (No. 333-181470) and Form S-8 (No. 333-183465) of iStar Financial Inc. of our report dated February 28, 2014 relating to the financial statements, financial statement schedules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2014</w:t>
      </w:r>
    </w:p>
    <w:p>
      <w:pPr>
        <w:sectPr>
          <w:pgSz w:w="11900" w:h="16838" w:orient="portrait"/>
          <w:cols w:equalWidth="0" w:num="1">
            <w:col w:w="11420"/>
          </w:cols>
          <w:pgMar w:left="240" w:top="1188"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Exhibit 31.0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Jay Sugarman, certify that:</w:t>
      </w:r>
    </w:p>
    <w:p>
      <w:pPr>
        <w:spacing w:after="0" w:line="171" w:lineRule="exact"/>
        <w:rPr>
          <w:sz w:val="20"/>
          <w:szCs w:val="20"/>
          <w:color w:val="auto"/>
        </w:rPr>
      </w:pPr>
    </w:p>
    <w:p>
      <w:pPr>
        <w:ind w:left="520" w:hanging="188"/>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iStar Financial Inc.;</w:t>
      </w:r>
    </w:p>
    <w:p>
      <w:pPr>
        <w:spacing w:after="0" w:line="171" w:lineRule="exact"/>
        <w:rPr>
          <w:rFonts w:ascii="Arial" w:cs="Arial" w:eastAsia="Arial" w:hAnsi="Arial"/>
          <w:sz w:val="18"/>
          <w:szCs w:val="18"/>
          <w:color w:val="auto"/>
        </w:rPr>
      </w:pPr>
    </w:p>
    <w:p>
      <w:pPr>
        <w:ind w:firstLine="332"/>
        <w:spacing w:after="0" w:line="342" w:lineRule="auto"/>
        <w:tabs>
          <w:tab w:leader="none" w:pos="5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332"/>
        <w:spacing w:after="0" w:line="277" w:lineRule="auto"/>
        <w:tabs>
          <w:tab w:leader="none" w:pos="522"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332"/>
        <w:spacing w:after="0" w:line="264" w:lineRule="auto"/>
        <w:tabs>
          <w:tab w:leader="none" w:pos="53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24"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53"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firstLine="316"/>
        <w:spacing w:after="0" w:line="308" w:lineRule="auto"/>
        <w:tabs>
          <w:tab w:leader="none" w:pos="952" w:val="left"/>
        </w:tabs>
        <w:numPr>
          <w:ilvl w:val="1"/>
          <w:numId w:val="5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340" w:firstLine="316"/>
        <w:spacing w:after="0" w:line="264" w:lineRule="auto"/>
        <w:tabs>
          <w:tab w:leader="none" w:pos="934"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332"/>
        <w:spacing w:after="0" w:line="308" w:lineRule="auto"/>
        <w:tabs>
          <w:tab w:leader="none" w:pos="519"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340" w:firstLine="316"/>
        <w:spacing w:after="0" w:line="277" w:lineRule="auto"/>
        <w:tabs>
          <w:tab w:leader="none" w:pos="919"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20" w:firstLine="316"/>
        <w:spacing w:after="0" w:line="277" w:lineRule="auto"/>
        <w:tabs>
          <w:tab w:leader="none" w:pos="926"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February 28, 2014</w:t>
            </w:r>
          </w:p>
        </w:tc>
        <w:tc>
          <w:tcPr>
            <w:tcW w:w="7560" w:type="dxa"/>
            <w:vAlign w:val="bottom"/>
            <w:gridSpan w:val="3"/>
          </w:tcPr>
          <w:p>
            <w:pPr>
              <w:ind w:left="1900"/>
              <w:spacing w:after="0"/>
              <w:rPr>
                <w:sz w:val="20"/>
                <w:szCs w:val="20"/>
                <w:color w:val="auto"/>
              </w:rPr>
            </w:pPr>
            <w:r>
              <w:rPr>
                <w:rFonts w:ascii="Arial" w:cs="Arial" w:eastAsia="Arial" w:hAnsi="Arial"/>
                <w:sz w:val="18"/>
                <w:szCs w:val="18"/>
                <w:color w:val="auto"/>
              </w:rPr>
              <w:t>By:    /s/ JAY SUGARMAN</w:t>
            </w:r>
          </w:p>
        </w:tc>
      </w:tr>
      <w:tr>
        <w:trPr>
          <w:trHeight w:val="27"/>
        </w:trPr>
        <w:tc>
          <w:tcPr>
            <w:tcW w:w="3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Jay Sugarman</w:t>
            </w:r>
          </w:p>
        </w:tc>
      </w:tr>
      <w:tr>
        <w:trPr>
          <w:trHeight w:val="270"/>
        </w:trPr>
        <w:tc>
          <w:tcPr>
            <w:tcW w:w="38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420"/>
          </w:cols>
          <w:pgMar w:left="240" w:top="202"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DiStaso, certify that:</w:t>
      </w:r>
    </w:p>
    <w:p>
      <w:pPr>
        <w:spacing w:after="0" w:line="171" w:lineRule="exact"/>
        <w:rPr>
          <w:sz w:val="20"/>
          <w:szCs w:val="20"/>
          <w:color w:val="auto"/>
        </w:rPr>
      </w:pPr>
    </w:p>
    <w:p>
      <w:pPr>
        <w:ind w:left="520" w:hanging="188"/>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iStar Financial Inc.;</w:t>
      </w:r>
    </w:p>
    <w:p>
      <w:pPr>
        <w:spacing w:after="0" w:line="171" w:lineRule="exact"/>
        <w:rPr>
          <w:rFonts w:ascii="Arial" w:cs="Arial" w:eastAsia="Arial" w:hAnsi="Arial"/>
          <w:sz w:val="18"/>
          <w:szCs w:val="18"/>
          <w:color w:val="auto"/>
        </w:rPr>
      </w:pPr>
    </w:p>
    <w:p>
      <w:pPr>
        <w:ind w:firstLine="332"/>
        <w:spacing w:after="0" w:line="342" w:lineRule="auto"/>
        <w:tabs>
          <w:tab w:leader="none" w:pos="5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332"/>
        <w:spacing w:after="0" w:line="277" w:lineRule="auto"/>
        <w:tabs>
          <w:tab w:leader="none" w:pos="522"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332"/>
        <w:spacing w:after="0" w:line="264" w:lineRule="auto"/>
        <w:tabs>
          <w:tab w:leader="none" w:pos="53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24"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53"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firstLine="316"/>
        <w:spacing w:after="0" w:line="308" w:lineRule="auto"/>
        <w:tabs>
          <w:tab w:leader="none" w:pos="952" w:val="left"/>
        </w:tabs>
        <w:numPr>
          <w:ilvl w:val="1"/>
          <w:numId w:val="5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340" w:firstLine="316"/>
        <w:spacing w:after="0" w:line="264" w:lineRule="auto"/>
        <w:tabs>
          <w:tab w:leader="none" w:pos="934"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332"/>
        <w:spacing w:after="0" w:line="308" w:lineRule="auto"/>
        <w:tabs>
          <w:tab w:leader="none" w:pos="519"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340" w:firstLine="316"/>
        <w:spacing w:after="0" w:line="277" w:lineRule="auto"/>
        <w:tabs>
          <w:tab w:leader="none" w:pos="919"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20" w:firstLine="316"/>
        <w:spacing w:after="0" w:line="277" w:lineRule="auto"/>
        <w:tabs>
          <w:tab w:leader="none" w:pos="926"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February 28, 2014</w:t>
            </w:r>
          </w:p>
        </w:tc>
        <w:tc>
          <w:tcPr>
            <w:tcW w:w="7560" w:type="dxa"/>
            <w:vAlign w:val="bottom"/>
            <w:gridSpan w:val="3"/>
          </w:tcPr>
          <w:p>
            <w:pPr>
              <w:ind w:left="1900"/>
              <w:spacing w:after="0"/>
              <w:rPr>
                <w:sz w:val="20"/>
                <w:szCs w:val="20"/>
                <w:color w:val="auto"/>
              </w:rPr>
            </w:pPr>
            <w:r>
              <w:rPr>
                <w:rFonts w:ascii="Arial" w:cs="Arial" w:eastAsia="Arial" w:hAnsi="Arial"/>
                <w:sz w:val="18"/>
                <w:szCs w:val="18"/>
                <w:color w:val="auto"/>
              </w:rPr>
              <w:t>By:    /s/ DAVID M. DISTASO</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David M. DiStaso</w:t>
            </w:r>
          </w:p>
        </w:tc>
        <w:tc>
          <w:tcPr>
            <w:tcW w:w="0" w:type="dxa"/>
            <w:vAlign w:val="bottom"/>
          </w:tcPr>
          <w:p>
            <w:pPr>
              <w:spacing w:after="0"/>
              <w:rPr>
                <w:sz w:val="1"/>
                <w:szCs w:val="1"/>
                <w:color w:val="auto"/>
              </w:rPr>
            </w:pPr>
          </w:p>
        </w:tc>
      </w:tr>
      <w:tr>
        <w:trPr>
          <w:trHeight w:val="256"/>
        </w:trPr>
        <w:tc>
          <w:tcPr>
            <w:tcW w:w="382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720" w:type="dxa"/>
            <w:vAlign w:val="bottom"/>
            <w:vMerge w:val="restart"/>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Financial Officer (principal</w:t>
            </w:r>
          </w:p>
        </w:tc>
        <w:tc>
          <w:tcPr>
            <w:tcW w:w="0" w:type="dxa"/>
            <w:vAlign w:val="bottom"/>
          </w:tcPr>
          <w:p>
            <w:pPr>
              <w:spacing w:after="0"/>
              <w:rPr>
                <w:sz w:val="1"/>
                <w:szCs w:val="1"/>
                <w:color w:val="auto"/>
              </w:rPr>
            </w:pPr>
          </w:p>
        </w:tc>
      </w:tr>
      <w:tr>
        <w:trPr>
          <w:trHeight w:val="122"/>
        </w:trPr>
        <w:tc>
          <w:tcPr>
            <w:tcW w:w="38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40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financial and accounting officer)</w:t>
            </w: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02"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undersigned, the Chief Executive Officer of iStar Financial Inc. (the "Company"), hereby certifies on the date hereof, pursuant to 18 U.S.C. 1350, as adopted pursuant to Section 906 of The Sarbanes-Oxley Act of 2002, that the Annual Report on Form 10-K for the year ended December 31, 2013 (the "Form 10-K"), filed concurrently herewith by the Company, fully complies with the requirements of Section 13(a) or 15(d) of the Securities Exchange Act of 1934, as amended, and that the information contained in the Form 10-K fairly presents, in all material respects, the financial condition and results of operations of the Company.</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February 28, 2014</w:t>
            </w:r>
          </w:p>
        </w:tc>
        <w:tc>
          <w:tcPr>
            <w:tcW w:w="7560" w:type="dxa"/>
            <w:vAlign w:val="bottom"/>
            <w:gridSpan w:val="3"/>
          </w:tcPr>
          <w:p>
            <w:pPr>
              <w:ind w:left="1900"/>
              <w:spacing w:after="0"/>
              <w:rPr>
                <w:sz w:val="20"/>
                <w:szCs w:val="20"/>
                <w:color w:val="auto"/>
              </w:rPr>
            </w:pPr>
            <w:r>
              <w:rPr>
                <w:rFonts w:ascii="Arial" w:cs="Arial" w:eastAsia="Arial" w:hAnsi="Arial"/>
                <w:sz w:val="18"/>
                <w:szCs w:val="18"/>
                <w:color w:val="auto"/>
              </w:rPr>
              <w:t>By:    /s/ JAY SUGARMAN</w:t>
            </w:r>
          </w:p>
        </w:tc>
      </w:tr>
      <w:tr>
        <w:trPr>
          <w:trHeight w:val="27"/>
        </w:trPr>
        <w:tc>
          <w:tcPr>
            <w:tcW w:w="3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Jay Sugarman</w:t>
            </w:r>
          </w:p>
        </w:tc>
      </w:tr>
      <w:tr>
        <w:trPr>
          <w:trHeight w:val="270"/>
        </w:trPr>
        <w:tc>
          <w:tcPr>
            <w:tcW w:w="38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420"/>
          </w:cols>
          <w:pgMar w:left="240" w:top="202" w:right="2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undersigned, the principal financial officer of iStar Financial Inc. (the "Company"), hereby certifies on the date hereof, pursuant to 18 U.S.C. 1350, as adopted pursuant to Section 906 of The Sarbanes-Oxley Act of 2002, that the Annual Report on Form 10-K for the year ended December 31, 2013 (the "Form 10-K"), filed concurrently herewith by the Company, fully complies with the requirements of Section 13(a) or 15(d) of the Securities Exchange Act of 1934, as amended, and that the information contained in the Form 10-K fairly presents, in all material respects, the financial condition and results of operations of the Company.</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February 28, 2014</w:t>
            </w:r>
          </w:p>
        </w:tc>
        <w:tc>
          <w:tcPr>
            <w:tcW w:w="7560" w:type="dxa"/>
            <w:vAlign w:val="bottom"/>
            <w:gridSpan w:val="3"/>
          </w:tcPr>
          <w:p>
            <w:pPr>
              <w:ind w:left="1900"/>
              <w:spacing w:after="0"/>
              <w:rPr>
                <w:sz w:val="20"/>
                <w:szCs w:val="20"/>
                <w:color w:val="auto"/>
              </w:rPr>
            </w:pPr>
            <w:r>
              <w:rPr>
                <w:rFonts w:ascii="Arial" w:cs="Arial" w:eastAsia="Arial" w:hAnsi="Arial"/>
                <w:sz w:val="18"/>
                <w:szCs w:val="18"/>
                <w:color w:val="auto"/>
              </w:rPr>
              <w:t>By:    /s/ DAVID M. DISTASO</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David M. DiStaso</w:t>
            </w:r>
          </w:p>
        </w:tc>
        <w:tc>
          <w:tcPr>
            <w:tcW w:w="0" w:type="dxa"/>
            <w:vAlign w:val="bottom"/>
          </w:tcPr>
          <w:p>
            <w:pPr>
              <w:spacing w:after="0"/>
              <w:rPr>
                <w:sz w:val="1"/>
                <w:szCs w:val="1"/>
                <w:color w:val="auto"/>
              </w:rPr>
            </w:pPr>
          </w:p>
        </w:tc>
      </w:tr>
      <w:tr>
        <w:trPr>
          <w:trHeight w:val="256"/>
        </w:trPr>
        <w:tc>
          <w:tcPr>
            <w:tcW w:w="382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720" w:type="dxa"/>
            <w:vAlign w:val="bottom"/>
            <w:vMerge w:val="restart"/>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Financial Officer (principal</w:t>
            </w:r>
          </w:p>
        </w:tc>
        <w:tc>
          <w:tcPr>
            <w:tcW w:w="0" w:type="dxa"/>
            <w:vAlign w:val="bottom"/>
          </w:tcPr>
          <w:p>
            <w:pPr>
              <w:spacing w:after="0"/>
              <w:rPr>
                <w:sz w:val="1"/>
                <w:szCs w:val="1"/>
                <w:color w:val="auto"/>
              </w:rPr>
            </w:pPr>
          </w:p>
        </w:tc>
      </w:tr>
      <w:tr>
        <w:trPr>
          <w:trHeight w:val="122"/>
        </w:trPr>
        <w:tc>
          <w:tcPr>
            <w:tcW w:w="38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40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financial and accounting officer)</w:t>
            </w: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o"/>
      <w:numFmt w:val="bullet"/>
      <w:start w:val="1"/>
    </w:lvl>
  </w:abstractNum>
  <w:abstractNum w:abstractNumId="2">
    <w:nsid w:val="7C3DBD3D"/>
    <w:multiLevelType w:val="hybridMultilevel"/>
    <w:lvl w:ilvl="0">
      <w:lvlJc w:val="left"/>
      <w:lvlText w:val="(%1)"/>
      <w:numFmt w:val="decimal"/>
      <w:start w:val="1"/>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1)"/>
      <w:numFmt w:val="decimal"/>
      <w:start w:val="2"/>
    </w:lvl>
  </w:abstractNum>
  <w:abstractNum w:abstractNumId="6">
    <w:nsid w:val="4516DDE9"/>
    <w:multiLevelType w:val="hybridMultilevel"/>
    <w:lvl w:ilvl="0">
      <w:lvlJc w:val="left"/>
      <w:lvlText w:val="(%1)"/>
      <w:numFmt w:val="decimal"/>
      <w:start w:val="1"/>
    </w:lvl>
  </w:abstractNum>
  <w:abstractNum w:abstractNumId="7">
    <w:nsid w:val="3006C83E"/>
    <w:multiLevelType w:val="hybridMultilevel"/>
    <w:lvl w:ilvl="0">
      <w:lvlJc w:val="left"/>
      <w:lvlText w:val="(%1)"/>
      <w:numFmt w:val="decimal"/>
      <w:start w:val="1"/>
    </w:lvl>
  </w:abstractNum>
  <w:abstractNum w:abstractNumId="8">
    <w:nsid w:val="614FD4A1"/>
    <w:multiLevelType w:val="hybridMultilevel"/>
    <w:lvl w:ilvl="0">
      <w:lvlJc w:val="left"/>
      <w:lvlText w:val="(%1)"/>
      <w:numFmt w:val="decimal"/>
      <w:start w:val="1"/>
    </w:lvl>
  </w:abstractNum>
  <w:abstractNum w:abstractNumId="9">
    <w:nsid w:val="419AC241"/>
    <w:multiLevelType w:val="hybridMultilevel"/>
    <w:lvl w:ilvl="0">
      <w:lvlJc w:val="left"/>
      <w:lvlText w:val="(%1)"/>
      <w:numFmt w:val="decimal"/>
      <w:start w:val="1"/>
    </w:lvl>
  </w:abstractNum>
  <w:abstractNum w:abstractNumId="10">
    <w:nsid w:val="5577F8E1"/>
    <w:multiLevelType w:val="hybridMultilevel"/>
    <w:lvl w:ilvl="0">
      <w:lvlJc w:val="left"/>
      <w:lvlText w:val="(%1)"/>
      <w:numFmt w:val="decimal"/>
      <w:start w:val="1"/>
    </w:lvl>
  </w:abstractNum>
  <w:abstractNum w:abstractNumId="11">
    <w:nsid w:val="440BADFC"/>
    <w:multiLevelType w:val="hybridMultilevel"/>
    <w:lvl w:ilvl="0">
      <w:lvlJc w:val="left"/>
      <w:lvlText w:val="(%1)"/>
      <w:numFmt w:val="decimal"/>
      <w:start w:val="1"/>
    </w:lvl>
  </w:abstractNum>
  <w:abstractNum w:abstractNumId="12">
    <w:nsid w:val="5072367"/>
    <w:multiLevelType w:val="hybridMultilevel"/>
    <w:lvl w:ilvl="0">
      <w:lvlJc w:val="left"/>
      <w:lvlText w:val="(%1)"/>
      <w:numFmt w:val="decimal"/>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1)"/>
      <w:numFmt w:val="decimal"/>
      <w:start w:val="1"/>
    </w:lvl>
  </w:abstractNum>
  <w:abstractNum w:abstractNumId="15">
    <w:nsid w:val="7724C67E"/>
    <w:multiLevelType w:val="hybridMultilevel"/>
    <w:lvl w:ilvl="0">
      <w:lvlJc w:val="left"/>
      <w:lvlText w:val="(%1)"/>
      <w:numFmt w:val="decimal"/>
      <w:start w:val="1"/>
    </w:lvl>
  </w:abstractNum>
  <w:abstractNum w:abstractNumId="16">
    <w:nsid w:val="5C482A97"/>
    <w:multiLevelType w:val="hybridMultilevel"/>
    <w:lvl w:ilvl="0">
      <w:lvlJc w:val="left"/>
      <w:lvlText w:val="(%1)"/>
      <w:numFmt w:val="decimal"/>
      <w:start w:val="1"/>
    </w:lvl>
  </w:abstractNum>
  <w:abstractNum w:abstractNumId="17">
    <w:nsid w:val="2463B9EA"/>
    <w:multiLevelType w:val="hybridMultilevel"/>
    <w:lvl w:ilvl="0">
      <w:lvlJc w:val="left"/>
      <w:lvlText w:val="(%1)"/>
      <w:numFmt w:val="decimal"/>
      <w:start w:val="1"/>
    </w:lvl>
  </w:abstractNum>
  <w:abstractNum w:abstractNumId="18">
    <w:nsid w:val="5E884ADC"/>
    <w:multiLevelType w:val="hybridMultilevel"/>
    <w:lvl w:ilvl="0">
      <w:lvlJc w:val="left"/>
      <w:lvlText w:val="(%1)"/>
      <w:numFmt w:val="decimal"/>
      <w:start w:val="1"/>
    </w:lvl>
  </w:abstractNum>
  <w:abstractNum w:abstractNumId="19">
    <w:nsid w:val="51EAD36B"/>
    <w:multiLevelType w:val="hybridMultilevel"/>
    <w:lvl w:ilvl="0">
      <w:lvlJc w:val="left"/>
      <w:lvlText w:val="(%1)"/>
      <w:numFmt w:val="decimal"/>
      <w:start w:val="1"/>
    </w:lvl>
  </w:abstractNum>
  <w:abstractNum w:abstractNumId="20">
    <w:nsid w:val="2D517796"/>
    <w:multiLevelType w:val="hybridMultilevel"/>
    <w:lvl w:ilvl="0">
      <w:lvlJc w:val="left"/>
      <w:lvlText w:val="(%1)"/>
      <w:numFmt w:val="decimal"/>
      <w:start w:val="1"/>
    </w:lvl>
  </w:abstractNum>
  <w:abstractNum w:abstractNumId="21">
    <w:nsid w:val="580BD78F"/>
    <w:multiLevelType w:val="hybridMultilevel"/>
    <w:lvl w:ilvl="0">
      <w:lvlJc w:val="left"/>
      <w:lvlText w:val="(%1)"/>
      <w:numFmt w:val="decimal"/>
      <w:start w:val="1"/>
    </w:lvl>
  </w:abstractNum>
  <w:abstractNum w:abstractNumId="22">
    <w:nsid w:val="153EA438"/>
    <w:multiLevelType w:val="hybridMultilevel"/>
    <w:lvl w:ilvl="0">
      <w:lvlJc w:val="left"/>
      <w:lvlText w:val="(%1)"/>
      <w:numFmt w:val="decimal"/>
      <w:start w:val="1"/>
    </w:lvl>
  </w:abstractNum>
  <w:abstractNum w:abstractNumId="23">
    <w:nsid w:val="3855585C"/>
    <w:multiLevelType w:val="hybridMultilevel"/>
    <w:lvl w:ilvl="0">
      <w:lvlJc w:val="left"/>
      <w:lvlText w:val="(%1)"/>
      <w:numFmt w:val="decimal"/>
      <w:start w:val="1"/>
    </w:lvl>
  </w:abstractNum>
  <w:abstractNum w:abstractNumId="24">
    <w:nsid w:val="70A64E2A"/>
    <w:multiLevelType w:val="hybridMultilevel"/>
    <w:lvl w:ilvl="0">
      <w:lvlJc w:val="left"/>
      <w:lvlText w:val="(%1)"/>
      <w:numFmt w:val="decimal"/>
      <w:start w:val="1"/>
    </w:lvl>
  </w:abstractNum>
  <w:abstractNum w:abstractNumId="25">
    <w:nsid w:val="6A2342EC"/>
    <w:multiLevelType w:val="hybridMultilevel"/>
    <w:lvl w:ilvl="0">
      <w:lvlJc w:val="left"/>
      <w:lvlText w:val="(%1)"/>
      <w:numFmt w:val="decimal"/>
      <w:start w:val="2"/>
    </w:lvl>
  </w:abstractNum>
  <w:abstractNum w:abstractNumId="26">
    <w:nsid w:val="2A487CB0"/>
    <w:multiLevelType w:val="hybridMultilevel"/>
    <w:lvl w:ilvl="0">
      <w:lvlJc w:val="left"/>
      <w:lvlText w:val="(%1)"/>
      <w:numFmt w:val="decimal"/>
      <w:start w:val="1"/>
    </w:lvl>
  </w:abstractNum>
  <w:abstractNum w:abstractNumId="27">
    <w:nsid w:val="1D4ED43B"/>
    <w:multiLevelType w:val="hybridMultilevel"/>
    <w:lvl w:ilvl="0">
      <w:lvlJc w:val="left"/>
      <w:lvlText w:val="(%1)"/>
      <w:numFmt w:val="decimal"/>
      <w:start w:val="1"/>
    </w:lvl>
  </w:abstractNum>
  <w:abstractNum w:abstractNumId="28">
    <w:nsid w:val="725A06FB"/>
    <w:multiLevelType w:val="hybridMultilevel"/>
    <w:lvl w:ilvl="0">
      <w:lvlJc w:val="left"/>
      <w:lvlText w:val="(%1)"/>
      <w:numFmt w:val="decimal"/>
      <w:start w:val="1"/>
    </w:lvl>
  </w:abstractNum>
  <w:abstractNum w:abstractNumId="29">
    <w:nsid w:val="2CD89A32"/>
    <w:multiLevelType w:val="hybridMultilevel"/>
    <w:lvl w:ilvl="0">
      <w:lvlJc w:val="left"/>
      <w:lvlText w:val="(%1)"/>
      <w:numFmt w:val="decimal"/>
      <w:start w:val="1"/>
    </w:lvl>
  </w:abstractNum>
  <w:abstractNum w:abstractNumId="30">
    <w:nsid w:val="57E4CCAF"/>
    <w:multiLevelType w:val="hybridMultilevel"/>
    <w:lvl w:ilvl="0">
      <w:lvlJc w:val="left"/>
      <w:lvlText w:val="(%1)"/>
      <w:numFmt w:val="decimal"/>
      <w:start w:val="1"/>
    </w:lvl>
  </w:abstractNum>
  <w:abstractNum w:abstractNumId="31">
    <w:nsid w:val="7A6D8D3C"/>
    <w:multiLevelType w:val="hybridMultilevel"/>
    <w:lvl w:ilvl="0">
      <w:lvlJc w:val="left"/>
      <w:lvlText w:val="(%1)"/>
      <w:numFmt w:val="decimal"/>
      <w:start w:val="1"/>
    </w:lvl>
  </w:abstractNum>
  <w:abstractNum w:abstractNumId="32">
    <w:nsid w:val="4B588F54"/>
    <w:multiLevelType w:val="hybridMultilevel"/>
    <w:lvl w:ilvl="0">
      <w:lvlJc w:val="left"/>
      <w:lvlText w:val="(%1)"/>
      <w:numFmt w:val="decimal"/>
      <w:start w:val="1"/>
    </w:lvl>
  </w:abstractNum>
  <w:abstractNum w:abstractNumId="33">
    <w:nsid w:val="542289EC"/>
    <w:multiLevelType w:val="hybridMultilevel"/>
    <w:lvl w:ilvl="0">
      <w:lvlJc w:val="left"/>
      <w:lvlText w:val="(%1)"/>
      <w:numFmt w:val="decimal"/>
      <w:start w:val="1"/>
    </w:lvl>
  </w:abstractNum>
  <w:abstractNum w:abstractNumId="34">
    <w:nsid w:val="6DE91B18"/>
    <w:multiLevelType w:val="hybridMultilevel"/>
    <w:lvl w:ilvl="0">
      <w:lvlJc w:val="left"/>
      <w:lvlText w:val="(%1)"/>
      <w:numFmt w:val="decimal"/>
      <w:start w:val="1"/>
    </w:lvl>
  </w:abstractNum>
  <w:abstractNum w:abstractNumId="35">
    <w:nsid w:val="38437FDB"/>
    <w:multiLevelType w:val="hybridMultilevel"/>
    <w:lvl w:ilvl="0">
      <w:lvlJc w:val="left"/>
      <w:lvlText w:val="(%1)"/>
      <w:numFmt w:val="decimal"/>
      <w:start w:val="1"/>
    </w:lvl>
  </w:abstractNum>
  <w:abstractNum w:abstractNumId="36">
    <w:nsid w:val="7644A45C"/>
    <w:multiLevelType w:val="hybridMultilevel"/>
    <w:lvl w:ilvl="0">
      <w:lvlJc w:val="left"/>
      <w:lvlText w:val="(%1)"/>
      <w:numFmt w:val="decimal"/>
      <w:start w:val="1"/>
    </w:lvl>
  </w:abstractNum>
  <w:abstractNum w:abstractNumId="37">
    <w:nsid w:val="32FFF902"/>
    <w:multiLevelType w:val="hybridMultilevel"/>
    <w:lvl w:ilvl="0">
      <w:lvlJc w:val="left"/>
      <w:lvlText w:val="(%1)"/>
      <w:numFmt w:val="decimal"/>
      <w:start w:val="1"/>
    </w:lvl>
  </w:abstractNum>
  <w:abstractNum w:abstractNumId="38">
    <w:nsid w:val="684A481A"/>
    <w:multiLevelType w:val="hybridMultilevel"/>
    <w:lvl w:ilvl="0">
      <w:lvlJc w:val="left"/>
      <w:lvlText w:val="(%1)"/>
      <w:numFmt w:val="decimal"/>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1)"/>
      <w:numFmt w:val="decimal"/>
      <w:start w:val="1"/>
    </w:lvl>
  </w:abstractNum>
  <w:abstractNum w:abstractNumId="41">
    <w:nsid w:val="3DC240FB"/>
    <w:multiLevelType w:val="hybridMultilevel"/>
    <w:lvl w:ilvl="0">
      <w:lvlJc w:val="left"/>
      <w:lvlText w:val="(%1)"/>
      <w:numFmt w:val="decimal"/>
      <w:start w:val="1"/>
    </w:lvl>
  </w:abstractNum>
  <w:abstractNum w:abstractNumId="42">
    <w:nsid w:val="1BA026FA"/>
    <w:multiLevelType w:val="hybridMultilevel"/>
    <w:lvl w:ilvl="0">
      <w:lvlJc w:val="left"/>
      <w:lvlText w:val="(%1)"/>
      <w:numFmt w:val="decimal"/>
      <w:start w:val="5"/>
    </w:lvl>
  </w:abstractNum>
  <w:abstractNum w:abstractNumId="43">
    <w:nsid w:val="79A1DEAA"/>
    <w:multiLevelType w:val="hybridMultilevel"/>
    <w:lvl w:ilvl="0">
      <w:lvlJc w:val="left"/>
      <w:lvlText w:val="(%1)"/>
      <w:numFmt w:val="decimal"/>
      <w:start w:val="1"/>
    </w:lvl>
  </w:abstractNum>
  <w:abstractNum w:abstractNumId="44">
    <w:nsid w:val="75C6C33A"/>
    <w:multiLevelType w:val="hybridMultilevel"/>
    <w:lvl w:ilvl="0">
      <w:lvlJc w:val="left"/>
      <w:lvlText w:val="(%1)"/>
      <w:numFmt w:val="decimal"/>
      <w:start w:val="1"/>
    </w:lvl>
  </w:abstractNum>
  <w:abstractNum w:abstractNumId="45">
    <w:nsid w:val="12E685FB"/>
    <w:multiLevelType w:val="hybridMultilevel"/>
    <w:lvl w:ilvl="0">
      <w:lvlJc w:val="left"/>
      <w:lvlText w:val="(%1)"/>
      <w:numFmt w:val="decimal"/>
      <w:start w:val="1"/>
    </w:lvl>
  </w:abstractNum>
  <w:abstractNum w:abstractNumId="46">
    <w:nsid w:val="70C6A529"/>
    <w:multiLevelType w:val="hybridMultilevel"/>
    <w:lvl w:ilvl="0">
      <w:lvlJc w:val="left"/>
      <w:lvlText w:val="%1."/>
      <w:numFmt w:val="decimal"/>
      <w:start w:val="1"/>
    </w:lvl>
  </w:abstractNum>
  <w:abstractNum w:abstractNumId="47">
    <w:nsid w:val="520EEDD1"/>
    <w:multiLevelType w:val="hybridMultilevel"/>
    <w:lvl w:ilvl="0">
      <w:lvlJc w:val="left"/>
      <w:lvlText w:val="%1."/>
      <w:numFmt w:val="decimal"/>
      <w:start w:val="2"/>
    </w:lvl>
  </w:abstractNum>
  <w:abstractNum w:abstractNumId="48">
    <w:nsid w:val="374A3FE6"/>
    <w:multiLevelType w:val="hybridMultilevel"/>
    <w:lvl w:ilvl="0">
      <w:lvlJc w:val="left"/>
      <w:lvlText w:val="(%1)"/>
      <w:numFmt w:val="decimal"/>
      <w:start w:val="1"/>
    </w:lvl>
  </w:abstractNum>
  <w:abstractNum w:abstractNumId="49">
    <w:nsid w:val="4F4EF005"/>
    <w:multiLevelType w:val="hybridMultilevel"/>
    <w:lvl w:ilvl="0">
      <w:lvlJc w:val="left"/>
      <w:lvlText w:val="(%1)"/>
      <w:numFmt w:val="decimal"/>
      <w:start w:val="1"/>
    </w:lvl>
  </w:abstractNum>
  <w:abstractNum w:abstractNumId="50">
    <w:nsid w:val="23F9C13C"/>
    <w:multiLevelType w:val="hybridMultilevel"/>
    <w:lvl w:ilvl="0">
      <w:lvlJc w:val="left"/>
      <w:lvlText w:val="(%1)"/>
      <w:numFmt w:val="lowerLetter"/>
      <w:start w:val="1"/>
    </w:lvl>
  </w:abstractNum>
  <w:abstractNum w:abstractNumId="51">
    <w:nsid w:val="649BB77C"/>
    <w:multiLevelType w:val="hybridMultilevel"/>
    <w:lvl w:ilvl="0">
      <w:lvlJc w:val="left"/>
      <w:lvlText w:val="%1"/>
      <w:numFmt w:val="decimal"/>
      <w:start w:val="100"/>
    </w:lvl>
  </w:abstractNum>
  <w:abstractNum w:abstractNumId="52">
    <w:nsid w:val="275AC794"/>
    <w:multiLevelType w:val="hybridMultilevel"/>
    <w:lvl w:ilvl="0">
      <w:lvlJc w:val="left"/>
      <w:lvlText w:val="(%1)"/>
      <w:numFmt w:val="decimal"/>
      <w:start w:val="1"/>
    </w:lvl>
  </w:abstractNum>
  <w:abstractNum w:abstractNumId="53">
    <w:nsid w:val="39386575"/>
    <w:multiLevelType w:val="hybridMultilevel"/>
    <w:lvl w:ilvl="0">
      <w:lvlJc w:val="left"/>
      <w:lvlText w:val="(%1)"/>
      <w:numFmt w:val="decimal"/>
      <w:start w:val="5"/>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1)"/>
      <w:numFmt w:val="decimal"/>
      <w:start w:val="1"/>
    </w:lvl>
  </w:abstractNum>
  <w:abstractNum w:abstractNumId="56">
    <w:nsid w:val="235BA861"/>
    <w:multiLevelType w:val="hybridMultilevel"/>
    <w:lvl w:ilvl="0">
      <w:lvlJc w:val="left"/>
      <w:lvlText w:val="(%1)"/>
      <w:numFmt w:val="decimal"/>
      <w:start w:val="1"/>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2019-12-06T23:06:25Z</dcterms:created>
  <dcterms:modified xsi:type="dcterms:W3CDTF">2019-12-06T23:06:25Z</dcterms:modified>
</cp:coreProperties>
</file>