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17"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2600" w:right="1840" w:hanging="850"/>
        <w:spacing w:after="0" w:line="256" w:lineRule="auto"/>
        <w:tabs>
          <w:tab w:leader="none" w:pos="2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2600" w:right="1820" w:hanging="809"/>
        <w:spacing w:after="0" w:line="256" w:lineRule="auto"/>
        <w:tabs>
          <w:tab w:leader="none" w:pos="26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5620" w:type="dxa"/>
            <w:vAlign w:val="bottom"/>
          </w:tcPr>
          <w:p>
            <w:pPr>
              <w:ind w:left="2680"/>
              <w:spacing w:after="0"/>
              <w:rPr>
                <w:sz w:val="20"/>
                <w:szCs w:val="20"/>
                <w:color w:val="auto"/>
              </w:rPr>
            </w:pPr>
            <w:r>
              <w:rPr>
                <w:rFonts w:ascii="Arial" w:cs="Arial" w:eastAsia="Arial" w:hAnsi="Arial"/>
                <w:sz w:val="18"/>
                <w:szCs w:val="18"/>
                <w:b w:val="1"/>
                <w:bCs w:val="1"/>
                <w:color w:val="auto"/>
              </w:rPr>
              <w:t>For the transition period from</w:t>
            </w:r>
          </w:p>
        </w:tc>
        <w:tc>
          <w:tcPr>
            <w:tcW w:w="2680" w:type="dxa"/>
            <w:vAlign w:val="bottom"/>
          </w:tcPr>
          <w:p>
            <w:pPr>
              <w:spacing w:after="0"/>
              <w:rPr>
                <w:sz w:val="20"/>
                <w:szCs w:val="20"/>
                <w:color w:val="auto"/>
              </w:rPr>
            </w:pPr>
            <w:r>
              <w:rPr>
                <w:rFonts w:ascii="Arial" w:cs="Arial" w:eastAsia="Arial" w:hAnsi="Arial"/>
                <w:sz w:val="18"/>
                <w:szCs w:val="18"/>
                <w:b w:val="1"/>
                <w:bCs w:val="1"/>
                <w:color w:val="auto"/>
              </w:rPr>
              <w:t>to</w:t>
            </w:r>
          </w:p>
        </w:tc>
      </w:tr>
      <w:tr>
        <w:trPr>
          <w:trHeight w:val="378"/>
        </w:trPr>
        <w:tc>
          <w:tcPr>
            <w:tcW w:w="5620" w:type="dxa"/>
            <w:vAlign w:val="bottom"/>
          </w:tcPr>
          <w:p>
            <w:pPr>
              <w:jc w:val="center"/>
              <w:ind w:left="3285"/>
              <w:spacing w:after="0"/>
              <w:rPr>
                <w:sz w:val="20"/>
                <w:szCs w:val="20"/>
                <w:color w:val="auto"/>
              </w:rPr>
            </w:pPr>
            <w:r>
              <w:rPr>
                <w:rFonts w:ascii="Arial" w:cs="Arial" w:eastAsia="Arial" w:hAnsi="Arial"/>
                <w:sz w:val="18"/>
                <w:szCs w:val="18"/>
                <w:b w:val="1"/>
                <w:bCs w:val="1"/>
                <w:color w:val="auto"/>
                <w:w w:val="89"/>
              </w:rPr>
              <w:t>Commission File No. 1-15371</w:t>
            </w:r>
          </w:p>
        </w:tc>
        <w:tc>
          <w:tcPr>
            <w:tcW w:w="2680" w:type="dxa"/>
            <w:vAlign w:val="bottom"/>
          </w:tcPr>
          <w:p>
            <w:pPr>
              <w:spacing w:after="0"/>
              <w:rPr>
                <w:sz w:val="24"/>
                <w:szCs w:val="24"/>
                <w:color w:val="auto"/>
              </w:rPr>
            </w:pPr>
          </w:p>
        </w:tc>
      </w:tr>
      <w:tr>
        <w:trPr>
          <w:trHeight w:val="299"/>
        </w:trPr>
        <w:tc>
          <w:tcPr>
            <w:tcW w:w="8300" w:type="dxa"/>
            <w:vAlign w:val="bottom"/>
            <w:gridSpan w:val="2"/>
          </w:tcPr>
          <w:p>
            <w:pPr>
              <w:jc w:val="center"/>
              <w:ind w:left="605"/>
              <w:spacing w:after="0"/>
              <w:rPr>
                <w:sz w:val="20"/>
                <w:szCs w:val="20"/>
                <w:color w:val="auto"/>
              </w:rPr>
            </w:pPr>
            <w:r>
              <w:rPr>
                <w:rFonts w:ascii="Arial" w:cs="Arial" w:eastAsia="Arial" w:hAnsi="Arial"/>
                <w:sz w:val="14"/>
                <w:szCs w:val="14"/>
                <w:color w:val="auto"/>
                <w:w w:val="92"/>
              </w:rPr>
              <w:t>_______________________________________________________________________________</w:t>
            </w:r>
          </w:p>
        </w:tc>
      </w:tr>
      <w:tr>
        <w:trPr>
          <w:trHeight w:val="497"/>
        </w:trPr>
        <w:tc>
          <w:tcPr>
            <w:tcW w:w="5620" w:type="dxa"/>
            <w:vAlign w:val="bottom"/>
          </w:tcPr>
          <w:p>
            <w:pPr>
              <w:jc w:val="center"/>
              <w:ind w:left="3265"/>
              <w:spacing w:after="0"/>
              <w:rPr>
                <w:sz w:val="20"/>
                <w:szCs w:val="20"/>
                <w:color w:val="auto"/>
              </w:rPr>
            </w:pPr>
            <w:r>
              <w:rPr>
                <w:rFonts w:ascii="Arial" w:cs="Arial" w:eastAsia="Arial" w:hAnsi="Arial"/>
                <w:sz w:val="32"/>
                <w:szCs w:val="32"/>
                <w:b w:val="1"/>
                <w:bCs w:val="1"/>
                <w:color w:val="auto"/>
                <w:w w:val="96"/>
              </w:rPr>
              <w:t>iStar Inc.</w:t>
            </w:r>
          </w:p>
        </w:tc>
        <w:tc>
          <w:tcPr>
            <w:tcW w:w="2680" w:type="dxa"/>
            <w:vAlign w:val="bottom"/>
          </w:tcPr>
          <w:p>
            <w:pPr>
              <w:spacing w:after="0"/>
              <w:rPr>
                <w:sz w:val="24"/>
                <w:szCs w:val="24"/>
                <w:color w:val="auto"/>
              </w:rPr>
            </w:pPr>
          </w:p>
        </w:tc>
      </w:tr>
      <w:tr>
        <w:trPr>
          <w:trHeight w:val="230"/>
        </w:trPr>
        <w:tc>
          <w:tcPr>
            <w:tcW w:w="8300" w:type="dxa"/>
            <w:vAlign w:val="bottom"/>
            <w:gridSpan w:val="2"/>
          </w:tcPr>
          <w:p>
            <w:pPr>
              <w:jc w:val="center"/>
              <w:ind w:left="605"/>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99"/>
        </w:trPr>
        <w:tc>
          <w:tcPr>
            <w:tcW w:w="5620" w:type="dxa"/>
            <w:vAlign w:val="bottom"/>
          </w:tcPr>
          <w:p>
            <w:pPr>
              <w:jc w:val="center"/>
              <w:ind w:right="2465"/>
              <w:spacing w:after="0"/>
              <w:rPr>
                <w:sz w:val="20"/>
                <w:szCs w:val="20"/>
                <w:color w:val="auto"/>
              </w:rPr>
            </w:pPr>
            <w:r>
              <w:rPr>
                <w:rFonts w:ascii="Arial" w:cs="Arial" w:eastAsia="Arial" w:hAnsi="Arial"/>
                <w:sz w:val="18"/>
                <w:szCs w:val="18"/>
                <w:b w:val="1"/>
                <w:bCs w:val="1"/>
                <w:color w:val="auto"/>
                <w:w w:val="98"/>
              </w:rPr>
              <w:t>Maryland</w:t>
            </w:r>
          </w:p>
        </w:tc>
        <w:tc>
          <w:tcPr>
            <w:tcW w:w="2680" w:type="dxa"/>
            <w:vAlign w:val="bottom"/>
          </w:tcPr>
          <w:p>
            <w:pPr>
              <w:jc w:val="right"/>
              <w:ind w:right="310"/>
              <w:spacing w:after="0"/>
              <w:rPr>
                <w:sz w:val="20"/>
                <w:szCs w:val="20"/>
                <w:color w:val="auto"/>
              </w:rPr>
            </w:pPr>
            <w:r>
              <w:rPr>
                <w:rFonts w:ascii="Arial" w:cs="Arial" w:eastAsia="Arial" w:hAnsi="Arial"/>
                <w:sz w:val="18"/>
                <w:szCs w:val="18"/>
                <w:b w:val="1"/>
                <w:bCs w:val="1"/>
                <w:color w:val="auto"/>
              </w:rPr>
              <w:t>95-6881527</w:t>
            </w:r>
          </w:p>
        </w:tc>
      </w:tr>
      <w:tr>
        <w:trPr>
          <w:trHeight w:val="216"/>
        </w:trPr>
        <w:tc>
          <w:tcPr>
            <w:tcW w:w="5620" w:type="dxa"/>
            <w:vAlign w:val="bottom"/>
          </w:tcPr>
          <w:p>
            <w:pPr>
              <w:jc w:val="center"/>
              <w:ind w:right="2465"/>
              <w:spacing w:after="0"/>
              <w:rPr>
                <w:sz w:val="20"/>
                <w:szCs w:val="20"/>
                <w:color w:val="auto"/>
              </w:rPr>
            </w:pPr>
            <w:r>
              <w:rPr>
                <w:rFonts w:ascii="Arial" w:cs="Arial" w:eastAsia="Arial" w:hAnsi="Arial"/>
                <w:sz w:val="18"/>
                <w:szCs w:val="18"/>
                <w:color w:val="auto"/>
                <w:w w:val="93"/>
              </w:rPr>
              <w:t>(State or other jurisdiction of</w:t>
            </w:r>
          </w:p>
        </w:tc>
        <w:tc>
          <w:tcPr>
            <w:tcW w:w="2680" w:type="dxa"/>
            <w:vAlign w:val="bottom"/>
          </w:tcPr>
          <w:p>
            <w:pPr>
              <w:jc w:val="center"/>
              <w:ind w:left="930"/>
              <w:spacing w:after="0"/>
              <w:rPr>
                <w:sz w:val="20"/>
                <w:szCs w:val="20"/>
                <w:color w:val="auto"/>
              </w:rPr>
            </w:pPr>
            <w:r>
              <w:rPr>
                <w:rFonts w:ascii="Arial" w:cs="Arial" w:eastAsia="Arial" w:hAnsi="Arial"/>
                <w:sz w:val="18"/>
                <w:szCs w:val="18"/>
                <w:color w:val="auto"/>
                <w:w w:val="92"/>
              </w:rPr>
              <w:t>(I.R.S. Employer</w:t>
            </w:r>
          </w:p>
        </w:tc>
      </w:tr>
      <w:tr>
        <w:trPr>
          <w:trHeight w:val="230"/>
        </w:trPr>
        <w:tc>
          <w:tcPr>
            <w:tcW w:w="5620" w:type="dxa"/>
            <w:vAlign w:val="bottom"/>
          </w:tcPr>
          <w:p>
            <w:pPr>
              <w:jc w:val="center"/>
              <w:ind w:right="2465"/>
              <w:spacing w:after="0"/>
              <w:rPr>
                <w:sz w:val="20"/>
                <w:szCs w:val="20"/>
                <w:color w:val="auto"/>
              </w:rPr>
            </w:pPr>
            <w:r>
              <w:rPr>
                <w:rFonts w:ascii="Arial" w:cs="Arial" w:eastAsia="Arial" w:hAnsi="Arial"/>
                <w:sz w:val="18"/>
                <w:szCs w:val="18"/>
                <w:color w:val="auto"/>
                <w:w w:val="93"/>
              </w:rPr>
              <w:t>incorporation or organization)</w:t>
            </w:r>
          </w:p>
        </w:tc>
        <w:tc>
          <w:tcPr>
            <w:tcW w:w="2680" w:type="dxa"/>
            <w:vAlign w:val="bottom"/>
          </w:tcPr>
          <w:p>
            <w:pPr>
              <w:jc w:val="center"/>
              <w:ind w:left="930"/>
              <w:spacing w:after="0"/>
              <w:rPr>
                <w:sz w:val="20"/>
                <w:szCs w:val="20"/>
                <w:color w:val="auto"/>
              </w:rPr>
            </w:pPr>
            <w:r>
              <w:rPr>
                <w:rFonts w:ascii="Arial" w:cs="Arial" w:eastAsia="Arial" w:hAnsi="Arial"/>
                <w:sz w:val="18"/>
                <w:szCs w:val="18"/>
                <w:color w:val="auto"/>
                <w:w w:val="94"/>
              </w:rPr>
              <w:t>Identification Number)</w:t>
            </w:r>
          </w:p>
        </w:tc>
      </w:tr>
      <w:tr>
        <w:trPr>
          <w:trHeight w:val="270"/>
        </w:trPr>
        <w:tc>
          <w:tcPr>
            <w:tcW w:w="5620" w:type="dxa"/>
            <w:vAlign w:val="bottom"/>
          </w:tcPr>
          <w:p>
            <w:pPr>
              <w:jc w:val="center"/>
              <w:ind w:right="2465"/>
              <w:spacing w:after="0"/>
              <w:rPr>
                <w:sz w:val="20"/>
                <w:szCs w:val="20"/>
                <w:color w:val="auto"/>
              </w:rPr>
            </w:pPr>
            <w:r>
              <w:rPr>
                <w:rFonts w:ascii="Arial" w:cs="Arial" w:eastAsia="Arial" w:hAnsi="Arial"/>
                <w:sz w:val="18"/>
                <w:szCs w:val="18"/>
                <w:b w:val="1"/>
                <w:bCs w:val="1"/>
                <w:color w:val="auto"/>
                <w:w w:val="89"/>
              </w:rPr>
              <w:t>1114 Avenue of the Americas, 39</w:t>
            </w:r>
            <w:r>
              <w:rPr>
                <w:rFonts w:ascii="Arial" w:cs="Arial" w:eastAsia="Arial" w:hAnsi="Arial"/>
                <w:sz w:val="14"/>
                <w:szCs w:val="14"/>
                <w:b w:val="1"/>
                <w:bCs w:val="1"/>
                <w:color w:val="auto"/>
                <w:w w:val="89"/>
              </w:rPr>
              <w:t>th</w:t>
            </w:r>
            <w:r>
              <w:rPr>
                <w:rFonts w:ascii="Arial" w:cs="Arial" w:eastAsia="Arial" w:hAnsi="Arial"/>
                <w:sz w:val="18"/>
                <w:szCs w:val="18"/>
                <w:b w:val="1"/>
                <w:bCs w:val="1"/>
                <w:color w:val="auto"/>
                <w:w w:val="89"/>
              </w:rPr>
              <w:t xml:space="preserve"> Floor</w:t>
            </w:r>
          </w:p>
        </w:tc>
        <w:tc>
          <w:tcPr>
            <w:tcW w:w="2680" w:type="dxa"/>
            <w:vAlign w:val="bottom"/>
          </w:tcPr>
          <w:p>
            <w:pPr>
              <w:spacing w:after="0"/>
              <w:rPr>
                <w:sz w:val="23"/>
                <w:szCs w:val="23"/>
                <w:color w:val="auto"/>
              </w:rPr>
            </w:pPr>
          </w:p>
        </w:tc>
      </w:tr>
      <w:tr>
        <w:trPr>
          <w:trHeight w:val="256"/>
        </w:trPr>
        <w:tc>
          <w:tcPr>
            <w:tcW w:w="5620" w:type="dxa"/>
            <w:vAlign w:val="bottom"/>
          </w:tcPr>
          <w:p>
            <w:pPr>
              <w:jc w:val="center"/>
              <w:ind w:right="2465"/>
              <w:spacing w:after="0"/>
              <w:rPr>
                <w:sz w:val="20"/>
                <w:szCs w:val="20"/>
                <w:color w:val="auto"/>
              </w:rPr>
            </w:pPr>
            <w:r>
              <w:rPr>
                <w:rFonts w:ascii="Arial" w:cs="Arial" w:eastAsia="Arial" w:hAnsi="Arial"/>
                <w:sz w:val="18"/>
                <w:szCs w:val="18"/>
                <w:b w:val="1"/>
                <w:bCs w:val="1"/>
                <w:color w:val="auto"/>
                <w:w w:val="93"/>
              </w:rPr>
              <w:t>New York, NY</w:t>
            </w:r>
          </w:p>
        </w:tc>
        <w:tc>
          <w:tcPr>
            <w:tcW w:w="2680" w:type="dxa"/>
            <w:vAlign w:val="bottom"/>
          </w:tcPr>
          <w:p>
            <w:pPr>
              <w:jc w:val="right"/>
              <w:ind w:right="510"/>
              <w:spacing w:after="0"/>
              <w:rPr>
                <w:sz w:val="20"/>
                <w:szCs w:val="20"/>
                <w:color w:val="auto"/>
              </w:rPr>
            </w:pPr>
            <w:r>
              <w:rPr>
                <w:rFonts w:ascii="Arial" w:cs="Arial" w:eastAsia="Arial" w:hAnsi="Arial"/>
                <w:sz w:val="18"/>
                <w:szCs w:val="18"/>
                <w:b w:val="1"/>
                <w:bCs w:val="1"/>
                <w:color w:val="auto"/>
              </w:rPr>
              <w:t>10036</w:t>
            </w:r>
          </w:p>
        </w:tc>
      </w:tr>
      <w:tr>
        <w:trPr>
          <w:trHeight w:val="230"/>
        </w:trPr>
        <w:tc>
          <w:tcPr>
            <w:tcW w:w="5620" w:type="dxa"/>
            <w:vAlign w:val="bottom"/>
          </w:tcPr>
          <w:p>
            <w:pPr>
              <w:jc w:val="center"/>
              <w:ind w:right="2465"/>
              <w:spacing w:after="0"/>
              <w:rPr>
                <w:sz w:val="20"/>
                <w:szCs w:val="20"/>
                <w:color w:val="auto"/>
              </w:rPr>
            </w:pPr>
            <w:r>
              <w:rPr>
                <w:rFonts w:ascii="Arial" w:cs="Arial" w:eastAsia="Arial" w:hAnsi="Arial"/>
                <w:sz w:val="18"/>
                <w:szCs w:val="18"/>
                <w:color w:val="auto"/>
                <w:w w:val="92"/>
              </w:rPr>
              <w:t>(Address of principal executive offices)</w:t>
            </w:r>
          </w:p>
        </w:tc>
        <w:tc>
          <w:tcPr>
            <w:tcW w:w="2680" w:type="dxa"/>
            <w:vAlign w:val="bottom"/>
          </w:tcPr>
          <w:p>
            <w:pPr>
              <w:jc w:val="center"/>
              <w:ind w:left="910"/>
              <w:spacing w:after="0"/>
              <w:rPr>
                <w:sz w:val="20"/>
                <w:szCs w:val="20"/>
                <w:color w:val="auto"/>
              </w:rPr>
            </w:pPr>
            <w:r>
              <w:rPr>
                <w:rFonts w:ascii="Arial" w:cs="Arial" w:eastAsia="Arial" w:hAnsi="Arial"/>
                <w:sz w:val="18"/>
                <w:szCs w:val="18"/>
                <w:color w:val="auto"/>
                <w:w w:val="93"/>
              </w:rPr>
              <w:t>(Zip code)</w:t>
            </w: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63"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22"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sectPr>
      </w:pPr>
    </w:p>
    <w:p>
      <w:pPr>
        <w:spacing w:after="0" w:line="259" w:lineRule="exact"/>
        <w:rPr>
          <w:sz w:val="24"/>
          <w:szCs w:val="24"/>
          <w:color w:val="auto"/>
        </w:rPr>
      </w:pPr>
    </w:p>
    <w:p>
      <w:pPr>
        <w:ind w:left="4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68" w:lineRule="exact"/>
        <w:rPr>
          <w:sz w:val="24"/>
          <w:szCs w:val="24"/>
          <w:color w:val="auto"/>
        </w:rPr>
      </w:pPr>
    </w:p>
    <w:p>
      <w:pPr>
        <w:sectPr>
          <w:pgSz w:w="11900" w:h="16838" w:orient="portrait"/>
          <w:cols w:equalWidth="0" w:num="4">
            <w:col w:w="2700" w:space="720"/>
            <w:col w:w="1800" w:space="720"/>
            <w:col w:w="2120" w:space="720"/>
            <w:col w:w="2640"/>
          </w:cols>
          <w:pgMar w:left="240" w:top="229" w:right="239" w:bottom="1440" w:gutter="0" w:footer="0" w:header="0"/>
          <w:type w:val="continuous"/>
        </w:sectPr>
      </w:pPr>
    </w:p>
    <w:p>
      <w:pPr>
        <w:ind w:left="6280"/>
        <w:spacing w:after="0"/>
        <w:rPr>
          <w:sz w:val="20"/>
          <w:szCs w:val="20"/>
          <w:color w:val="auto"/>
        </w:rPr>
      </w:pPr>
      <w:r>
        <w:rPr>
          <w:rFonts w:ascii="Arial" w:cs="Arial" w:eastAsia="Arial" w:hAnsi="Arial"/>
          <w:sz w:val="14"/>
          <w:szCs w:val="14"/>
          <w:color w:val="auto"/>
        </w:rPr>
        <w:t>(Do not check if a</w:t>
      </w:r>
    </w:p>
    <w:p>
      <w:pPr>
        <w:spacing w:after="0" w:line="21" w:lineRule="exact"/>
        <w:rPr>
          <w:sz w:val="24"/>
          <w:szCs w:val="24"/>
          <w:color w:val="auto"/>
        </w:rPr>
      </w:pPr>
    </w:p>
    <w:p>
      <w:pPr>
        <w:ind w:left="5960"/>
        <w:spacing w:after="0"/>
        <w:rPr>
          <w:sz w:val="20"/>
          <w:szCs w:val="20"/>
          <w:color w:val="auto"/>
        </w:rPr>
      </w:pPr>
      <w:r>
        <w:rPr>
          <w:rFonts w:ascii="Arial" w:cs="Arial" w:eastAsia="Arial" w:hAnsi="Arial"/>
          <w:sz w:val="13"/>
          <w:szCs w:val="13"/>
          <w:color w:val="auto"/>
        </w:rPr>
        <w:t>smaller reporting company)</w:t>
      </w:r>
    </w:p>
    <w:p>
      <w:pPr>
        <w:sectPr>
          <w:pgSz w:w="11900" w:h="16838" w:orient="portrait"/>
          <w:cols w:equalWidth="0" w:num="1">
            <w:col w:w="11420"/>
          </w:cols>
          <w:pgMar w:left="240" w:top="229" w:right="239" w:bottom="1440" w:gutter="0" w:footer="0" w:header="0"/>
          <w:type w:val="continuous"/>
        </w:sectPr>
      </w:pPr>
    </w:p>
    <w:p>
      <w:pPr>
        <w:spacing w:after="0" w:line="15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1" w:lineRule="exact"/>
        <w:rPr>
          <w:sz w:val="24"/>
          <w:szCs w:val="24"/>
          <w:color w:val="auto"/>
        </w:rPr>
      </w:pPr>
    </w:p>
    <w:p>
      <w:pPr>
        <w:sectPr>
          <w:pgSz w:w="11900" w:h="16838" w:orient="portrait"/>
          <w:cols w:equalWidth="0" w:num="2">
            <w:col w:w="8300" w:space="180"/>
            <w:col w:w="2940"/>
          </w:cols>
          <w:pgMar w:left="240" w:top="229" w:right="239" w:bottom="1440" w:gutter="0" w:footer="0" w:header="0"/>
          <w:type w:val="continuous"/>
        </w:sectPr>
      </w:pPr>
    </w:p>
    <w:p>
      <w:pPr>
        <w:spacing w:after="0" w:line="102" w:lineRule="exact"/>
        <w:rPr>
          <w:sz w:val="24"/>
          <w:szCs w:val="24"/>
          <w:color w:val="auto"/>
        </w:rPr>
      </w:pPr>
    </w:p>
    <w:p>
      <w:pPr>
        <w:ind w:left="420"/>
        <w:spacing w:after="0"/>
        <w:rPr>
          <w:sz w:val="20"/>
          <w:szCs w:val="20"/>
          <w:color w:val="auto"/>
        </w:rPr>
      </w:pPr>
      <w:r>
        <w:rPr>
          <w:rFonts w:ascii="Arial" w:cs="Arial" w:eastAsia="Arial" w:hAnsi="Arial"/>
          <w:sz w:val="16"/>
          <w:szCs w:val="16"/>
          <w:color w:val="auto"/>
        </w:rPr>
        <w:t>As of August 2, 2016, there were 71,176,421 shares, $0.001 par value per share, of iStar Inc.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77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640" w:type="dxa"/>
            <w:vAlign w:val="bottom"/>
            <w:gridSpan w:val="4"/>
          </w:tcPr>
          <w:p>
            <w:pPr>
              <w:spacing w:after="0" w:line="170"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520" w:type="dxa"/>
            <w:vAlign w:val="bottom"/>
          </w:tcPr>
          <w:p>
            <w:pPr>
              <w:spacing w:after="0"/>
              <w:rPr>
                <w:sz w:val="16"/>
                <w:szCs w:val="16"/>
                <w:color w:val="auto"/>
              </w:rPr>
            </w:pPr>
          </w:p>
        </w:tc>
        <w:tc>
          <w:tcPr>
            <w:tcW w:w="4000" w:type="dxa"/>
            <w:vAlign w:val="bottom"/>
            <w:gridSpan w:val="10"/>
          </w:tcPr>
          <w:p>
            <w:pPr>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Information</w:t>
              </w:r>
            </w:hyperlink>
          </w:p>
        </w:tc>
        <w:tc>
          <w:tcPr>
            <w:tcW w:w="5540" w:type="dxa"/>
            <w:vAlign w:val="bottom"/>
            <w:gridSpan w:val="8"/>
          </w:tcPr>
          <w:p>
            <w:pPr>
              <w:spacing w:after="0"/>
              <w:rPr>
                <w:sz w:val="16"/>
                <w:szCs w:val="16"/>
                <w:color w:val="auto"/>
              </w:rPr>
            </w:pPr>
          </w:p>
        </w:tc>
        <w:tc>
          <w:tcPr>
            <w:tcW w:w="660" w:type="dxa"/>
            <w:vAlign w:val="bottom"/>
            <w:gridSpan w:val="4"/>
          </w:tcPr>
          <w:p>
            <w:pPr>
              <w:jc w:val="right"/>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gridSpan w:val="2"/>
            <w:shd w:val="clear" w:color="auto" w:fill="0000EE"/>
          </w:tcPr>
          <w:p>
            <w:pPr>
              <w:spacing w:after="0"/>
              <w:rPr>
                <w:sz w:val="2"/>
                <w:szCs w:val="2"/>
                <w:color w:val="auto"/>
              </w:rPr>
            </w:pPr>
          </w:p>
        </w:tc>
        <w:tc>
          <w:tcPr>
            <w:tcW w:w="520" w:type="dxa"/>
            <w:vAlign w:val="bottom"/>
            <w:tcBorders>
              <w:right w:val="single" w:sz="8" w:color="0000EE"/>
            </w:tcBorders>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700" w:type="dxa"/>
            <w:vAlign w:val="bottom"/>
            <w:gridSpan w:val="2"/>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520" w:type="dxa"/>
            <w:vAlign w:val="bottom"/>
          </w:tcPr>
          <w:p>
            <w:pPr>
              <w:spacing w:after="0"/>
              <w:rPr>
                <w:sz w:val="22"/>
                <w:szCs w:val="22"/>
                <w:color w:val="auto"/>
              </w:rPr>
            </w:pPr>
          </w:p>
        </w:tc>
        <w:tc>
          <w:tcPr>
            <w:tcW w:w="400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540" w:type="dxa"/>
            <w:vAlign w:val="bottom"/>
            <w:gridSpan w:val="8"/>
          </w:tcPr>
          <w:p>
            <w:pPr>
              <w:spacing w:after="0"/>
              <w:rPr>
                <w:sz w:val="22"/>
                <w:szCs w:val="22"/>
                <w:color w:val="auto"/>
              </w:rPr>
            </w:pPr>
          </w:p>
        </w:tc>
        <w:tc>
          <w:tcPr>
            <w:tcW w:w="6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160" w:type="dxa"/>
            <w:vAlign w:val="bottom"/>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June 30, 2016 (unaudited) and December 31, 2015</w:t>
              </w:r>
            </w:hyperlink>
          </w:p>
        </w:tc>
        <w:tc>
          <w:tcPr>
            <w:tcW w:w="3380" w:type="dxa"/>
            <w:vAlign w:val="bottom"/>
            <w:gridSpan w:val="6"/>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(unaudited)—For the three and six months ended June 30, 2016 and 2015</w:t>
              </w:r>
            </w:hyperlink>
          </w:p>
        </w:tc>
        <w:tc>
          <w:tcPr>
            <w:tcW w:w="66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Statements of Comprehensive Income (Loss) (unaudited)—For the three and six months ended June 30, 2016 and</w:t>
              </w:r>
            </w:hyperlink>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2015</w:t>
              </w:r>
            </w:hyperlink>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gridSpan w:val="4"/>
            <w:vMerge w:val="restart"/>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540" w:type="dxa"/>
            <w:vAlign w:val="bottom"/>
            <w:gridSpan w:val="18"/>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Changes in Equity (unaudited)—For the six months ended June 30, 2016 and 2015</w:t>
              </w:r>
            </w:hyperlink>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8"/>
            <w:vMerge w:val="continue"/>
          </w:tcPr>
          <w:p>
            <w:pPr>
              <w:spacing w:after="0"/>
              <w:rPr>
                <w:sz w:val="21"/>
                <w:szCs w:val="21"/>
                <w:color w:val="auto"/>
              </w:rPr>
            </w:pPr>
          </w:p>
        </w:tc>
        <w:tc>
          <w:tcPr>
            <w:tcW w:w="560" w:type="dxa"/>
            <w:vAlign w:val="bottom"/>
            <w:gridSpan w:val="2"/>
            <w:vMerge w:val="restart"/>
          </w:tcPr>
          <w:p>
            <w:pPr>
              <w:spacing w:after="0"/>
              <w:rPr>
                <w:sz w:val="21"/>
                <w:szCs w:val="21"/>
                <w:color w:val="auto"/>
              </w:rPr>
            </w:pPr>
          </w:p>
        </w:tc>
        <w:tc>
          <w:tcPr>
            <w:tcW w:w="100" w:type="dxa"/>
            <w:vAlign w:val="bottom"/>
            <w:gridSpan w:val="2"/>
            <w:vMerge w:val="restart"/>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00" w:type="dxa"/>
            <w:vAlign w:val="bottom"/>
            <w:tcBorders>
              <w:bottom w:val="single" w:sz="8" w:color="0000EE"/>
            </w:tcBorders>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(unaudited)—For the six months ended June 30, 2016 and 2015</w:t>
              </w:r>
            </w:hyperlink>
          </w:p>
        </w:tc>
        <w:tc>
          <w:tcPr>
            <w:tcW w:w="660" w:type="dxa"/>
            <w:vAlign w:val="bottom"/>
            <w:gridSpan w:val="4"/>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80" w:type="dxa"/>
            <w:vAlign w:val="bottom"/>
            <w:gridSpan w:val="1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2060" w:type="dxa"/>
            <w:vAlign w:val="bottom"/>
            <w:gridSpan w:val="4"/>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sz w:val="20"/>
                <w:szCs w:val="20"/>
                <w:color w:val="auto"/>
              </w:rPr>
            </w:pPr>
            <w:r>
              <w:rPr>
                <w:rFonts w:ascii="Arial" w:cs="Arial" w:eastAsia="Arial" w:hAnsi="Arial"/>
                <w:sz w:val="18"/>
                <w:szCs w:val="18"/>
                <w:color w:val="0000EE"/>
                <w:w w:val="90"/>
              </w:rPr>
              <w:t>Item 2.</w:t>
            </w:r>
          </w:p>
        </w:tc>
        <w:tc>
          <w:tcPr>
            <w:tcW w:w="640" w:type="dxa"/>
            <w:vAlign w:val="bottom"/>
            <w:gridSpan w:val="3"/>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660" w:type="dxa"/>
            <w:vAlign w:val="bottom"/>
            <w:gridSpan w:val="4"/>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080" w:type="dxa"/>
            <w:vAlign w:val="bottom"/>
            <w:tcBorders>
              <w:left w:val="single" w:sz="8" w:color="0000EE"/>
            </w:tcBorders>
            <w:gridSpan w:val="2"/>
            <w:shd w:val="clear" w:color="auto" w:fill="0000EE"/>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3.</w:t>
              </w:r>
            </w:hyperlink>
          </w:p>
        </w:tc>
        <w:tc>
          <w:tcPr>
            <w:tcW w:w="640" w:type="dxa"/>
            <w:vAlign w:val="bottom"/>
            <w:gridSpan w:val="3"/>
          </w:tcPr>
          <w:p>
            <w:pPr>
              <w:spacing w:after="0"/>
              <w:rPr>
                <w:sz w:val="21"/>
                <w:szCs w:val="21"/>
                <w:color w:val="auto"/>
              </w:rPr>
            </w:pPr>
          </w:p>
        </w:tc>
        <w:tc>
          <w:tcPr>
            <w:tcW w:w="4340" w:type="dxa"/>
            <w:vAlign w:val="bottom"/>
            <w:gridSpan w:val="11"/>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Quantitative and Qualitative Disclosures About Market Risk</w:t>
              </w:r>
            </w:hyperlink>
          </w:p>
        </w:tc>
        <w:tc>
          <w:tcPr>
            <w:tcW w:w="2080" w:type="dxa"/>
            <w:vAlign w:val="bottom"/>
            <w:gridSpan w:val="2"/>
          </w:tcPr>
          <w:p>
            <w:pPr>
              <w:spacing w:after="0"/>
              <w:rPr>
                <w:sz w:val="21"/>
                <w:szCs w:val="21"/>
                <w:color w:val="auto"/>
              </w:rPr>
            </w:pPr>
          </w:p>
        </w:tc>
        <w:tc>
          <w:tcPr>
            <w:tcW w:w="3120" w:type="dxa"/>
            <w:vAlign w:val="bottom"/>
            <w:gridSpan w:val="5"/>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200" w:type="dxa"/>
            <w:vAlign w:val="bottom"/>
            <w:tcBorders>
              <w:left w:val="single" w:sz="8" w:color="0000EE"/>
            </w:tcBorders>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4.</w:t>
              </w:r>
            </w:hyperlink>
          </w:p>
        </w:tc>
        <w:tc>
          <w:tcPr>
            <w:tcW w:w="640" w:type="dxa"/>
            <w:vAlign w:val="bottom"/>
            <w:gridSpan w:val="3"/>
          </w:tcPr>
          <w:p>
            <w:pPr>
              <w:spacing w:after="0"/>
              <w:rPr>
                <w:sz w:val="21"/>
                <w:szCs w:val="21"/>
                <w:color w:val="auto"/>
              </w:rPr>
            </w:pPr>
          </w:p>
        </w:tc>
        <w:tc>
          <w:tcPr>
            <w:tcW w:w="4340" w:type="dxa"/>
            <w:vAlign w:val="bottom"/>
            <w:gridSpan w:val="11"/>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Controls and Procedures</w:t>
              </w:r>
            </w:hyperlink>
          </w:p>
        </w:tc>
        <w:tc>
          <w:tcPr>
            <w:tcW w:w="5200" w:type="dxa"/>
            <w:vAlign w:val="bottom"/>
            <w:gridSpan w:val="7"/>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b w:val="1"/>
                <w:bCs w:val="1"/>
                <w:color w:val="0000EE"/>
                <w:w w:val="93"/>
              </w:rPr>
            </w:pPr>
            <w:hyperlink w:anchor="page54">
              <w:r>
                <w:rPr>
                  <w:rFonts w:ascii="Arial" w:cs="Arial" w:eastAsia="Arial" w:hAnsi="Arial"/>
                  <w:sz w:val="18"/>
                  <w:szCs w:val="18"/>
                  <w:b w:val="1"/>
                  <w:bCs w:val="1"/>
                  <w:color w:val="0000EE"/>
                  <w:w w:val="93"/>
                </w:rPr>
                <w:t>PART II</w:t>
              </w:r>
            </w:hyperlink>
          </w:p>
        </w:tc>
        <w:tc>
          <w:tcPr>
            <w:tcW w:w="520" w:type="dxa"/>
            <w:vAlign w:val="bottom"/>
          </w:tcPr>
          <w:p>
            <w:pPr>
              <w:spacing w:after="0"/>
              <w:rPr>
                <w:sz w:val="21"/>
                <w:szCs w:val="21"/>
                <w:color w:val="auto"/>
              </w:rPr>
            </w:pPr>
          </w:p>
        </w:tc>
        <w:tc>
          <w:tcPr>
            <w:tcW w:w="1300" w:type="dxa"/>
            <w:vAlign w:val="bottom"/>
            <w:gridSpan w:val="4"/>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Other Information</w:t>
              </w:r>
            </w:hyperlink>
          </w:p>
        </w:tc>
        <w:tc>
          <w:tcPr>
            <w:tcW w:w="8240" w:type="dxa"/>
            <w:vAlign w:val="bottom"/>
            <w:gridSpan w:val="14"/>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Item 1.</w:t>
              </w:r>
            </w:hyperlink>
          </w:p>
        </w:tc>
        <w:tc>
          <w:tcPr>
            <w:tcW w:w="12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5"/>
          </w:tcPr>
          <w:p>
            <w:pPr>
              <w:spacing w:after="0"/>
              <w:rPr>
                <w:rFonts w:ascii="Arial" w:cs="Arial" w:eastAsia="Arial" w:hAnsi="Arial"/>
                <w:sz w:val="18"/>
                <w:szCs w:val="18"/>
                <w:color w:val="0000EE"/>
                <w:w w:val="87"/>
              </w:rPr>
            </w:pPr>
            <w:hyperlink w:anchor="page54">
              <w:r>
                <w:rPr>
                  <w:rFonts w:ascii="Arial" w:cs="Arial" w:eastAsia="Arial" w:hAnsi="Arial"/>
                  <w:sz w:val="18"/>
                  <w:szCs w:val="18"/>
                  <w:color w:val="0000EE"/>
                  <w:w w:val="87"/>
                </w:rPr>
                <w:t>Legal Proceedings</w:t>
              </w:r>
            </w:hyperlink>
          </w:p>
        </w:tc>
        <w:tc>
          <w:tcPr>
            <w:tcW w:w="8220" w:type="dxa"/>
            <w:vAlign w:val="bottom"/>
            <w:gridSpan w:val="13"/>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Item 1A.</w:t>
              </w:r>
            </w:hyperlink>
          </w:p>
        </w:tc>
        <w:tc>
          <w:tcPr>
            <w:tcW w:w="520" w:type="dxa"/>
            <w:vAlign w:val="bottom"/>
          </w:tcPr>
          <w:p>
            <w:pPr>
              <w:spacing w:after="0"/>
              <w:rPr>
                <w:sz w:val="21"/>
                <w:szCs w:val="21"/>
                <w:color w:val="auto"/>
              </w:rPr>
            </w:pPr>
          </w:p>
        </w:tc>
        <w:tc>
          <w:tcPr>
            <w:tcW w:w="9540" w:type="dxa"/>
            <w:vAlign w:val="bottom"/>
            <w:gridSpan w:val="1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Risk Factors</w:t>
              </w:r>
            </w:hyperlink>
          </w:p>
        </w:tc>
        <w:tc>
          <w:tcPr>
            <w:tcW w:w="66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Item 2.</w:t>
              </w:r>
            </w:hyperlink>
          </w:p>
        </w:tc>
        <w:tc>
          <w:tcPr>
            <w:tcW w:w="12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4340" w:type="dxa"/>
            <w:vAlign w:val="bottom"/>
            <w:gridSpan w:val="11"/>
          </w:tcPr>
          <w:p>
            <w:pPr>
              <w:spacing w:after="0"/>
              <w:rPr>
                <w:rFonts w:ascii="Arial" w:cs="Arial" w:eastAsia="Arial" w:hAnsi="Arial"/>
                <w:sz w:val="18"/>
                <w:szCs w:val="18"/>
                <w:color w:val="0000EE"/>
                <w:w w:val="88"/>
              </w:rPr>
            </w:pPr>
            <w:hyperlink w:anchor="page55">
              <w:r>
                <w:rPr>
                  <w:rFonts w:ascii="Arial" w:cs="Arial" w:eastAsia="Arial" w:hAnsi="Arial"/>
                  <w:sz w:val="18"/>
                  <w:szCs w:val="18"/>
                  <w:color w:val="0000EE"/>
                  <w:w w:val="88"/>
                </w:rPr>
                <w:t>Unregistered Sales of Equity Securities and Use of Proceeds</w:t>
              </w:r>
            </w:hyperlink>
          </w:p>
        </w:tc>
        <w:tc>
          <w:tcPr>
            <w:tcW w:w="5200" w:type="dxa"/>
            <w:vAlign w:val="bottom"/>
            <w:gridSpan w:val="7"/>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Item 3.</w:t>
              </w:r>
            </w:hyperlink>
          </w:p>
        </w:tc>
        <w:tc>
          <w:tcPr>
            <w:tcW w:w="640" w:type="dxa"/>
            <w:vAlign w:val="bottom"/>
            <w:gridSpan w:val="3"/>
          </w:tcPr>
          <w:p>
            <w:pPr>
              <w:spacing w:after="0"/>
              <w:rPr>
                <w:sz w:val="21"/>
                <w:szCs w:val="21"/>
                <w:color w:val="auto"/>
              </w:rPr>
            </w:pPr>
          </w:p>
        </w:tc>
        <w:tc>
          <w:tcPr>
            <w:tcW w:w="4340" w:type="dxa"/>
            <w:vAlign w:val="bottom"/>
            <w:gridSpan w:val="11"/>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Defaults Upon Senior Securities</w:t>
              </w:r>
            </w:hyperlink>
          </w:p>
        </w:tc>
        <w:tc>
          <w:tcPr>
            <w:tcW w:w="5200" w:type="dxa"/>
            <w:vAlign w:val="bottom"/>
            <w:gridSpan w:val="7"/>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Item 4.</w:t>
              </w:r>
            </w:hyperlink>
          </w:p>
        </w:tc>
        <w:tc>
          <w:tcPr>
            <w:tcW w:w="640" w:type="dxa"/>
            <w:vAlign w:val="bottom"/>
            <w:gridSpan w:val="3"/>
          </w:tcPr>
          <w:p>
            <w:pPr>
              <w:spacing w:after="0"/>
              <w:rPr>
                <w:sz w:val="21"/>
                <w:szCs w:val="21"/>
                <w:color w:val="auto"/>
              </w:rPr>
            </w:pPr>
          </w:p>
        </w:tc>
        <w:tc>
          <w:tcPr>
            <w:tcW w:w="1760" w:type="dxa"/>
            <w:vAlign w:val="bottom"/>
            <w:gridSpan w:val="7"/>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Mine Safety Disclosures</w:t>
              </w:r>
            </w:hyperlink>
          </w:p>
        </w:tc>
        <w:tc>
          <w:tcPr>
            <w:tcW w:w="540" w:type="dxa"/>
            <w:vAlign w:val="bottom"/>
          </w:tcPr>
          <w:p>
            <w:pPr>
              <w:spacing w:after="0"/>
              <w:rPr>
                <w:sz w:val="21"/>
                <w:szCs w:val="21"/>
                <w:color w:val="auto"/>
              </w:rPr>
            </w:pPr>
          </w:p>
        </w:tc>
        <w:tc>
          <w:tcPr>
            <w:tcW w:w="7240" w:type="dxa"/>
            <w:vAlign w:val="bottom"/>
            <w:gridSpan w:val="10"/>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Item 5.</w:t>
              </w:r>
            </w:hyperlink>
          </w:p>
        </w:tc>
        <w:tc>
          <w:tcPr>
            <w:tcW w:w="640" w:type="dxa"/>
            <w:vAlign w:val="bottom"/>
            <w:gridSpan w:val="3"/>
          </w:tcPr>
          <w:p>
            <w:pPr>
              <w:spacing w:after="0"/>
              <w:rPr>
                <w:sz w:val="21"/>
                <w:szCs w:val="21"/>
                <w:color w:val="auto"/>
              </w:rPr>
            </w:pPr>
          </w:p>
        </w:tc>
        <w:tc>
          <w:tcPr>
            <w:tcW w:w="1300" w:type="dxa"/>
            <w:vAlign w:val="bottom"/>
            <w:gridSpan w:val="4"/>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Other Information</w:t>
              </w:r>
            </w:hyperlink>
          </w:p>
        </w:tc>
        <w:tc>
          <w:tcPr>
            <w:tcW w:w="460" w:type="dxa"/>
            <w:vAlign w:val="bottom"/>
            <w:gridSpan w:val="3"/>
          </w:tcPr>
          <w:p>
            <w:pPr>
              <w:spacing w:after="0"/>
              <w:rPr>
                <w:sz w:val="21"/>
                <w:szCs w:val="21"/>
                <w:color w:val="auto"/>
              </w:rPr>
            </w:pPr>
          </w:p>
        </w:tc>
        <w:tc>
          <w:tcPr>
            <w:tcW w:w="7780" w:type="dxa"/>
            <w:vAlign w:val="bottom"/>
            <w:gridSpan w:val="11"/>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4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gridSpan w:val="2"/>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Item 6.</w:t>
              </w:r>
            </w:hyperlink>
          </w:p>
        </w:tc>
        <w:tc>
          <w:tcPr>
            <w:tcW w:w="640" w:type="dxa"/>
            <w:vAlign w:val="bottom"/>
            <w:gridSpan w:val="3"/>
          </w:tcPr>
          <w:p>
            <w:pPr>
              <w:spacing w:after="0"/>
              <w:rPr>
                <w:sz w:val="21"/>
                <w:szCs w:val="21"/>
                <w:color w:val="auto"/>
              </w:rPr>
            </w:pPr>
          </w:p>
        </w:tc>
        <w:tc>
          <w:tcPr>
            <w:tcW w:w="1300" w:type="dxa"/>
            <w:vAlign w:val="bottom"/>
            <w:gridSpan w:val="4"/>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8240" w:type="dxa"/>
            <w:vAlign w:val="bottom"/>
            <w:gridSpan w:val="14"/>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96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5"/>
          </w:tcPr>
          <w:p>
            <w:pPr>
              <w:spacing w:after="0"/>
              <w:rPr>
                <w:sz w:val="20"/>
                <w:szCs w:val="20"/>
                <w:color w:val="auto"/>
              </w:rPr>
            </w:pPr>
            <w:r>
              <w:rPr>
                <w:rFonts w:ascii="Arial" w:cs="Arial" w:eastAsia="Arial" w:hAnsi="Arial"/>
                <w:sz w:val="18"/>
                <w:szCs w:val="18"/>
                <w:b w:val="1"/>
                <w:bCs w:val="1"/>
                <w:color w:val="0000EE"/>
                <w:w w:val="94"/>
              </w:rPr>
              <w:t>SIGNATURES</w:t>
            </w:r>
          </w:p>
        </w:tc>
        <w:tc>
          <w:tcPr>
            <w:tcW w:w="9540" w:type="dxa"/>
            <w:vAlign w:val="bottom"/>
            <w:gridSpan w:val="18"/>
          </w:tcPr>
          <w:p>
            <w:pPr>
              <w:spacing w:after="0"/>
              <w:rPr>
                <w:sz w:val="21"/>
                <w:szCs w:val="21"/>
                <w:color w:val="auto"/>
              </w:rPr>
            </w:pPr>
          </w:p>
        </w:tc>
        <w:tc>
          <w:tcPr>
            <w:tcW w:w="660" w:type="dxa"/>
            <w:vAlign w:val="bottom"/>
            <w:gridSpan w:val="4"/>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June 30, 2016</w:t>
            </w:r>
          </w:p>
        </w:tc>
        <w:tc>
          <w:tcPr>
            <w:tcW w:w="180" w:type="dxa"/>
            <w:vAlign w:val="bottom"/>
          </w:tcPr>
          <w:p>
            <w:pPr>
              <w:spacing w:after="0"/>
              <w:rPr>
                <w:sz w:val="13"/>
                <w:szCs w:val="13"/>
                <w:color w:val="auto"/>
              </w:rPr>
            </w:pPr>
          </w:p>
        </w:tc>
        <w:tc>
          <w:tcPr>
            <w:tcW w:w="1180" w:type="dxa"/>
            <w:vAlign w:val="bottom"/>
          </w:tcPr>
          <w:p>
            <w:pPr>
              <w:jc w:val="right"/>
              <w:ind w:right="191"/>
              <w:spacing w:after="0" w:line="15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6"/>
                <w:szCs w:val="16"/>
                <w:color w:val="auto"/>
              </w:rPr>
            </w:pPr>
          </w:p>
        </w:tc>
        <w:tc>
          <w:tcPr>
            <w:tcW w:w="11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396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at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1,862,382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2,050,541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(426,462)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(456,558)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1,435,920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1,593,983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Real estate available and held for sale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126,070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137,274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1,561,990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1,731,257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Land and development, net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1,046,013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1,001,963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receivable and other lending investments,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1,568,439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1,601,985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228,756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254,172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521,363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711,101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Accrued interest and operating lease income receivable, net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13,999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18,436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operating lease income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97,421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expenses and other assets, net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173,070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181,457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5,209,397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5,597,792</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1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payable, accrued expenses and other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212,826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214,835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 participations payable,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186,854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152,086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Debt obligations, net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3,770,643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4,118,823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4,170,323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4,485,744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(refer to Note 11)</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 (refer to Note 5)</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10,718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iStar Inc.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Preferred Stock Series D, E, F, G and I, liquidation preference $25.00 per share (refer to Note 13)</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Preferred Stock Series J, liquidation preference $50.00 per share (refer to Note 13)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8580" w:type="dxa"/>
            <w:vAlign w:val="bottom"/>
          </w:tcPr>
          <w:p>
            <w:pPr>
              <w:ind w:left="40"/>
              <w:spacing w:after="0"/>
              <w:rPr>
                <w:sz w:val="20"/>
                <w:szCs w:val="20"/>
                <w:color w:val="auto"/>
              </w:rPr>
            </w:pPr>
            <w:r>
              <w:rPr>
                <w:rFonts w:ascii="Arial" w:cs="Arial" w:eastAsia="Arial" w:hAnsi="Arial"/>
                <w:sz w:val="18"/>
                <w:szCs w:val="18"/>
                <w:color w:val="auto"/>
                <w:w w:val="90"/>
              </w:rPr>
              <w:t>Common Stock, $0.001 par value, 200,000 shares authorized, 71,891 and 81,109 shares issued and outstanding as of</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June 30, 2016 and December 31, 2015, respectively</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3,599,335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3,689,330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Retained earnings (deficit)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(2,608,530)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(2,625,474)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income (loss) (refer to Note 13)</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iStar Inc. shareholders' equity</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985,563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1,059,112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42,218</w:t>
            </w: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1,031,453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1,101,330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5,209,397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5,597,792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4"/>
                <w:szCs w:val="14"/>
                <w:b w:val="1"/>
                <w:bCs w:val="1"/>
                <w:color w:val="auto"/>
                <w:w w:val="99"/>
              </w:rPr>
              <w:t>For the Three Months Ended June 30,</w:t>
            </w:r>
          </w:p>
        </w:tc>
        <w:tc>
          <w:tcPr>
            <w:tcW w:w="100" w:type="dxa"/>
            <w:vAlign w:val="bottom"/>
          </w:tcPr>
          <w:p>
            <w:pPr>
              <w:spacing w:after="0"/>
              <w:rPr>
                <w:sz w:val="16"/>
                <w:szCs w:val="16"/>
                <w:color w:val="auto"/>
              </w:rPr>
            </w:pPr>
          </w:p>
        </w:tc>
        <w:tc>
          <w:tcPr>
            <w:tcW w:w="224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w w:val="91"/>
              </w:rPr>
              <w:t>For the Six Months Ended June 30,</w:t>
            </w: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Operating lease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54,518</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56,152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109,455</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115,291</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income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33,729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67,620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68,625</w:t>
            </w:r>
          </w:p>
        </w:tc>
        <w:tc>
          <w:tcPr>
            <w:tcW w:w="0" w:type="dxa"/>
            <w:vAlign w:val="bottom"/>
          </w:tcPr>
          <w:p>
            <w:pPr>
              <w:spacing w:after="0"/>
              <w:rPr>
                <w:sz w:val="1"/>
                <w:szCs w:val="1"/>
                <w:color w:val="auto"/>
              </w:rPr>
            </w:pP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Other income</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10,097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12,761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21,637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23,325</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 development revenue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27,888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6,543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42,835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14,801</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revenues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126,903</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109,185</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241,547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222,042</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56,047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55,824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113,068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110,456</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 estate expense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35,438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36,355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69,743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75,989</w:t>
            </w:r>
          </w:p>
        </w:tc>
        <w:tc>
          <w:tcPr>
            <w:tcW w:w="0" w:type="dxa"/>
            <w:vAlign w:val="bottom"/>
          </w:tcPr>
          <w:p>
            <w:pPr>
              <w:spacing w:after="0"/>
              <w:rPr>
                <w:sz w:val="1"/>
                <w:szCs w:val="1"/>
                <w:color w:val="auto"/>
              </w:rPr>
            </w:pP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Land development cost of sales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17,262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5,252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28,838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12,142</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14,474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15,516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34,017</w:t>
            </w:r>
          </w:p>
        </w:tc>
        <w:tc>
          <w:tcPr>
            <w:tcW w:w="0" w:type="dxa"/>
            <w:vAlign w:val="bottom"/>
          </w:tcPr>
          <w:p>
            <w:pPr>
              <w:spacing w:after="0"/>
              <w:rPr>
                <w:sz w:val="1"/>
                <w:szCs w:val="1"/>
                <w:color w:val="auto"/>
              </w:rPr>
            </w:pP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General and administrative</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19,665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20,586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42,768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41,340</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Provision for loan losses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19,151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23,444</w:t>
            </w:r>
          </w:p>
        </w:tc>
        <w:tc>
          <w:tcPr>
            <w:tcW w:w="0" w:type="dxa"/>
            <w:vAlign w:val="bottom"/>
          </w:tcPr>
          <w:p>
            <w:pPr>
              <w:spacing w:after="0"/>
              <w:rPr>
                <w:sz w:val="1"/>
                <w:szCs w:val="1"/>
                <w:color w:val="auto"/>
              </w:rPr>
            </w:pP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Impairment of assets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3,012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1,674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3,012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expense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3,182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3,922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3,011</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149,780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155,246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292,739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302,073</w:t>
            </w:r>
          </w:p>
        </w:tc>
        <w:tc>
          <w:tcPr>
            <w:tcW w:w="0" w:type="dxa"/>
            <w:vAlign w:val="bottom"/>
          </w:tcPr>
          <w:p>
            <w:pPr>
              <w:spacing w:after="0"/>
              <w:rPr>
                <w:sz w:val="1"/>
                <w:szCs w:val="1"/>
                <w:color w:val="auto"/>
              </w:rPr>
            </w:pPr>
          </w:p>
        </w:tc>
      </w:tr>
      <w:tr>
        <w:trPr>
          <w:trHeight w:val="25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earnings from equity method investments and other items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(22,877)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(46,061)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(51,192)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(80,031)</w:t>
            </w:r>
          </w:p>
        </w:tc>
        <w:tc>
          <w:tcPr>
            <w:tcW w:w="0" w:type="dxa"/>
            <w:vAlign w:val="bottom"/>
          </w:tcPr>
          <w:p>
            <w:pPr>
              <w:spacing w:after="0"/>
              <w:rPr>
                <w:sz w:val="1"/>
                <w:szCs w:val="1"/>
                <w:color w:val="auto"/>
              </w:rPr>
            </w:pP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Loss on early extinguishment of debt, net</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(1,457)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(1,582)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Earnings from equity method investments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39,447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8,785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47,714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15,332</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4"/>
                <w:szCs w:val="14"/>
                <w:color w:val="auto"/>
              </w:rPr>
              <w:t>Income (loss) from continuing operations before income taxes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15,113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(37,320)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(64,911)</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benefit (expense)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1,604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(6,688)</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4"/>
                <w:szCs w:val="14"/>
                <w:color w:val="auto"/>
              </w:rPr>
              <w:t>Income (loss) from continuing operations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16,303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(38,131)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(71,599)</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from sales of real estate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43,484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18,355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53,943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39,511</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59,787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(19,776)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50,487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(32,088)</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 attributable to noncontrolling interests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(8,825)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629</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2,470</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4"/>
                <w:szCs w:val="14"/>
                <w:color w:val="auto"/>
              </w:rPr>
              <w:t>Net income (loss) attributable to iStar Inc.</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50,962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(19,147)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42,604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(29,618)</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dividends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(12,830)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(25,660)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(25,660)</w:t>
            </w: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(income) loss allocable to HPU holders and Participating Security holders</w:t>
            </w:r>
            <w:r>
              <w:rPr>
                <w:rFonts w:ascii="Arial" w:cs="Arial" w:eastAsia="Arial" w:hAnsi="Arial"/>
                <w:sz w:val="8"/>
                <w:szCs w:val="8"/>
                <w:color w:val="auto"/>
              </w:rPr>
              <w:t>(1)(2)</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1,776</w:t>
            </w:r>
          </w:p>
        </w:tc>
        <w:tc>
          <w:tcPr>
            <w:tcW w:w="0" w:type="dxa"/>
            <w:vAlign w:val="bottom"/>
          </w:tcPr>
          <w:p>
            <w:pPr>
              <w:spacing w:after="0"/>
              <w:rPr>
                <w:sz w:val="1"/>
                <w:szCs w:val="1"/>
                <w:color w:val="auto"/>
              </w:rPr>
            </w:pPr>
          </w:p>
        </w:tc>
      </w:tr>
      <w:tr>
        <w:trPr>
          <w:trHeight w:val="243"/>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 allocable to common shareholders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38,112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(30,950)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16,933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(53,502)</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 common share data:</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5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(loss) attributable to iStar Inc. from continuing operations: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280"/>
              <w:spacing w:after="0"/>
              <w:rPr>
                <w:sz w:val="20"/>
                <w:szCs w:val="20"/>
                <w:color w:val="auto"/>
              </w:rPr>
            </w:pPr>
            <w:r>
              <w:rPr>
                <w:rFonts w:ascii="Arial" w:cs="Arial" w:eastAsia="Arial" w:hAnsi="Arial"/>
                <w:sz w:val="14"/>
                <w:szCs w:val="14"/>
                <w:color w:val="auto"/>
              </w:rPr>
              <w:t>Basic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0.52</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264"/>
        </w:trPr>
        <w:tc>
          <w:tcPr>
            <w:tcW w:w="6520" w:type="dxa"/>
            <w:vAlign w:val="bottom"/>
          </w:tcPr>
          <w:p>
            <w:pPr>
              <w:ind w:left="180"/>
              <w:spacing w:after="0"/>
              <w:rPr>
                <w:sz w:val="20"/>
                <w:szCs w:val="20"/>
                <w:color w:val="auto"/>
              </w:rPr>
            </w:pPr>
            <w:r>
              <w:rPr>
                <w:rFonts w:ascii="Arial" w:cs="Arial" w:eastAsia="Arial" w:hAnsi="Arial"/>
                <w:sz w:val="14"/>
                <w:szCs w:val="14"/>
                <w:color w:val="auto"/>
              </w:rPr>
              <w:t>Net income (loss) attributable to iStar Inc.:</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264"/>
        </w:trPr>
        <w:tc>
          <w:tcPr>
            <w:tcW w:w="6520" w:type="dxa"/>
            <w:vAlign w:val="bottom"/>
          </w:tcPr>
          <w:p>
            <w:pPr>
              <w:ind w:left="280"/>
              <w:spacing w:after="0"/>
              <w:rPr>
                <w:sz w:val="20"/>
                <w:szCs w:val="20"/>
                <w:color w:val="auto"/>
              </w:rPr>
            </w:pPr>
            <w:r>
              <w:rPr>
                <w:rFonts w:ascii="Arial" w:cs="Arial" w:eastAsia="Arial" w:hAnsi="Arial"/>
                <w:sz w:val="14"/>
                <w:szCs w:val="14"/>
                <w:color w:val="auto"/>
              </w:rPr>
              <w:t>Diluted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0.37</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(0.63)</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 average number of common shares: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28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73,984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85,541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75,522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85,519</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118,510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85,541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104,431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85,519</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b w:val="1"/>
                <w:bCs w:val="1"/>
                <w:color w:val="auto"/>
              </w:rPr>
              <w:t>Per HPU share data</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(loss) attributable to iStar Inc. from continuing operations - basic and diluted</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(68.47)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(118.40)</w:t>
            </w:r>
          </w:p>
        </w:tc>
        <w:tc>
          <w:tcPr>
            <w:tcW w:w="0" w:type="dxa"/>
            <w:vAlign w:val="bottom"/>
          </w:tcPr>
          <w:p>
            <w:pPr>
              <w:spacing w:after="0"/>
              <w:rPr>
                <w:sz w:val="1"/>
                <w:szCs w:val="1"/>
                <w:color w:val="auto"/>
              </w:rPr>
            </w:pPr>
          </w:p>
        </w:tc>
      </w:tr>
      <w:tr>
        <w:trPr>
          <w:trHeight w:val="264"/>
        </w:trPr>
        <w:tc>
          <w:tcPr>
            <w:tcW w:w="6520" w:type="dxa"/>
            <w:vAlign w:val="bottom"/>
          </w:tcPr>
          <w:p>
            <w:pPr>
              <w:ind w:left="280"/>
              <w:spacing w:after="0"/>
              <w:rPr>
                <w:sz w:val="20"/>
                <w:szCs w:val="20"/>
                <w:color w:val="auto"/>
              </w:rPr>
            </w:pPr>
            <w:r>
              <w:rPr>
                <w:rFonts w:ascii="Arial" w:cs="Arial" w:eastAsia="Arial" w:hAnsi="Arial"/>
                <w:sz w:val="14"/>
                <w:szCs w:val="14"/>
                <w:color w:val="auto"/>
              </w:rPr>
              <w:t>Net income (loss) attributable to iStar Inc. - basic and diluted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(68.47)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(118.40)</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Weighted average number of HPU shares - basic and diluted</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55"/>
        </w:trPr>
        <w:tc>
          <w:tcPr>
            <w:tcW w:w="6520" w:type="dxa"/>
            <w:vAlign w:val="bottom"/>
          </w:tcPr>
          <w:p>
            <w:pPr>
              <w:spacing w:after="0" w:line="155" w:lineRule="exact"/>
              <w:rPr>
                <w:sz w:val="20"/>
                <w:szCs w:val="20"/>
                <w:color w:val="auto"/>
              </w:rPr>
            </w:pPr>
            <w:r>
              <w:rPr>
                <w:rFonts w:ascii="Arial" w:cs="Arial" w:eastAsia="Arial" w:hAnsi="Arial"/>
                <w:sz w:val="14"/>
                <w:szCs w:val="14"/>
                <w:color w:val="auto"/>
              </w:rPr>
              <w:t>_______________________________________________________________________________</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All of the Company's outstanding High Performance Units ("HPUs") were repurchased and retired on August 13, 2015 (refer to Note 15).</w:t>
      </w:r>
    </w:p>
    <w:p>
      <w:pPr>
        <w:spacing w:after="0" w:line="1" w:lineRule="exact"/>
        <w:rPr>
          <w:rFonts w:ascii="Arial" w:cs="Arial" w:eastAsia="Arial" w:hAnsi="Arial"/>
          <w:sz w:val="14"/>
          <w:szCs w:val="14"/>
          <w:color w:val="auto"/>
        </w:rPr>
      </w:pPr>
    </w:p>
    <w:p>
      <w:pPr>
        <w:ind w:left="500" w:right="20" w:hanging="492"/>
        <w:spacing w:after="0" w:line="255" w:lineRule="auto"/>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Participating Security holders are non-employee directors who hold common stock equivalents ("CSEs") and restricted stock awards granted under the Company's Long Term Incentive Plans that are eligible to participate in dividends (refer to Note 14 and Note 15).</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122" w:right="239" w:bottom="89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2" w:right="239" w:bottom="894"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52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8"/>
              </w:rPr>
              <w:t>For the Three Months Ended June 30,</w:t>
            </w:r>
          </w:p>
        </w:tc>
        <w:tc>
          <w:tcPr>
            <w:tcW w:w="280" w:type="dxa"/>
            <w:vAlign w:val="bottom"/>
          </w:tcPr>
          <w:p>
            <w:pPr>
              <w:spacing w:after="0"/>
              <w:rPr>
                <w:sz w:val="14"/>
                <w:szCs w:val="14"/>
                <w:color w:val="auto"/>
              </w:rPr>
            </w:pPr>
          </w:p>
        </w:tc>
        <w:tc>
          <w:tcPr>
            <w:tcW w:w="210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520" w:type="dxa"/>
            <w:vAlign w:val="bottom"/>
            <w:gridSpan w:val="6"/>
            <w:vMerge w:val="continue"/>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59,787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50,487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Reclassification of (gains)/losses on available-for-sale securities into earnings upon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180"/>
              <w:spacing w:after="0" w:line="257" w:lineRule="exact"/>
              <w:rPr>
                <w:sz w:val="20"/>
                <w:szCs w:val="20"/>
                <w:color w:val="auto"/>
              </w:rPr>
            </w:pPr>
            <w:r>
              <w:rPr>
                <w:rFonts w:ascii="Arial" w:cs="Arial" w:eastAsia="Arial" w:hAnsi="Arial"/>
                <w:sz w:val="18"/>
                <w:szCs w:val="18"/>
                <w:color w:val="auto"/>
              </w:rPr>
              <w:t>realization</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70"/>
        </w:trPr>
        <w:tc>
          <w:tcPr>
            <w:tcW w:w="6520" w:type="dxa"/>
            <w:vAlign w:val="bottom"/>
          </w:tcPr>
          <w:p>
            <w:pPr>
              <w:ind w:left="180"/>
              <w:spacing w:after="0" w:line="270" w:lineRule="exact"/>
              <w:rPr>
                <w:sz w:val="20"/>
                <w:szCs w:val="20"/>
                <w:color w:val="auto"/>
              </w:rPr>
            </w:pPr>
            <w:r>
              <w:rPr>
                <w:rFonts w:ascii="Arial" w:cs="Arial" w:eastAsia="Arial" w:hAnsi="Arial"/>
                <w:sz w:val="18"/>
                <w:szCs w:val="18"/>
                <w:color w:val="auto"/>
                <w:w w:val="91"/>
              </w:rPr>
              <w:t>Reclassification of (gains)/losses on cash flow hedges into earnings upon realization</w:t>
            </w:r>
            <w:r>
              <w:rPr>
                <w:rFonts w:ascii="Arial" w:cs="Arial" w:eastAsia="Arial" w:hAnsi="Arial"/>
                <w:sz w:val="25"/>
                <w:szCs w:val="25"/>
                <w:color w:val="auto"/>
                <w:w w:val="91"/>
                <w:vertAlign w:val="superscript"/>
              </w:rPr>
              <w:t>(2)</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gains/(losses) on 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Unrealized gains/(losses) on cash flow hedges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gains/(losses) on cumulative translation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60,024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49,998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(35,823)</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iStar Inc.</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51,199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42,115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(33,353)</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5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Reclassified to "Other income" in the Company's consolidated statements of operations.</w:t>
      </w:r>
    </w:p>
    <w:p>
      <w:pPr>
        <w:spacing w:after="0" w:line="1" w:lineRule="exact"/>
        <w:rPr>
          <w:rFonts w:ascii="Arial" w:cs="Arial" w:eastAsia="Arial" w:hAnsi="Arial"/>
          <w:sz w:val="14"/>
          <w:szCs w:val="14"/>
          <w:color w:val="auto"/>
        </w:rPr>
      </w:pPr>
    </w:p>
    <w:p>
      <w:pPr>
        <w:jc w:val="both"/>
        <w:ind w:left="500" w:hanging="492"/>
        <w:spacing w:after="0" w:line="276" w:lineRule="auto"/>
        <w:tabs>
          <w:tab w:leader="none" w:pos="5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Reclassified to "Interest expense" in the Company's consolidated statements of operations are $23 and $183 for the three and six months ended June 30, 2016, respectively, and $84 and $119 for the three and six months ended June 30, 2015, respectively. Reclassified to "Earnings from equity method investments" in the Company's consolidated statements of operations are $95 and $192 for the three and six months ended June 30, 2016, respectively, and $116 and $231 for the three and six months ended June 30, 2015, respectively.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Six Months Ended June 30, 2016 and 2015</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iStar Inc. Shareholders' Equity</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Preferred</w:t>
            </w:r>
          </w:p>
        </w:tc>
        <w:tc>
          <w:tcPr>
            <w:tcW w:w="1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Common</w:t>
            </w:r>
          </w:p>
        </w:tc>
        <w:tc>
          <w:tcPr>
            <w:tcW w:w="1000" w:type="dxa"/>
            <w:vAlign w:val="bottom"/>
            <w:tcBorders>
              <w:top w:val="single" w:sz="8" w:color="auto"/>
            </w:tcBorders>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1020" w:type="dxa"/>
            <w:vAlign w:val="bottom"/>
            <w:tcBorders>
              <w:top w:val="single" w:sz="8" w:color="auto"/>
            </w:tcBorders>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1"/>
              </w:rPr>
              <w:t>Retained</w:t>
            </w:r>
          </w:p>
        </w:tc>
        <w:tc>
          <w:tcPr>
            <w:tcW w:w="1020" w:type="dxa"/>
            <w:vAlign w:val="bottom"/>
            <w:tcBorders>
              <w:top w:val="single" w:sz="8" w:color="auto"/>
            </w:tcBorders>
            <w:gridSpan w:val="2"/>
            <w:shd w:val="clear" w:color="auto" w:fill="CCEEFF"/>
          </w:tcPr>
          <w:p>
            <w:pPr>
              <w:jc w:val="center"/>
              <w:spacing w:after="0" w:line="159"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rPr>
                <w:sz w:val="12"/>
                <w:szCs w:val="12"/>
                <w:color w:val="auto"/>
              </w:rPr>
            </w:pPr>
          </w:p>
        </w:tc>
        <w:tc>
          <w:tcPr>
            <w:tcW w:w="76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Preferred</w:t>
            </w:r>
          </w:p>
        </w:tc>
        <w:tc>
          <w:tcPr>
            <w:tcW w:w="780" w:type="dxa"/>
            <w:vAlign w:val="bottom"/>
            <w:gridSpan w:val="3"/>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vMerge w:val="continue"/>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1120" w:type="dxa"/>
            <w:vAlign w:val="bottom"/>
            <w:tcBorders>
              <w:right w:val="single" w:sz="8" w:color="auto"/>
            </w:tcBorders>
            <w:gridSpan w:val="3"/>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Noncontrolling</w:t>
            </w:r>
          </w:p>
        </w:tc>
        <w:tc>
          <w:tcPr>
            <w:tcW w:w="860" w:type="dxa"/>
            <w:vAlign w:val="bottom"/>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spacing w:after="0"/>
              <w:rPr>
                <w:sz w:val="12"/>
                <w:szCs w:val="12"/>
                <w:color w:val="auto"/>
              </w:rPr>
            </w:pPr>
          </w:p>
        </w:tc>
        <w:tc>
          <w:tcPr>
            <w:tcW w:w="760" w:type="dxa"/>
            <w:vAlign w:val="bottom"/>
            <w:gridSpan w:val="3"/>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Stock</w:t>
            </w:r>
          </w:p>
        </w:tc>
        <w:tc>
          <w:tcPr>
            <w:tcW w:w="5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HPU's</w:t>
            </w:r>
            <w:r>
              <w:rPr>
                <w:rFonts w:ascii="Arial" w:cs="Arial" w:eastAsia="Arial" w:hAnsi="Arial"/>
                <w:sz w:val="8"/>
                <w:szCs w:val="8"/>
                <w:b w:val="1"/>
                <w:bCs w:val="1"/>
                <w:color w:val="auto"/>
              </w:rPr>
              <w:t>(4)</w:t>
            </w:r>
          </w:p>
        </w:tc>
        <w:tc>
          <w:tcPr>
            <w:tcW w:w="100" w:type="dxa"/>
            <w:vAlign w:val="bottom"/>
            <w:vMerge w:val="restart"/>
            <w:shd w:val="clear" w:color="auto" w:fill="CCEEFF"/>
          </w:tcPr>
          <w:p>
            <w:pPr>
              <w:spacing w:after="0"/>
              <w:rPr>
                <w:sz w:val="12"/>
                <w:szCs w:val="12"/>
                <w:color w:val="auto"/>
              </w:rPr>
            </w:pPr>
          </w:p>
        </w:tc>
        <w:tc>
          <w:tcPr>
            <w:tcW w:w="74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Stock at</w:t>
            </w:r>
          </w:p>
        </w:tc>
        <w:tc>
          <w:tcPr>
            <w:tcW w:w="10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rPr>
              <w:t>Paid-In</w:t>
            </w:r>
          </w:p>
        </w:tc>
        <w:tc>
          <w:tcPr>
            <w:tcW w:w="10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Earnings</w:t>
            </w:r>
          </w:p>
        </w:tc>
        <w:tc>
          <w:tcPr>
            <w:tcW w:w="112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120" w:type="dxa"/>
            <w:vAlign w:val="bottom"/>
            <w:tcBorders>
              <w:right w:val="single" w:sz="8" w:color="auto"/>
            </w:tcBorders>
            <w:gridSpan w:val="3"/>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4"/>
                <w:szCs w:val="14"/>
                <w:b w:val="1"/>
                <w:bCs w:val="1"/>
                <w:color w:val="auto"/>
                <w:w w:val="91"/>
              </w:rPr>
              <w:t>Stock</w:t>
            </w:r>
            <w:r>
              <w:rPr>
                <w:rFonts w:ascii="Arial" w:cs="Arial" w:eastAsia="Arial" w:hAnsi="Arial"/>
                <w:sz w:val="8"/>
                <w:szCs w:val="8"/>
                <w:b w:val="1"/>
                <w:bCs w:val="1"/>
                <w:color w:val="auto"/>
                <w:w w:val="91"/>
              </w:rPr>
              <w:t>(1)</w:t>
            </w:r>
          </w:p>
        </w:tc>
        <w:tc>
          <w:tcPr>
            <w:tcW w:w="100" w:type="dxa"/>
            <w:vAlign w:val="bottom"/>
            <w:shd w:val="clear" w:color="auto" w:fill="CCEEFF"/>
          </w:tcPr>
          <w:p>
            <w:pPr>
              <w:spacing w:after="0"/>
              <w:rPr>
                <w:sz w:val="16"/>
                <w:szCs w:val="16"/>
                <w:color w:val="auto"/>
              </w:rPr>
            </w:pPr>
          </w:p>
        </w:tc>
        <w:tc>
          <w:tcPr>
            <w:tcW w:w="66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94"/>
              </w:rPr>
              <w:t>Series J</w:t>
            </w:r>
            <w:r>
              <w:rPr>
                <w:rFonts w:ascii="Arial" w:cs="Arial" w:eastAsia="Arial" w:hAnsi="Arial"/>
                <w:sz w:val="8"/>
                <w:szCs w:val="8"/>
                <w:b w:val="1"/>
                <w:bCs w:val="1"/>
                <w:color w:val="auto"/>
                <w:w w:val="94"/>
              </w:rPr>
              <w:t>(1)</w:t>
            </w:r>
          </w:p>
        </w:tc>
        <w:tc>
          <w:tcPr>
            <w:tcW w:w="120" w:type="dxa"/>
            <w:vAlign w:val="bottom"/>
            <w:shd w:val="clear" w:color="auto" w:fill="CCEEFF"/>
          </w:tcPr>
          <w:p>
            <w:pPr>
              <w:spacing w:after="0"/>
              <w:rPr>
                <w:sz w:val="16"/>
                <w:szCs w:val="16"/>
                <w:color w:val="auto"/>
              </w:rPr>
            </w:pPr>
          </w:p>
        </w:tc>
        <w:tc>
          <w:tcPr>
            <w:tcW w:w="580" w:type="dxa"/>
            <w:vAlign w:val="bottom"/>
            <w:tcBorders>
              <w:bottom w:val="single" w:sz="8" w:color="auto"/>
            </w:tcBorders>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4"/>
                <w:szCs w:val="14"/>
                <w:b w:val="1"/>
                <w:bCs w:val="1"/>
                <w:color w:val="auto"/>
              </w:rPr>
              <w:t>Par</w:t>
            </w:r>
          </w:p>
        </w:tc>
        <w:tc>
          <w:tcPr>
            <w:tcW w:w="12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9"/>
              </w:rPr>
              <w:t>Interests</w:t>
            </w:r>
          </w:p>
        </w:tc>
        <w:tc>
          <w:tcPr>
            <w:tcW w:w="140" w:type="dxa"/>
            <w:vAlign w:val="bottom"/>
            <w:tcBorders>
              <w:right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Arial" w:cs="Arial" w:eastAsia="Arial" w:hAnsi="Arial"/>
                <w:sz w:val="16"/>
                <w:szCs w:val="16"/>
                <w:color w:val="auto"/>
              </w:rPr>
              <w:t>Balance as of December 31, 2015</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w w:val="89"/>
              </w:rPr>
              <w:t>$ 3,689,330</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92"/>
              </w:rPr>
              <w:t>$(2,625,474)</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(4,851)</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42,218</w:t>
            </w:r>
          </w:p>
        </w:tc>
        <w:tc>
          <w:tcPr>
            <w:tcW w:w="140" w:type="dxa"/>
            <w:vAlign w:val="bottom"/>
            <w:tcBorders>
              <w:right w:val="single" w:sz="8" w:color="auto"/>
            </w:tcBorders>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w w:val="87"/>
              </w:rPr>
              <w:t>$ 1,101,330</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Dividends declared—preferred</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(25,660)</w:t>
            </w:r>
          </w:p>
        </w:tc>
        <w:tc>
          <w:tcPr>
            <w:tcW w:w="0" w:type="dxa"/>
            <w:vAlign w:val="bottom"/>
          </w:tcPr>
          <w:p>
            <w:pPr>
              <w:spacing w:after="0"/>
              <w:rPr>
                <w:sz w:val="1"/>
                <w:szCs w:val="1"/>
                <w:color w:val="auto"/>
              </w:rPr>
            </w:pPr>
          </w:p>
        </w:tc>
      </w:tr>
      <w:tr>
        <w:trPr>
          <w:trHeight w:val="220"/>
        </w:trPr>
        <w:tc>
          <w:tcPr>
            <w:tcW w:w="3300" w:type="dxa"/>
            <w:vAlign w:val="bottom"/>
          </w:tcPr>
          <w:p>
            <w:pPr>
              <w:ind w:left="20"/>
              <w:spacing w:after="0"/>
              <w:rPr>
                <w:sz w:val="20"/>
                <w:szCs w:val="20"/>
                <w:color w:val="auto"/>
              </w:rPr>
            </w:pPr>
            <w:r>
              <w:rPr>
                <w:rFonts w:ascii="Arial" w:cs="Arial" w:eastAsia="Arial" w:hAnsi="Arial"/>
                <w:sz w:val="16"/>
                <w:szCs w:val="16"/>
                <w:color w:val="auto"/>
              </w:rPr>
              <w:t>Issuance of stock/restricted stock unit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00" w:type="dxa"/>
            <w:vAlign w:val="bottom"/>
          </w:tcPr>
          <w:p>
            <w:pPr>
              <w:ind w:left="20"/>
              <w:spacing w:after="0"/>
              <w:rPr>
                <w:sz w:val="20"/>
                <w:szCs w:val="20"/>
                <w:color w:val="auto"/>
              </w:rPr>
            </w:pPr>
            <w:r>
              <w:rPr>
                <w:rFonts w:ascii="Arial" w:cs="Arial" w:eastAsia="Arial" w:hAnsi="Arial"/>
                <w:sz w:val="16"/>
                <w:szCs w:val="16"/>
                <w:color w:val="auto"/>
              </w:rPr>
              <w:t>amortization, net</w:t>
            </w:r>
          </w:p>
        </w:tc>
        <w:tc>
          <w:tcPr>
            <w:tcW w:w="10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1,371</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1,371</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for the period</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42,604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10,520</w:t>
            </w:r>
          </w:p>
        </w:tc>
        <w:tc>
          <w:tcPr>
            <w:tcW w:w="140" w:type="dxa"/>
            <w:vAlign w:val="bottom"/>
            <w:tcBorders>
              <w:right w:val="single" w:sz="8" w:color="auto"/>
            </w:tcBorders>
            <w:shd w:val="clear" w:color="auto" w:fill="CCEEFF"/>
          </w:tcPr>
          <w:p>
            <w:pPr>
              <w:spacing w:after="0"/>
              <w:rPr>
                <w:sz w:val="23"/>
                <w:szCs w:val="23"/>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53,124</w:t>
            </w:r>
          </w:p>
        </w:tc>
        <w:tc>
          <w:tcPr>
            <w:tcW w:w="0" w:type="dxa"/>
            <w:vAlign w:val="bottom"/>
          </w:tcPr>
          <w:p>
            <w:pPr>
              <w:spacing w:after="0"/>
              <w:rPr>
                <w:sz w:val="1"/>
                <w:szCs w:val="1"/>
                <w:color w:val="auto"/>
              </w:rPr>
            </w:pPr>
          </w:p>
        </w:tc>
      </w:tr>
      <w:tr>
        <w:trPr>
          <w:trHeight w:val="220"/>
        </w:trPr>
        <w:tc>
          <w:tcPr>
            <w:tcW w:w="3300" w:type="dxa"/>
            <w:vAlign w:val="bottom"/>
          </w:tcPr>
          <w:p>
            <w:pPr>
              <w:ind w:left="20"/>
              <w:spacing w:after="0"/>
              <w:rPr>
                <w:sz w:val="20"/>
                <w:szCs w:val="20"/>
                <w:color w:val="auto"/>
              </w:rPr>
            </w:pPr>
            <w:r>
              <w:rPr>
                <w:rFonts w:ascii="Arial" w:cs="Arial" w:eastAsia="Arial" w:hAnsi="Arial"/>
                <w:sz w:val="16"/>
                <w:szCs w:val="16"/>
                <w:color w:val="auto"/>
              </w:rPr>
              <w:t>Change in accumulated other comprehensive</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00" w:type="dxa"/>
            <w:vAlign w:val="bottom"/>
          </w:tcPr>
          <w:p>
            <w:pPr>
              <w:ind w:left="20"/>
              <w:spacing w:after="0"/>
              <w:rPr>
                <w:sz w:val="20"/>
                <w:szCs w:val="20"/>
                <w:color w:val="auto"/>
              </w:rPr>
            </w:pPr>
            <w:r>
              <w:rPr>
                <w:rFonts w:ascii="Arial" w:cs="Arial" w:eastAsia="Arial" w:hAnsi="Arial"/>
                <w:sz w:val="16"/>
                <w:szCs w:val="16"/>
                <w:color w:val="auto"/>
              </w:rPr>
              <w:t>income (loss)</w:t>
            </w:r>
          </w:p>
        </w:tc>
        <w:tc>
          <w:tcPr>
            <w:tcW w:w="10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Repurchase of stock</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(91,826)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(91,835)</w:t>
            </w:r>
          </w:p>
        </w:tc>
        <w:tc>
          <w:tcPr>
            <w:tcW w:w="0" w:type="dxa"/>
            <w:vAlign w:val="bottom"/>
          </w:tcPr>
          <w:p>
            <w:pPr>
              <w:spacing w:after="0"/>
              <w:rPr>
                <w:sz w:val="1"/>
                <w:szCs w:val="1"/>
                <w:color w:val="auto"/>
              </w:rPr>
            </w:pPr>
          </w:p>
        </w:tc>
      </w:tr>
      <w:tr>
        <w:trPr>
          <w:trHeight w:val="220"/>
        </w:trPr>
        <w:tc>
          <w:tcPr>
            <w:tcW w:w="3300" w:type="dxa"/>
            <w:vAlign w:val="bottom"/>
          </w:tcPr>
          <w:p>
            <w:pPr>
              <w:ind w:left="20"/>
              <w:spacing w:after="0"/>
              <w:rPr>
                <w:sz w:val="20"/>
                <w:szCs w:val="20"/>
                <w:color w:val="auto"/>
              </w:rPr>
            </w:pPr>
            <w:r>
              <w:rPr>
                <w:rFonts w:ascii="Arial" w:cs="Arial" w:eastAsia="Arial" w:hAnsi="Arial"/>
                <w:sz w:val="16"/>
                <w:szCs w:val="16"/>
                <w:color w:val="auto"/>
                <w:w w:val="98"/>
              </w:rPr>
              <w:t>Change in additional paid in capital attributable</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00" w:type="dxa"/>
            <w:vAlign w:val="bottom"/>
          </w:tcPr>
          <w:p>
            <w:pPr>
              <w:ind w:left="20"/>
              <w:spacing w:after="0"/>
              <w:rPr>
                <w:sz w:val="20"/>
                <w:szCs w:val="20"/>
                <w:color w:val="auto"/>
              </w:rPr>
            </w:pPr>
            <w:r>
              <w:rPr>
                <w:rFonts w:ascii="Arial" w:cs="Arial" w:eastAsia="Arial" w:hAnsi="Arial"/>
                <w:sz w:val="16"/>
                <w:szCs w:val="16"/>
                <w:color w:val="auto"/>
              </w:rPr>
              <w:t>to redeemable noncontrolling interest</w:t>
            </w:r>
          </w:p>
        </w:tc>
        <w:tc>
          <w:tcPr>
            <w:tcW w:w="10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Contributions from noncontrolling interests</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70"/>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noncontrolling interest</w:t>
            </w:r>
            <w:r>
              <w:rPr>
                <w:rFonts w:ascii="Arial" w:cs="Arial" w:eastAsia="Arial" w:hAnsi="Arial"/>
                <w:sz w:val="21"/>
                <w:szCs w:val="21"/>
                <w:color w:val="auto"/>
                <w:vertAlign w:val="superscript"/>
              </w:rPr>
              <w:t>(3)</w:t>
            </w:r>
          </w:p>
        </w:tc>
        <w:tc>
          <w:tcPr>
            <w:tcW w:w="1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(7,292)</w:t>
            </w:r>
          </w:p>
        </w:tc>
        <w:tc>
          <w:tcPr>
            <w:tcW w:w="140" w:type="dxa"/>
            <w:vAlign w:val="bottom"/>
            <w:tcBorders>
              <w:bottom w:val="single" w:sz="8" w:color="CCEEFF"/>
              <w:right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(7,292)</w:t>
            </w:r>
          </w:p>
        </w:tc>
        <w:tc>
          <w:tcPr>
            <w:tcW w:w="0" w:type="dxa"/>
            <w:vAlign w:val="bottom"/>
          </w:tcPr>
          <w:p>
            <w:pPr>
              <w:spacing w:after="0"/>
              <w:rPr>
                <w:sz w:val="1"/>
                <w:szCs w:val="1"/>
                <w:color w:val="auto"/>
              </w:rPr>
            </w:pPr>
          </w:p>
        </w:tc>
      </w:tr>
      <w:tr>
        <w:trPr>
          <w:trHeight w:val="244"/>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2016</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$ 3,599,335</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$(2,608,530)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45,890</w:t>
            </w:r>
          </w:p>
        </w:tc>
        <w:tc>
          <w:tcPr>
            <w:tcW w:w="140" w:type="dxa"/>
            <w:vAlign w:val="bottom"/>
            <w:tcBorders>
              <w:right w:val="single" w:sz="8" w:color="CCEEFF"/>
            </w:tcBorders>
            <w:shd w:val="clear" w:color="auto" w:fill="CCEEFF"/>
          </w:tcPr>
          <w:p>
            <w:pPr>
              <w:spacing w:after="0"/>
              <w:rPr>
                <w:sz w:val="21"/>
                <w:szCs w:val="21"/>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7"/>
              </w:rPr>
              <w:t>$ 1,031,453</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2014</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9,800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$ 3,744,621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$(2,556,469)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51,256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7"/>
              </w:rPr>
              <w:t>$ 1,248,348</w:t>
            </w:r>
          </w:p>
        </w:tc>
        <w:tc>
          <w:tcPr>
            <w:tcW w:w="0" w:type="dxa"/>
            <w:vAlign w:val="bottom"/>
          </w:tcPr>
          <w:p>
            <w:pPr>
              <w:spacing w:after="0"/>
              <w:rPr>
                <w:sz w:val="1"/>
                <w:szCs w:val="1"/>
                <w:color w:val="auto"/>
              </w:rPr>
            </w:pPr>
          </w:p>
        </w:tc>
      </w:tr>
      <w:tr>
        <w:trPr>
          <w:trHeight w:val="237"/>
        </w:trPr>
        <w:tc>
          <w:tcPr>
            <w:tcW w:w="3300" w:type="dxa"/>
            <w:vAlign w:val="bottom"/>
          </w:tcPr>
          <w:p>
            <w:pPr>
              <w:ind w:left="20"/>
              <w:spacing w:after="0"/>
              <w:rPr>
                <w:sz w:val="20"/>
                <w:szCs w:val="20"/>
                <w:color w:val="auto"/>
              </w:rPr>
            </w:pPr>
            <w:r>
              <w:rPr>
                <w:rFonts w:ascii="Arial" w:cs="Arial" w:eastAsia="Arial" w:hAnsi="Arial"/>
                <w:sz w:val="16"/>
                <w:szCs w:val="16"/>
                <w:color w:val="auto"/>
              </w:rPr>
              <w:t>Dividends declared—preferred</w:t>
            </w: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(25,660)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(25,660)</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stock/restricted stock unit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net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3,671</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3,671</w:t>
            </w:r>
          </w:p>
        </w:tc>
        <w:tc>
          <w:tcPr>
            <w:tcW w:w="0" w:type="dxa"/>
            <w:vAlign w:val="bottom"/>
          </w:tcPr>
          <w:p>
            <w:pPr>
              <w:spacing w:after="0"/>
              <w:rPr>
                <w:sz w:val="1"/>
                <w:szCs w:val="1"/>
                <w:color w:val="auto"/>
              </w:rPr>
            </w:pPr>
          </w:p>
        </w:tc>
      </w:tr>
      <w:tr>
        <w:trPr>
          <w:trHeight w:val="270"/>
        </w:trPr>
        <w:tc>
          <w:tcPr>
            <w:tcW w:w="3300" w:type="dxa"/>
            <w:vAlign w:val="bottom"/>
          </w:tcPr>
          <w:p>
            <w:pPr>
              <w:ind w:left="20"/>
              <w:spacing w:after="0"/>
              <w:rPr>
                <w:sz w:val="20"/>
                <w:szCs w:val="20"/>
                <w:color w:val="auto"/>
              </w:rPr>
            </w:pPr>
            <w:r>
              <w:rPr>
                <w:rFonts w:ascii="Arial" w:cs="Arial" w:eastAsia="Arial" w:hAnsi="Arial"/>
                <w:sz w:val="16"/>
                <w:szCs w:val="16"/>
                <w:color w:val="auto"/>
              </w:rPr>
              <w:t>Net income (loss) for the period</w:t>
            </w:r>
            <w:r>
              <w:rPr>
                <w:rFonts w:ascii="Arial" w:cs="Arial" w:eastAsia="Arial" w:hAnsi="Arial"/>
                <w:sz w:val="21"/>
                <w:szCs w:val="21"/>
                <w:color w:val="auto"/>
                <w:vertAlign w:val="superscript"/>
              </w:rPr>
              <w:t>(2)</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(29,618)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(710)</w:t>
            </w:r>
          </w:p>
        </w:tc>
        <w:tc>
          <w:tcPr>
            <w:tcW w:w="140" w:type="dxa"/>
            <w:vAlign w:val="bottom"/>
            <w:tcBorders>
              <w:right w:val="single" w:sz="8" w:color="auto"/>
            </w:tcBorders>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(30,328)</w:t>
            </w:r>
          </w:p>
        </w:tc>
        <w:tc>
          <w:tcPr>
            <w:tcW w:w="0" w:type="dxa"/>
            <w:vAlign w:val="bottom"/>
          </w:tcPr>
          <w:p>
            <w:pPr>
              <w:spacing w:after="0"/>
              <w:rPr>
                <w:sz w:val="1"/>
                <w:szCs w:val="1"/>
                <w:color w:val="auto"/>
              </w:rPr>
            </w:pPr>
          </w:p>
        </w:tc>
      </w:tr>
      <w:tr>
        <w:trPr>
          <w:trHeight w:val="220"/>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accumulated other comprehensive</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(3,735)</w:t>
            </w:r>
          </w:p>
        </w:tc>
        <w:tc>
          <w:tcPr>
            <w:tcW w:w="0" w:type="dxa"/>
            <w:vAlign w:val="bottom"/>
          </w:tcPr>
          <w:p>
            <w:pPr>
              <w:spacing w:after="0"/>
              <w:rPr>
                <w:sz w:val="1"/>
                <w:szCs w:val="1"/>
                <w:color w:val="auto"/>
              </w:rPr>
            </w:pPr>
          </w:p>
        </w:tc>
      </w:tr>
      <w:tr>
        <w:trPr>
          <w:trHeight w:val="237"/>
        </w:trPr>
        <w:tc>
          <w:tcPr>
            <w:tcW w:w="3300" w:type="dxa"/>
            <w:vAlign w:val="bottom"/>
          </w:tcPr>
          <w:p>
            <w:pPr>
              <w:ind w:left="20"/>
              <w:spacing w:after="0"/>
              <w:rPr>
                <w:sz w:val="20"/>
                <w:szCs w:val="20"/>
                <w:color w:val="auto"/>
              </w:rPr>
            </w:pPr>
            <w:r>
              <w:rPr>
                <w:rFonts w:ascii="Arial" w:cs="Arial" w:eastAsia="Arial" w:hAnsi="Arial"/>
                <w:sz w:val="16"/>
                <w:szCs w:val="16"/>
                <w:color w:val="auto"/>
              </w:rPr>
              <w:t>Repurchase of stock</w:t>
            </w: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Change in additional paid in capital attributable</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 redeemable noncontrolling interest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(3,248)</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(3,248)</w:t>
            </w:r>
          </w:p>
        </w:tc>
        <w:tc>
          <w:tcPr>
            <w:tcW w:w="0" w:type="dxa"/>
            <w:vAlign w:val="bottom"/>
          </w:tcPr>
          <w:p>
            <w:pPr>
              <w:spacing w:after="0"/>
              <w:rPr>
                <w:sz w:val="1"/>
                <w:szCs w:val="1"/>
                <w:color w:val="auto"/>
              </w:rPr>
            </w:pPr>
          </w:p>
        </w:tc>
      </w:tr>
      <w:tr>
        <w:trPr>
          <w:trHeight w:val="237"/>
        </w:trPr>
        <w:tc>
          <w:tcPr>
            <w:tcW w:w="3300" w:type="dxa"/>
            <w:vAlign w:val="bottom"/>
          </w:tcPr>
          <w:p>
            <w:pPr>
              <w:ind w:left="20"/>
              <w:spacing w:after="0"/>
              <w:rPr>
                <w:sz w:val="20"/>
                <w:szCs w:val="20"/>
                <w:color w:val="auto"/>
              </w:rPr>
            </w:pPr>
            <w:r>
              <w:rPr>
                <w:rFonts w:ascii="Arial" w:cs="Arial" w:eastAsia="Arial" w:hAnsi="Arial"/>
                <w:sz w:val="16"/>
                <w:szCs w:val="16"/>
                <w:color w:val="auto"/>
              </w:rPr>
              <w:t>Contributions from noncontrolling interests</w:t>
            </w: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40" w:type="dxa"/>
            <w:vAlign w:val="bottom"/>
            <w:tcBorders>
              <w:right w:val="single" w:sz="8" w:color="auto"/>
            </w:tcBorders>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(4,637)</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(4,637)</w:t>
            </w:r>
          </w:p>
        </w:tc>
        <w:tc>
          <w:tcPr>
            <w:tcW w:w="0" w:type="dxa"/>
            <w:vAlign w:val="bottom"/>
          </w:tcPr>
          <w:p>
            <w:pPr>
              <w:spacing w:after="0"/>
              <w:rPr>
                <w:sz w:val="1"/>
                <w:szCs w:val="1"/>
                <w:color w:val="auto"/>
              </w:rPr>
            </w:pPr>
          </w:p>
        </w:tc>
      </w:tr>
      <w:tr>
        <w:trPr>
          <w:trHeight w:val="231"/>
        </w:trPr>
        <w:tc>
          <w:tcPr>
            <w:tcW w:w="3300" w:type="dxa"/>
            <w:vAlign w:val="bottom"/>
          </w:tcPr>
          <w:p>
            <w:pPr>
              <w:ind w:left="20"/>
              <w:spacing w:after="0"/>
              <w:rPr>
                <w:sz w:val="20"/>
                <w:szCs w:val="20"/>
                <w:color w:val="auto"/>
              </w:rPr>
            </w:pPr>
            <w:r>
              <w:rPr>
                <w:rFonts w:ascii="Arial" w:cs="Arial" w:eastAsia="Arial" w:hAnsi="Arial"/>
                <w:sz w:val="16"/>
                <w:szCs w:val="16"/>
                <w:color w:val="auto"/>
              </w:rPr>
              <w:t>Balance as of June 30, 2015</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4"/>
              </w:rPr>
              <w:t>9,800</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89"/>
              </w:rPr>
              <w:t>$ 3,744,483</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$(2,611,747)</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(4,706)</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46,024</w:t>
            </w:r>
          </w:p>
        </w:tc>
        <w:tc>
          <w:tcPr>
            <w:tcW w:w="140" w:type="dxa"/>
            <w:vAlign w:val="bottom"/>
          </w:tcPr>
          <w:p>
            <w:pPr>
              <w:spacing w:after="0"/>
              <w:rPr>
                <w:sz w:val="20"/>
                <w:szCs w:val="20"/>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87"/>
              </w:rPr>
              <w:t>$ 1,183,965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12700</wp:posOffset>
            </wp:positionV>
            <wp:extent cx="5137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-98425</wp:posOffset>
            </wp:positionV>
            <wp:extent cx="513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ind w:left="500" w:hanging="49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Refer to Note 13 for details on the Company's Preferred Stock.</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5"/>
        </w:numPr>
        <w:rPr>
          <w:rFonts w:ascii="Arial" w:cs="Arial" w:eastAsia="Arial" w:hAnsi="Arial"/>
          <w:sz w:val="13"/>
          <w:szCs w:val="13"/>
          <w:color w:val="auto"/>
        </w:rPr>
      </w:pPr>
      <w:r>
        <w:rPr>
          <w:rFonts w:ascii="Arial" w:cs="Arial" w:eastAsia="Arial" w:hAnsi="Arial"/>
          <w:sz w:val="13"/>
          <w:szCs w:val="13"/>
          <w:color w:val="auto"/>
        </w:rPr>
        <w:t>For the six months ended June 30, 2016 and 2015, net income (loss) shown above excludes $(2,637) and $(1,760) of net loss attributable to redeemable noncontrolling interests.</w:t>
      </w:r>
    </w:p>
    <w:p>
      <w:pPr>
        <w:spacing w:after="0" w:line="12" w:lineRule="exact"/>
        <w:rPr>
          <w:rFonts w:ascii="Arial" w:cs="Arial" w:eastAsia="Arial" w:hAnsi="Arial"/>
          <w:sz w:val="13"/>
          <w:szCs w:val="13"/>
          <w:color w:val="auto"/>
        </w:rPr>
      </w:pPr>
    </w:p>
    <w:p>
      <w:pPr>
        <w:ind w:left="500" w:hanging="49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a payment to acquire a noncontrolling interest (refer to Note 5).</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 of the Company's outstanding HPUs were repurchased and retired on August 13, 2015 (refer to Note 15).</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45" w:right="25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iStar Inc.</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Six Months Ended June 30,</w:t>
            </w:r>
          </w:p>
        </w:tc>
        <w:tc>
          <w:tcPr>
            <w:tcW w:w="640" w:type="dxa"/>
            <w:vAlign w:val="bottom"/>
            <w:tcBorders>
              <w:bottom w:val="single" w:sz="8" w:color="auto"/>
            </w:tcBorders>
          </w:tcPr>
          <w:p>
            <w:pPr>
              <w:spacing w:after="0"/>
              <w:rPr>
                <w:sz w:val="16"/>
                <w:szCs w:val="16"/>
                <w:color w:val="auto"/>
              </w:rPr>
            </w:pPr>
          </w:p>
        </w:tc>
      </w:tr>
      <w:tr>
        <w:trPr>
          <w:trHeight w:val="264"/>
        </w:trPr>
        <w:tc>
          <w:tcPr>
            <w:tcW w:w="78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22"/>
                <w:szCs w:val="22"/>
                <w:color w:val="auto"/>
              </w:rPr>
            </w:pPr>
          </w:p>
        </w:tc>
      </w:tr>
      <w:tr>
        <w:trPr>
          <w:trHeight w:val="256"/>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r>
      <w:tr>
        <w:trPr>
          <w:trHeight w:val="264"/>
        </w:trPr>
        <w:tc>
          <w:tcPr>
            <w:tcW w:w="78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50,487</w:t>
            </w:r>
          </w:p>
        </w:tc>
        <w:tc>
          <w:tcPr>
            <w:tcW w:w="100" w:type="dxa"/>
            <w:vAlign w:val="bottom"/>
          </w:tcPr>
          <w:p>
            <w:pPr>
              <w:spacing w:after="0"/>
              <w:rPr>
                <w:sz w:val="22"/>
                <w:szCs w:val="22"/>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(32,088)</w:t>
            </w:r>
          </w:p>
        </w:tc>
      </w:tr>
      <w:tr>
        <w:trPr>
          <w:trHeight w:val="276"/>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cash flows from operating activities: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Provision for loan losses</w:t>
            </w:r>
          </w:p>
        </w:tc>
        <w:tc>
          <w:tcPr>
            <w:tcW w:w="104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2,206</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23,444</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Impairment of assets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3,012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1,674</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29,182</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34,017</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Payments for withholding taxes upon vesting of stock-based compensation</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(1,203)</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Non-cash expense for stock-based compensation</w:t>
            </w:r>
          </w:p>
        </w:tc>
        <w:tc>
          <w:tcPr>
            <w:tcW w:w="104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6,211</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7,186</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Amortization of discounts/premiums and deferred financing costs on debt obligations, net</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8,901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8,275</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Amortization of discounts/premiums on loans, net</w:t>
            </w:r>
          </w:p>
        </w:tc>
        <w:tc>
          <w:tcPr>
            <w:tcW w:w="104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(7,237)</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(4,977)</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Deferred interest on loans, net</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4,631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(32,840)</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Earnings from equity method investments</w:t>
            </w:r>
          </w:p>
        </w:tc>
        <w:tc>
          <w:tcPr>
            <w:tcW w:w="104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(47,714)</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(15,332)</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Distributions from operations of other investments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31,479</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7,843</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Deferred operating lease income</w:t>
            </w:r>
          </w:p>
        </w:tc>
        <w:tc>
          <w:tcPr>
            <w:tcW w:w="104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(4,993)</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(3,700)</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from sales of real estate</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(53,943)</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(39,511)</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Land development revenue in excess of cost of sales</w:t>
            </w:r>
          </w:p>
        </w:tc>
        <w:tc>
          <w:tcPr>
            <w:tcW w:w="104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(13,997)</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(2,659)</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Loss on early extinguishment of debt, net</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1,582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Debt discount on repayments of debt obligations</w:t>
            </w:r>
          </w:p>
        </w:tc>
        <w:tc>
          <w:tcPr>
            <w:tcW w:w="104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(5,369)</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(498)</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operating activities, net</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2,651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2,540</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Changes in assets and liabilities:</w:t>
            </w: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6"/>
        </w:trPr>
        <w:tc>
          <w:tcPr>
            <w:tcW w:w="7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Changes in accrued interest and operating lease income receivable, net</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4,436</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w:t>
            </w:r>
          </w:p>
        </w:tc>
      </w:tr>
      <w:tr>
        <w:trPr>
          <w:trHeight w:val="264"/>
        </w:trPr>
        <w:tc>
          <w:tcPr>
            <w:tcW w:w="7820" w:type="dxa"/>
            <w:vAlign w:val="bottom"/>
          </w:tcPr>
          <w:p>
            <w:pPr>
              <w:ind w:left="260"/>
              <w:spacing w:after="0"/>
              <w:rPr>
                <w:sz w:val="20"/>
                <w:szCs w:val="20"/>
                <w:color w:val="auto"/>
              </w:rPr>
            </w:pPr>
            <w:r>
              <w:rPr>
                <w:rFonts w:ascii="Arial" w:cs="Arial" w:eastAsia="Arial" w:hAnsi="Arial"/>
                <w:sz w:val="14"/>
                <w:szCs w:val="14"/>
                <w:color w:val="auto"/>
              </w:rPr>
              <w:t>Changes in deferred expenses and other assets, net</w:t>
            </w:r>
          </w:p>
        </w:tc>
        <w:tc>
          <w:tcPr>
            <w:tcW w:w="104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1,677</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5,293</w:t>
            </w:r>
          </w:p>
        </w:tc>
      </w:tr>
      <w:tr>
        <w:trPr>
          <w:trHeight w:val="270"/>
        </w:trPr>
        <w:tc>
          <w:tcPr>
            <w:tcW w:w="7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Changes in accounts payable, accrued expenses and other liabilities</w:t>
            </w:r>
          </w:p>
        </w:tc>
        <w:tc>
          <w:tcPr>
            <w:tcW w:w="10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(13,052)</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(21,321)</w:t>
            </w:r>
          </w:p>
        </w:tc>
      </w:tr>
      <w:tr>
        <w:trPr>
          <w:trHeight w:val="250"/>
        </w:trPr>
        <w:tc>
          <w:tcPr>
            <w:tcW w:w="78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Cash flows used in operating activities</w:t>
            </w:r>
          </w:p>
        </w:tc>
        <w:tc>
          <w:tcPr>
            <w:tcW w:w="10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(1,053)</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(63,774)</w:t>
            </w:r>
          </w:p>
        </w:tc>
      </w:tr>
      <w:tr>
        <w:trPr>
          <w:trHeight w:val="256"/>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Originations and fundings of loans receivable, net</w:t>
            </w:r>
          </w:p>
        </w:tc>
        <w:tc>
          <w:tcPr>
            <w:tcW w:w="104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w w:val="96"/>
              </w:rPr>
              <w:t>(158,262)</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(267,245)</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Capital expenditures on real estate assets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(35,674)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(33,210)</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Capital expenditures on land and development assets</w:t>
            </w:r>
          </w:p>
        </w:tc>
        <w:tc>
          <w:tcPr>
            <w:tcW w:w="104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(58,961)</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(42,050)</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Acquisitions of real estate assets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(3,915)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Repayments of and principal collections on loans receivable and other lending investments, net</w:t>
            </w:r>
          </w:p>
        </w:tc>
        <w:tc>
          <w:tcPr>
            <w:tcW w:w="104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202,014</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74,989</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proceeds from sales of loans receivable</w:t>
            </w:r>
          </w:p>
        </w:tc>
        <w:tc>
          <w:tcPr>
            <w:tcW w:w="10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5,595</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Net proceeds from sales of real estate</w:t>
            </w:r>
          </w:p>
        </w:tc>
        <w:tc>
          <w:tcPr>
            <w:tcW w:w="104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247,956</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209,142</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proceeds from sales of land and development assets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33,660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14,745</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Net proceeds from sales of other investments</w:t>
            </w:r>
          </w:p>
        </w:tc>
        <w:tc>
          <w:tcPr>
            <w:tcW w:w="104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39,810</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Distributions from other investments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8,632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67,358</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Contributions to other investments</w:t>
            </w:r>
          </w:p>
        </w:tc>
        <w:tc>
          <w:tcPr>
            <w:tcW w:w="104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(8,283)</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(7,449)</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Changes in restricted cash held in connection with investing activities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3,220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(14,359)</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Deposits paid to escrow account, net</w:t>
            </w:r>
          </w:p>
        </w:tc>
        <w:tc>
          <w:tcPr>
            <w:tcW w:w="104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(25,180)</w:t>
            </w:r>
          </w:p>
        </w:tc>
      </w:tr>
      <w:tr>
        <w:trPr>
          <w:trHeight w:val="270"/>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investing activities, net</w:t>
            </w:r>
          </w:p>
        </w:tc>
        <w:tc>
          <w:tcPr>
            <w:tcW w:w="10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(5,677)</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15,308</w:t>
            </w:r>
          </w:p>
        </w:tc>
      </w:tr>
      <w:tr>
        <w:trPr>
          <w:trHeight w:val="250"/>
        </w:trPr>
        <w:tc>
          <w:tcPr>
            <w:tcW w:w="78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Cash flows provided by (used in) investing activities</w:t>
            </w:r>
          </w:p>
        </w:tc>
        <w:tc>
          <w:tcPr>
            <w:tcW w:w="10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264,520</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(2,356)</w:t>
            </w:r>
          </w:p>
        </w:tc>
      </w:tr>
      <w:tr>
        <w:trPr>
          <w:trHeight w:val="256"/>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Borrowings from debt obligations</w:t>
            </w:r>
          </w:p>
        </w:tc>
        <w:tc>
          <w:tcPr>
            <w:tcW w:w="104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646,401</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374,000</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Repayments of debt obligations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(991,184)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(247,055)</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Proceeds from loan participations payable</w:t>
            </w:r>
          </w:p>
        </w:tc>
        <w:tc>
          <w:tcPr>
            <w:tcW w:w="104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22,844</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w w:val="98"/>
              </w:rPr>
              <w:t>138,075</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Preferred dividends paid</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(25,660)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(25,660)</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color w:val="auto"/>
              </w:rPr>
              <w:t>Repurchase of stock</w:t>
            </w:r>
          </w:p>
        </w:tc>
        <w:tc>
          <w:tcPr>
            <w:tcW w:w="104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(90,481)</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(561)</w:t>
            </w:r>
          </w:p>
        </w:tc>
      </w:tr>
      <w:tr>
        <w:trPr>
          <w:trHeight w:val="27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Payments for deferred financing costs</w:t>
            </w: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(8,003)</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(2,255)</w:t>
            </w:r>
          </w:p>
        </w:tc>
      </w:tr>
      <w:tr>
        <w:trPr>
          <w:trHeight w:val="264"/>
        </w:trPr>
        <w:tc>
          <w:tcPr>
            <w:tcW w:w="78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 financing activities, net</w:t>
            </w:r>
          </w:p>
        </w:tc>
        <w:tc>
          <w:tcPr>
            <w:tcW w:w="10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(7,144)</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(5,771)</w:t>
            </w:r>
          </w:p>
        </w:tc>
      </w:tr>
      <w:tr>
        <w:trPr>
          <w:trHeight w:val="250"/>
        </w:trPr>
        <w:tc>
          <w:tcPr>
            <w:tcW w:w="7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flows (used in) provided by financing activities</w:t>
            </w:r>
          </w:p>
        </w:tc>
        <w:tc>
          <w:tcPr>
            <w:tcW w:w="10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6"/>
              </w:rPr>
              <w:t>(453,227)</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8"/>
              </w:rPr>
              <w:t>230,773</w:t>
            </w:r>
          </w:p>
        </w:tc>
      </w:tr>
      <w:tr>
        <w:trPr>
          <w:trHeight w:val="250"/>
        </w:trPr>
        <w:tc>
          <w:tcPr>
            <w:tcW w:w="78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Effect of exchange rate changes on cash</w:t>
            </w:r>
          </w:p>
        </w:tc>
        <w:tc>
          <w:tcPr>
            <w:tcW w:w="10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432</w:t>
            </w:r>
          </w:p>
        </w:tc>
      </w:tr>
      <w:tr>
        <w:trPr>
          <w:trHeight w:val="256"/>
        </w:trPr>
        <w:tc>
          <w:tcPr>
            <w:tcW w:w="7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Changes in cash and cash equivalents</w:t>
            </w: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(189,738)</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8"/>
              </w:rPr>
              <w:t>165,075</w:t>
            </w:r>
          </w:p>
        </w:tc>
      </w:tr>
      <w:tr>
        <w:trPr>
          <w:trHeight w:val="264"/>
        </w:trPr>
        <w:tc>
          <w:tcPr>
            <w:tcW w:w="78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Cash and cash equivalents at beginning of period</w:t>
            </w:r>
          </w:p>
        </w:tc>
        <w:tc>
          <w:tcPr>
            <w:tcW w:w="10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711,101</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8"/>
              </w:rPr>
              <w:t>472,061</w:t>
            </w:r>
          </w:p>
        </w:tc>
      </w:tr>
      <w:tr>
        <w:trPr>
          <w:trHeight w:val="243"/>
        </w:trPr>
        <w:tc>
          <w:tcPr>
            <w:tcW w:w="7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Cash and cash equivalents at end of period</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521,363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8"/>
              </w:rPr>
              <w:t>637,136</w:t>
            </w:r>
          </w:p>
        </w:tc>
      </w:tr>
      <w:tr>
        <w:trPr>
          <w:trHeight w:val="20"/>
        </w:trPr>
        <w:tc>
          <w:tcPr>
            <w:tcW w:w="7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80"/>
          </w:cols>
          <w:pgMar w:left="240" w:top="121" w:right="279" w:bottom="0" w:gutter="0" w:footer="0" w:header="0"/>
        </w:sectPr>
      </w:pPr>
    </w:p>
    <w:bookmarkStart w:id="7" w:name="page8"/>
    <w:bookmarkEnd w:id="7"/>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ectPr>
          <w:pgSz w:w="11900" w:h="16838" w:orient="portrait"/>
          <w:cols w:equalWidth="0" w:num="1">
            <w:col w:w="9019"/>
          </w:cols>
          <w:pgMar w:left="1440" w:top="260"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260"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25"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Business</w:t>
      </w:r>
      <w:r>
        <w:rPr>
          <w:rFonts w:ascii="Arial" w:cs="Arial" w:eastAsia="Arial" w:hAnsi="Arial"/>
          <w:sz w:val="17"/>
          <w:szCs w:val="17"/>
          <w:color w:val="auto"/>
        </w:rPr>
        <w:t>—iStar Inc. (the "Company"), doing business as "iStar," finances, invests in and develops real estate and real estate related projects as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its fully-integrated investment platform. The Company has invested more than $35 billion over the past two decades and is structured as a real estate investment trust ("REIT") with a diversified portfolio focused on larger assets located in major metropolitan markets. The Company's primary business segments are real estate finance, land and development, net lease and operating properties (refer to Note 17).</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Organization</w:t>
      </w:r>
      <w:r>
        <w:rPr>
          <w:rFonts w:ascii="Arial" w:cs="Arial" w:eastAsia="Arial" w:hAnsi="Arial"/>
          <w:sz w:val="16"/>
          <w:szCs w:val="16"/>
          <w:color w:val="auto"/>
        </w:rPr>
        <w:t>—The Company began its business in 1993 through the management of private investment funds and became publicly traded in 1998.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Since that time, the Company has grown through the origination of new investments, as well as through corporate acquisitions.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Consolidation</w:t>
      </w:r>
    </w:p>
    <w:p>
      <w:pPr>
        <w:spacing w:after="0" w:line="14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6"/>
          <w:szCs w:val="16"/>
          <w:b w:val="1"/>
          <w:bCs w:val="1"/>
          <w:color w:val="auto"/>
        </w:rPr>
        <w:t>Basis of Presentation</w:t>
      </w:r>
      <w:r>
        <w:rPr>
          <w:rFonts w:ascii="Arial" w:cs="Arial" w:eastAsia="Arial" w:hAnsi="Arial"/>
          <w:sz w:val="16"/>
          <w:szCs w:val="16"/>
          <w:color w:val="auto"/>
        </w:rPr>
        <w:t>—The accompanying unaudited consolidated financial statements have been prepared in conformity with the instructions to</w:t>
      </w:r>
      <w:r>
        <w:rPr>
          <w:rFonts w:ascii="Arial" w:cs="Arial" w:eastAsia="Arial" w:hAnsi="Arial"/>
          <w:sz w:val="16"/>
          <w:szCs w:val="16"/>
          <w:b w:val="1"/>
          <w:bCs w:val="1"/>
          <w:color w:val="auto"/>
        </w:rPr>
        <w:t xml:space="preserve"> </w:t>
      </w:r>
      <w:r>
        <w:rPr>
          <w:rFonts w:ascii="Arial" w:cs="Arial" w:eastAsia="Arial" w:hAnsi="Arial"/>
          <w:sz w:val="16"/>
          <w:szCs w:val="16"/>
          <w:color w:val="auto"/>
        </w:rPr>
        <w:t>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2015, as amended on Form 10-K/A on March 9, 2016 (the "2015 Annual Report").</w:t>
      </w:r>
    </w:p>
    <w:p>
      <w:pPr>
        <w:spacing w:after="0" w:line="7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4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opinion of management, the accompanying consolidated financial statements contain all adjustments, consisting of normal recurring adjustments necessary for a fair statement of the results for the interim periods presented. Such operating results may not be indicative of the expected results for any other interim periods or the entire year. Certain prior year amounts have been reclassified in the consolidated financial statements and the related notes to conform to the 2016 presentation.</w:t>
      </w:r>
    </w:p>
    <w:p>
      <w:pPr>
        <w:spacing w:after="0" w:line="14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During the year ended December 31, 2015, the Company determined that its classification of common shares repurchased under its share repurchase programs should be classified as a reduction to common stock for the par amount of the common stock repurchased and additional paid in capital and included as shares unissued within the consolidated financial statements. The Company previously classified common shares repurchased under its share repurchase programs as treasury stock. The misclassification eliminates treasury stock and results in corresponding reductions of common stock and additional paid-in capital, which results in no change in total equity within the consolidated balance sheets and consolidated statements of changes in equity. All repurchased shares previously reported as treasury stock will now be reported as unissued common stock. The change has no impact on the previously reported consolidated statements of operations, consolidated statements of comprehensive income or consolidated statements of cash flows. The Company evaluated the impact of this correction on previously issued financial statements and concluded they were not materially misstated. In order to conform previous financial statements with the current period, the Company elected to revise previously issued financial statements each time such financial statements are filed. The accompanying consolidated statements of changes in equity balances as of June 30, 2015 have been revised as follows:</w:t>
      </w:r>
    </w:p>
    <w:p>
      <w:pPr>
        <w:spacing w:after="0" w:line="29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color w:val="auto"/>
              </w:rPr>
              <w:t>As Reported</w:t>
            </w:r>
          </w:p>
        </w:tc>
        <w:tc>
          <w:tcPr>
            <w:tcW w:w="280" w:type="dxa"/>
            <w:vAlign w:val="bottom"/>
          </w:tcPr>
          <w:p>
            <w:pPr>
              <w:spacing w:after="0"/>
              <w:rPr>
                <w:sz w:val="20"/>
                <w:szCs w:val="20"/>
                <w:color w:val="auto"/>
              </w:rPr>
            </w:pPr>
          </w:p>
        </w:tc>
        <w:tc>
          <w:tcPr>
            <w:tcW w:w="1620" w:type="dxa"/>
            <w:vAlign w:val="bottom"/>
            <w:gridSpan w:val="2"/>
          </w:tcPr>
          <w:p>
            <w:pPr>
              <w:ind w:left="340"/>
              <w:spacing w:after="0"/>
              <w:rPr>
                <w:sz w:val="20"/>
                <w:szCs w:val="20"/>
                <w:color w:val="auto"/>
              </w:rPr>
            </w:pPr>
            <w:r>
              <w:rPr>
                <w:rFonts w:ascii="Arial" w:cs="Arial" w:eastAsia="Arial" w:hAnsi="Arial"/>
                <w:sz w:val="18"/>
                <w:szCs w:val="18"/>
                <w:color w:val="auto"/>
              </w:rPr>
              <w:t>Change</w:t>
            </w:r>
          </w:p>
        </w:tc>
        <w:tc>
          <w:tcPr>
            <w:tcW w:w="300" w:type="dxa"/>
            <w:vAlign w:val="bottom"/>
          </w:tcPr>
          <w:p>
            <w:pPr>
              <w:spacing w:after="0"/>
              <w:rPr>
                <w:sz w:val="20"/>
                <w:szCs w:val="20"/>
                <w:color w:val="auto"/>
              </w:rPr>
            </w:pP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As Adjusted</w:t>
            </w:r>
          </w:p>
        </w:tc>
      </w:tr>
      <w:tr>
        <w:trPr>
          <w:trHeight w:val="27"/>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June 30, 2015</w:t>
            </w: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3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44"/>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4,007,937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3,744,483</w:t>
            </w:r>
          </w:p>
        </w:tc>
      </w:tr>
      <w:tr>
        <w:trPr>
          <w:trHeight w:val="243"/>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Treasury stock, at cost</w:t>
            </w:r>
          </w:p>
        </w:tc>
        <w:tc>
          <w:tcPr>
            <w:tcW w:w="2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263,515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3,744,568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3,744,568</w:t>
            </w: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622"/>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consolidated financial statements include the financial statements of the Company, its wholly owned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partnerships and variable interest entities ("VIEs") for which the Company is the primary beneficiary. All significant intercompany balances and transactions have been eliminated in consolidation. The Company's involvement with VIEs affects its financial performance and cash flows primarily through amounts recorded in "Operating lease income," "Interest income," "Earnings from equity method investments," "Real estate expense" and "Interest expense" in the Company's consolidated statements of operations. The Company has not provided financial support to those VIEs that it was not previously contractually required to provide.</w:t>
      </w:r>
    </w:p>
    <w:p>
      <w:pPr>
        <w:spacing w:after="0" w:line="151"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b w:val="1"/>
          <w:bCs w:val="1"/>
          <w:i w:val="1"/>
          <w:iCs w:val="1"/>
          <w:color w:val="auto"/>
        </w:rPr>
        <w:t>Consolidated VIEs</w:t>
      </w:r>
      <w:r>
        <w:rPr>
          <w:rFonts w:ascii="Arial" w:cs="Arial" w:eastAsia="Arial" w:hAnsi="Arial"/>
          <w:sz w:val="16"/>
          <w:szCs w:val="16"/>
          <w:color w:val="auto"/>
        </w:rPr>
        <w:t>—The Company consolidates VIEs for which it is considered the primary beneficiary. As of June 30, 2016, the total assets of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VIEs were $397.2 million and total liabilities were $69.0 million. The classifications of these assets are primarily within "Land and development" and "Real estate, net" on the Company's consolidated balance sheets. The classifications of liabilities are primarily within "Accounts payable, accrued expenses and other liabilities" on the Company's consolidated balance sheets. The liabilities of these VIEs are non-recourse to the Company and can only be satisfied from each VIE's respective assets. The Company did not have any unfunded commitments related to consolidated VIEs as of June 30, 2016.</w:t>
      </w:r>
    </w:p>
    <w:p>
      <w:pPr>
        <w:spacing w:after="0" w:line="15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b w:val="1"/>
          <w:bCs w:val="1"/>
          <w:i w:val="1"/>
          <w:iCs w:val="1"/>
          <w:color w:val="auto"/>
        </w:rPr>
        <w:t>Unconsolidated VIEs</w:t>
      </w:r>
      <w:r>
        <w:rPr>
          <w:rFonts w:ascii="Arial" w:cs="Arial" w:eastAsia="Arial" w:hAnsi="Arial"/>
          <w:sz w:val="17"/>
          <w:szCs w:val="17"/>
          <w:color w:val="auto"/>
        </w:rPr>
        <w:t>—The Company has investments in VIEs where it is not the primary beneficiary and accordingly the VIEs have not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consolidated in the Company's consolidated financial statements. As of June 30, 2016, the Company's maximum exposure to loss from these investments does not exceed the sum of the $86.2 million carrying value of the investments, which are classified in "Other investments" and "Loans receivable and other lending investments, net" on the Company's consolidated balance sheets, and $48.2 million of related unfunded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In accordance with the adoption of Accounting Standards Update ("ASU")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xml:space="preserve"> ("ASU 2015-03") the Company presents debt issuance costs as a deduction from the carrying value of "Debt obligations, net" and "Loan participations payable, net" on the Company's consolidated balance sheets, which is consistent with the presentation of debt discounts. These costs were previously recorded in "Deferred expenses and other assets, net" on the Company's consolidated balance sheets. As a result, as of December 31, 2015, "Deferred expenses and other assets, net" excludes $25.1 million of debt issuance costs and "Debt obligations, net" and "Loan participations payable, net" are presented net of debt issuance costs of $24.9 million and $0.2 million, respectively. Debt issuance costs associated with revolving-debt arrangements are recorded in "Deferred expenses and other assets, net" on the Company's consolidated balance sheets.</w:t>
      </w:r>
    </w:p>
    <w:p>
      <w:pPr>
        <w:spacing w:after="0" w:line="13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On January 1, 2016, the Company adopted ASU 2015-02, </w:t>
      </w:r>
      <w:r>
        <w:rPr>
          <w:rFonts w:ascii="Arial" w:cs="Arial" w:eastAsia="Arial" w:hAnsi="Arial"/>
          <w:sz w:val="18"/>
          <w:szCs w:val="18"/>
          <w:i w:val="1"/>
          <w:iCs w:val="1"/>
          <w:color w:val="auto"/>
        </w:rPr>
        <w:t>Amendments to the Consolidation Analysis</w:t>
      </w:r>
      <w:r>
        <w:rPr>
          <w:rFonts w:ascii="Arial" w:cs="Arial" w:eastAsia="Arial" w:hAnsi="Arial"/>
          <w:sz w:val="18"/>
          <w:szCs w:val="18"/>
          <w:color w:val="auto"/>
        </w:rPr>
        <w:t xml:space="preserve"> ("ASU 2015-02") which modified the analysis it must perform to determine whether it should consolidate certain types of entities. The guidance does not amend the existing disclosure requirements for VIEs or voting interest entities ("VOEs"). The guidance, however, modified the requirements to qualify under the VOE model. The adoption did not have a material impact on the Company's consolidated financial statements.</w:t>
      </w:r>
    </w:p>
    <w:p>
      <w:pPr>
        <w:spacing w:after="0" w:line="14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On January 1, 2016, the Company adopted ASU 2014-16, </w:t>
      </w:r>
      <w:r>
        <w:rPr>
          <w:rFonts w:ascii="Arial" w:cs="Arial" w:eastAsia="Arial" w:hAnsi="Arial"/>
          <w:sz w:val="18"/>
          <w:szCs w:val="18"/>
          <w:i w:val="1"/>
          <w:iCs w:val="1"/>
          <w:color w:val="auto"/>
        </w:rPr>
        <w:t>Determining Whether the Host Contract in a Hybrid Financial Instrument Issued in the Form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a Share is More Akin to Debt or to Equity </w:t>
      </w:r>
      <w:r>
        <w:rPr>
          <w:rFonts w:ascii="Arial" w:cs="Arial" w:eastAsia="Arial" w:hAnsi="Arial"/>
          <w:sz w:val="18"/>
          <w:szCs w:val="18"/>
          <w:color w:val="auto"/>
        </w:rPr>
        <w:t>("ASU 2014-16") which eliminated the diversity in practice for the accounting for hybrid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in the form of a share. ASU 2014-16 requires management to consider all terms and features, whether stated or implied, of a hybrid instrument when determining whether the nature of the instrument is more akin to a debt instrument or an equity instrument. Embedded derivative features, which are accounted for separately from host contracts, should also be considered in the analysis of the hybrid instrument. The adoption did not have a material impact on the Company's consolidated financial statements.</w:t>
      </w:r>
    </w:p>
    <w:p>
      <w:pPr>
        <w:spacing w:after="0" w:line="15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2016, the remainder of the Company's significant accounting policies, which are detailed in the Company's 2015 Annual Report, have not changed materially.</w:t>
      </w:r>
    </w:p>
    <w:p>
      <w:pPr>
        <w:spacing w:after="0" w:line="126"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b w:val="1"/>
          <w:bCs w:val="1"/>
          <w:color w:val="auto"/>
        </w:rPr>
        <w:t>New Accounting Pronouncements</w:t>
      </w:r>
      <w:r>
        <w:rPr>
          <w:rFonts w:ascii="Arial" w:cs="Arial" w:eastAsia="Arial" w:hAnsi="Arial"/>
          <w:sz w:val="16"/>
          <w:szCs w:val="16"/>
          <w:i w:val="1"/>
          <w:iCs w:val="1"/>
          <w:color w:val="auto"/>
        </w:rPr>
        <w:t>—</w:t>
      </w:r>
      <w:r>
        <w:rPr>
          <w:rFonts w:ascii="Arial" w:cs="Arial" w:eastAsia="Arial" w:hAnsi="Arial"/>
          <w:sz w:val="16"/>
          <w:szCs w:val="16"/>
          <w:color w:val="auto"/>
        </w:rPr>
        <w:t>In June 2016</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Financial Accounting Standards Board ("FASB") issued ASU 2016-13,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Financial Instruments—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Credit Losses: Measurement of Credit Losses on Financial Instruments </w:t>
      </w:r>
      <w:r>
        <w:rPr>
          <w:rFonts w:ascii="Arial" w:cs="Arial" w:eastAsia="Arial" w:hAnsi="Arial"/>
          <w:sz w:val="16"/>
          <w:szCs w:val="16"/>
          <w:color w:val="auto"/>
        </w:rPr>
        <w:t>("ASU 2016-13") which was issued to provide financial statement users with more</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decision-useful information about the expected credit losses on financial instruments held by a reporting entity. This amendment replaces the incurred loss impairment methodology in current GAAP with a methodology that reflects expected credit losses and requires consideration of a broader range of reasonable and supportable information to inform credit loss estimates. ASU 2016-13 is effective for interim and annual reporting periods beginning after</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December 15, 2019. Early adoption is permitted for interim and annual reporting periods beginning after December 15, 2018. Management is evaluating the impact of the guidance on the Company's consolidated financial statements.</w:t>
      </w:r>
    </w:p>
    <w:p>
      <w:pPr>
        <w:spacing w:after="0" w:line="1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March 2016</w:t>
      </w:r>
      <w:r>
        <w:rPr>
          <w:rFonts w:ascii="Arial" w:cs="Arial" w:eastAsia="Arial" w:hAnsi="Arial"/>
          <w:sz w:val="18"/>
          <w:szCs w:val="18"/>
          <w:i w:val="1"/>
          <w:iCs w:val="1"/>
          <w:color w:val="auto"/>
        </w:rPr>
        <w:t>,</w:t>
      </w:r>
      <w:r>
        <w:rPr>
          <w:rFonts w:ascii="Arial" w:cs="Arial" w:eastAsia="Arial" w:hAnsi="Arial"/>
          <w:sz w:val="18"/>
          <w:szCs w:val="18"/>
          <w:color w:val="auto"/>
        </w:rPr>
        <w:t xml:space="preserve"> the FASB issued ASU 2016-09, </w:t>
      </w:r>
      <w:r>
        <w:rPr>
          <w:rFonts w:ascii="Arial" w:cs="Arial" w:eastAsia="Arial" w:hAnsi="Arial"/>
          <w:sz w:val="18"/>
          <w:szCs w:val="18"/>
          <w:i w:val="1"/>
          <w:iCs w:val="1"/>
          <w:color w:val="auto"/>
        </w:rPr>
        <w:t>Compensation-Stock Compensation: Improvements to Employee Share-Based Payment Accounting</w:t>
      </w:r>
      <w:r>
        <w:rPr>
          <w:rFonts w:ascii="Arial" w:cs="Arial" w:eastAsia="Arial" w:hAnsi="Arial"/>
          <w:sz w:val="18"/>
          <w:szCs w:val="18"/>
          <w:color w:val="auto"/>
        </w:rPr>
        <w:t xml:space="preserve"> ("ASU 2016-09") which was issued to simplify several aspects of the accounting for share-based payment transactions, including income tax, classification of awards as either equity or liabilities and classification on the statement of cash flows. ASU 2016-09 is effective for interim and annual reporting periods beginning after December 15, 2016. Early adoption is permitted. Management is evaluating the impact of the guidance on the Company's consolidated financial statements.</w:t>
      </w:r>
    </w:p>
    <w:p>
      <w:pPr>
        <w:spacing w:after="0" w:line="14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which requires the recognition of lease assets and lease liabilities by lessees for those leases classified as operating leases. For operating leases, a lessee will be required to do the following: (i) recognize a right-of-use asset and a lease liability, initially measured at the present value of the lease payments, in the statement of financial position; (ii) recognize a single lease cost, calculated so that the cost of the lease is allocated over the lease term on a generally straight-line basis and (iii) classify all cash payments within operating activities in the statement of cash flows. The accounting applied by a lessor is largely unchanged from that applied under previous GAAP. ASU 2016-02 is effective for interim and annual reporting periods beginning after December 15, 2018. Early adoption is permitted. Management is evaluating the impact of the guidance on the Company's consolidated financial statements.</w:t>
      </w:r>
    </w:p>
    <w:p>
      <w:pPr>
        <w:spacing w:after="0" w:line="13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Recognition and Measurement of Financial Assets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("ASU 2016-01"), which addresses certain aspects of recognition, measurement, presentation and disclosure of financial instruments. ASU 2016-01 is effective for interim and annual reporting periods beginning after December 15, 2017. Early adoption is not permitted. Management is evaluating the impact of the guidance on the Company's consolidated financial statements.</w:t>
      </w:r>
    </w:p>
    <w:p>
      <w:pPr>
        <w:spacing w:after="0" w:line="14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xml:space="preserve"> ("ASU 2014-15") which requires management to evaluate whether there is substantial doubt that the Company is able to continue operating as a going concern within one year after the date the financial statements are issued or available to be issued. If there is substantial doubt, additional disclosure is required, including the principal condition or event that raised the substantial doubt, the Company's evaluation of the condition or event in relation to its ability to meet its obligations and the Company's plan to alleviate (or, which is intended to alleviate) the substantial doubt. ASU 2014-15 is effective for interim and annual reporting periods beginning after December 15, 2016. Early adoption is permitted. Management does not believe the guidance will have a material impact on the Company's consolidated financial statements.</w:t>
      </w:r>
    </w:p>
    <w:p>
      <w:pPr>
        <w:spacing w:after="0" w:line="14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which supersedes existing industry-specific guidance, including ASC 360-20, </w:t>
      </w:r>
      <w:r>
        <w:rPr>
          <w:rFonts w:ascii="Arial" w:cs="Arial" w:eastAsia="Arial" w:hAnsi="Arial"/>
          <w:sz w:val="16"/>
          <w:szCs w:val="16"/>
          <w:i w:val="1"/>
          <w:iCs w:val="1"/>
          <w:color w:val="auto"/>
        </w:rPr>
        <w:t>Real Estate Sales</w:t>
      </w:r>
      <w:r>
        <w:rPr>
          <w:rFonts w:ascii="Arial" w:cs="Arial" w:eastAsia="Arial" w:hAnsi="Arial"/>
          <w:sz w:val="16"/>
          <w:szCs w:val="16"/>
          <w:color w:val="auto"/>
        </w:rPr>
        <w:t xml:space="preserve">. The new standard is principles-based and requires more estimates and judgment than current guidance. Certain contracts with customers, including lease contracts and financial instruments and other contractual rights, are not within the scope of the new guidance. In August 2015, the FASB issued ASU 2015-14, </w:t>
      </w:r>
      <w:r>
        <w:rPr>
          <w:rFonts w:ascii="Arial" w:cs="Arial" w:eastAsia="Arial" w:hAnsi="Arial"/>
          <w:sz w:val="16"/>
          <w:szCs w:val="16"/>
          <w:i w:val="1"/>
          <w:iCs w:val="1"/>
          <w:color w:val="auto"/>
        </w:rPr>
        <w:t>Revenue from Contracts with Customers - Deferral of the Effective Date</w:t>
      </w:r>
      <w:r>
        <w:rPr>
          <w:rFonts w:ascii="Arial" w:cs="Arial" w:eastAsia="Arial" w:hAnsi="Arial"/>
          <w:sz w:val="16"/>
          <w:szCs w:val="16"/>
          <w:color w:val="auto"/>
        </w:rPr>
        <w:t>, to defer the effective date of ASU 2014-09 by one year. ASU 2014-09 is now effective for interim and annual reporting periods beginning after December 15, 2017. Early adoption is permitted beginning January 1, 2017. Management is evaluating the impact of the guidance on the Company's consolidated financial statements.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 w:right="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real estate assets were comprised of the following ($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Operating</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 Lease</w:t>
            </w:r>
          </w:p>
        </w:tc>
        <w:tc>
          <w:tcPr>
            <w:tcW w:w="26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Properties</w:t>
            </w:r>
          </w:p>
        </w:tc>
        <w:tc>
          <w:tcPr>
            <w:tcW w:w="360" w:type="dxa"/>
            <w:vAlign w:val="bottom"/>
          </w:tcPr>
          <w:p>
            <w:pPr>
              <w:spacing w:after="0"/>
              <w:rPr>
                <w:sz w:val="17"/>
                <w:szCs w:val="17"/>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2016</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Land and land improvements, at cost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305,424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115,306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420,730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 at cost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1,159,014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282,638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1,441,652</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(382,613)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(426,462)</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1,081,825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354,095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1,435,920</w:t>
            </w:r>
          </w:p>
        </w:tc>
        <w:tc>
          <w:tcPr>
            <w:tcW w:w="0" w:type="dxa"/>
            <w:vAlign w:val="bottom"/>
          </w:tcPr>
          <w:p>
            <w:pPr>
              <w:spacing w:after="0"/>
              <w:rPr>
                <w:sz w:val="1"/>
                <w:szCs w:val="1"/>
                <w:color w:val="auto"/>
              </w:rPr>
            </w:pPr>
          </w:p>
        </w:tc>
      </w:tr>
      <w:tr>
        <w:trPr>
          <w:trHeight w:val="270"/>
        </w:trPr>
        <w:tc>
          <w:tcPr>
            <w:tcW w:w="39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Real estate available and held for sale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126,070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126,070</w:t>
            </w:r>
          </w:p>
        </w:tc>
        <w:tc>
          <w:tcPr>
            <w:tcW w:w="0" w:type="dxa"/>
            <w:vAlign w:val="bottom"/>
          </w:tcPr>
          <w:p>
            <w:pPr>
              <w:spacing w:after="0"/>
              <w:rPr>
                <w:sz w:val="1"/>
                <w:szCs w:val="1"/>
                <w:color w:val="auto"/>
              </w:rPr>
            </w:pPr>
          </w:p>
        </w:tc>
      </w:tr>
      <w:tr>
        <w:trPr>
          <w:trHeight w:val="257"/>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1,081,825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480,165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1,561,990</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 at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306,172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133,275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439,447</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Buildings and improvements, at cost</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1,183,723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427,371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1,611,094</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(377,416)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(456,558)</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Real estate, net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1,112,479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481,504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1,593,983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Real estate available and held for sale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137,274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137,274</w:t>
            </w:r>
          </w:p>
        </w:tc>
        <w:tc>
          <w:tcPr>
            <w:tcW w:w="0" w:type="dxa"/>
            <w:vAlign w:val="bottom"/>
          </w:tcPr>
          <w:p>
            <w:pPr>
              <w:spacing w:after="0"/>
              <w:rPr>
                <w:sz w:val="1"/>
                <w:szCs w:val="1"/>
                <w:color w:val="auto"/>
              </w:rPr>
            </w:pPr>
          </w:p>
        </w:tc>
      </w:tr>
      <w:tr>
        <w:trPr>
          <w:trHeight w:val="250"/>
        </w:trPr>
        <w:tc>
          <w:tcPr>
            <w:tcW w:w="3960" w:type="dxa"/>
            <w:vAlign w:val="bottom"/>
          </w:tcPr>
          <w:p>
            <w:pPr>
              <w:ind w:left="40"/>
              <w:spacing w:after="0"/>
              <w:rPr>
                <w:sz w:val="20"/>
                <w:szCs w:val="20"/>
                <w:color w:val="auto"/>
              </w:rPr>
            </w:pPr>
            <w:r>
              <w:rPr>
                <w:rFonts w:ascii="Arial" w:cs="Arial" w:eastAsia="Arial" w:hAnsi="Arial"/>
                <w:sz w:val="18"/>
                <w:szCs w:val="18"/>
                <w:color w:val="auto"/>
              </w:rPr>
              <w:t>Total real estate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1,112,479</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618,778</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1,731,257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8890</wp:posOffset>
            </wp:positionV>
            <wp:extent cx="2992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-98425</wp:posOffset>
            </wp:positionV>
            <wp:extent cx="2992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500" w:hanging="492"/>
        <w:spacing w:after="0" w:line="255"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of June 30, 2016 and December 31, 2015, the Company had $110.0 million and $137.3 million, respectively, of residential properties available for sale in its operating properties portfolio.</w:t>
      </w:r>
    </w:p>
    <w:p>
      <w:pPr>
        <w:spacing w:after="0" w:line="186"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Real Estate Available and Held for Sale—</w:t>
      </w:r>
      <w:r>
        <w:rPr>
          <w:rFonts w:ascii="Arial" w:cs="Arial" w:eastAsia="Arial" w:hAnsi="Arial"/>
          <w:sz w:val="18"/>
          <w:szCs w:val="18"/>
          <w:color w:val="auto"/>
        </w:rPr>
        <w:t>During the six months ended June 30, 2016, the Company transferred one net lease asset with a carrying</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$0.7 million and one commercial operating property with a carrying value of $16.1 million to held for sale due to executed contracts with third parties. During the six months ended June 30, 2015, the Company transferred net lease assets with a carrying value of $8.2 million to held for sale due to executed contracts with third parties and one commercial operating property with a carrying value of $2.9 million to held for investment due to a change in business strategy.</w:t>
      </w:r>
    </w:p>
    <w:p>
      <w:pPr>
        <w:spacing w:after="0" w:line="184"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During the six months ended June 30, 2016, the Company acquired land for $3.9 million and simultaneously entered into a 99 year</w:t>
      </w:r>
      <w:r>
        <w:rPr>
          <w:rFonts w:ascii="Arial" w:cs="Arial" w:eastAsia="Arial" w:hAnsi="Arial"/>
          <w:sz w:val="18"/>
          <w:szCs w:val="18"/>
          <w:b w:val="1"/>
          <w:bCs w:val="1"/>
          <w:color w:val="auto"/>
        </w:rPr>
        <w:t xml:space="preserve"> </w:t>
      </w:r>
      <w:r>
        <w:rPr>
          <w:rFonts w:ascii="Arial" w:cs="Arial" w:eastAsia="Arial" w:hAnsi="Arial"/>
          <w:sz w:val="18"/>
          <w:szCs w:val="18"/>
          <w:color w:val="auto"/>
        </w:rPr>
        <w:t>ground lease with the seller. During the six months ended June 30, 2015, the Company acquired, via deed-in-lieu, title to a residential operating property which had a total fair value of $13.4 million and previously served as collateral for loans receivable held by the Company. No gain or loss was recorded in connection with this transaction.</w:t>
      </w:r>
    </w:p>
    <w:p>
      <w:pPr>
        <w:spacing w:after="0" w:line="14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Dispositions—</w:t>
      </w:r>
      <w:r>
        <w:rPr>
          <w:rFonts w:ascii="Arial" w:cs="Arial" w:eastAsia="Arial" w:hAnsi="Arial"/>
          <w:sz w:val="18"/>
          <w:szCs w:val="18"/>
          <w:color w:val="auto"/>
        </w:rPr>
        <w:t>During the six months ended June 30, 2016 and 2015, the Company sold residential condominiums for total net proceeds of $59.2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and $91.3 million, respectively, and recorded income from sales of real estate totaling $18.8 million and $30.9 million, respectively. During the six months ended June 30, 2016 and 2015, the Company sold net lease assets for net proceeds of $30.2 million and $25.6 million, respectively, resulting in gains of $9.2 million and $8.6 million, respectively. During the six months ended June 30, 2016, the Company also sold three commercial operating properties for net proceeds of $158.9 million resulting in gains of $25.9 million. The gains are recorded in "Income from sales of real estate" in the Company's consolidated statements of operations.</w:t>
      </w:r>
    </w:p>
    <w:p>
      <w:pPr>
        <w:spacing w:after="0" w:line="15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During the six months ended June 30, 2015, the Company, through a consolidated entity, sold a leasehold interest in a commercial operating property for net proceeds of $93.5 million and simultaneously entered into a ground lease with an initial term of 99 years. In connection with this transaction, the Company recorded a lease incentive asset of $38.1 million, which is included in "Deferred expenses and other assets, net" on the Company's consolidated balance sheets, and deferred a gain of $5.3 million, which is included in "Accounts payable, accrued expenses and other liabilities" on the Company's consolidated balance sheets. In December 2015, the Company acquired the noncontrolling interest in the entity for $6.4 million.</w:t>
      </w:r>
    </w:p>
    <w:p>
      <w:pPr>
        <w:spacing w:after="0" w:line="114"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Impairments—</w:t>
      </w:r>
      <w:r>
        <w:rPr>
          <w:rFonts w:ascii="Arial" w:cs="Arial" w:eastAsia="Arial" w:hAnsi="Arial"/>
          <w:sz w:val="18"/>
          <w:szCs w:val="18"/>
          <w:color w:val="auto"/>
        </w:rPr>
        <w:t>During the six months ended June 30, 2016, the Company recorded an impairment of $3.0 million on a residential operating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from a slowdown in the local condominium real estate market. During the six months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2015, the Company recorded an impairment of $1.7 million on a commercial operating property resulting from a change in business strategy.</w:t>
      </w:r>
    </w:p>
    <w:p>
      <w:pPr>
        <w:spacing w:after="0" w:line="244"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color w:val="auto"/>
        </w:rPr>
        <w:t>Tenant Reimbursements—</w:t>
      </w:r>
      <w:r>
        <w:rPr>
          <w:rFonts w:ascii="Arial" w:cs="Arial" w:eastAsia="Arial" w:hAnsi="Arial"/>
          <w:sz w:val="18"/>
          <w:szCs w:val="18"/>
          <w:color w:val="auto"/>
        </w:rPr>
        <w:t>The Company receives reimbursements from tenants for certain facility operating expenses including common area costs,</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utilities and real estate taxes. Tenant expense reimbursements were $5.9 million and $12.2 million for the three and six months ended June 30, 2016, respectively, and $6.7 million and $13.7 million for the three and six months ended June 30, 2015, respectively. These amounts are included in "Operating lease income" in the Company's consolidated statements of operations.</w:t>
      </w:r>
    </w:p>
    <w:p>
      <w:pPr>
        <w:spacing w:after="0" w:line="180"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6"/>
          <w:szCs w:val="16"/>
          <w:b w:val="1"/>
          <w:bCs w:val="1"/>
          <w:color w:val="auto"/>
        </w:rPr>
        <w:t>Allowance for Doubtful Accounts—</w:t>
      </w:r>
      <w:r>
        <w:rPr>
          <w:rFonts w:ascii="Arial" w:cs="Arial" w:eastAsia="Arial" w:hAnsi="Arial"/>
          <w:sz w:val="16"/>
          <w:szCs w:val="16"/>
          <w:color w:val="auto"/>
        </w:rPr>
        <w:t>As of June 30, 2016 and December 31, 2015, the allowance for doubtful accounts related to real estate tenant</w:t>
      </w:r>
      <w:r>
        <w:rPr>
          <w:rFonts w:ascii="Arial" w:cs="Arial" w:eastAsia="Arial" w:hAnsi="Arial"/>
          <w:sz w:val="16"/>
          <w:szCs w:val="16"/>
          <w:b w:val="1"/>
          <w:bCs w:val="1"/>
          <w:color w:val="auto"/>
        </w:rPr>
        <w:t xml:space="preserve"> </w:t>
      </w:r>
      <w:r>
        <w:rPr>
          <w:rFonts w:ascii="Arial" w:cs="Arial" w:eastAsia="Arial" w:hAnsi="Arial"/>
          <w:sz w:val="16"/>
          <w:szCs w:val="16"/>
          <w:color w:val="auto"/>
        </w:rPr>
        <w:t>receivables was $1.0 million and $1.9 million, respectively, and the allowance for doubtful accounts related to deferred operating lease income was $1.3 million and $1.5 million as of June 30, 2016 and December 31, 2015, respectively.. These amounts are included in "Accrued interest and operating lease income receivable, net" and "Deferred operating lease income receivable, net," respectively, on the Company's consolidated balance sheets.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5—Land and Development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land and development assets were comprised of the following ($ in thousands):</w:t>
      </w:r>
    </w:p>
    <w:p>
      <w:pPr>
        <w:spacing w:after="0" w:line="284" w:lineRule="exact"/>
        <w:rPr>
          <w:sz w:val="20"/>
          <w:szCs w:val="20"/>
          <w:color w:val="auto"/>
        </w:rPr>
      </w:pPr>
    </w:p>
    <w:tbl>
      <w:tblPr>
        <w:tblLayout w:type="fixed"/>
        <w:tblInd w:w="156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5"/>
              </w:rPr>
              <w:t>As of</w:t>
            </w:r>
          </w:p>
        </w:tc>
        <w:tc>
          <w:tcPr>
            <w:tcW w:w="1260" w:type="dxa"/>
            <w:vAlign w:val="bottom"/>
            <w:tcBorders>
              <w:bottom w:val="single" w:sz="8" w:color="auto"/>
            </w:tcBorders>
          </w:tcPr>
          <w:p>
            <w:pPr>
              <w:spacing w:after="0"/>
              <w:rPr>
                <w:sz w:val="16"/>
                <w:szCs w:val="16"/>
                <w:color w:val="auto"/>
              </w:rPr>
            </w:pPr>
          </w:p>
        </w:tc>
      </w:tr>
      <w:tr>
        <w:trPr>
          <w:trHeight w:val="258"/>
        </w:trPr>
        <w:tc>
          <w:tcPr>
            <w:tcW w:w="5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52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land development, at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1,052,745</w:t>
            </w:r>
          </w:p>
        </w:tc>
        <w:tc>
          <w:tcPr>
            <w:tcW w:w="4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1,007,995</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(6,732)</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(6,032)</w:t>
            </w:r>
          </w:p>
        </w:tc>
      </w:tr>
      <w:tr>
        <w:trPr>
          <w:trHeight w:val="27"/>
        </w:trPr>
        <w:tc>
          <w:tcPr>
            <w:tcW w:w="5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land and development,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1,046,013</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1,001,963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In February 2016, the Company acquired an additional 7.2% interest in a consolidated entity for $7.2 million. The Company owns</w:t>
      </w:r>
      <w:r>
        <w:rPr>
          <w:rFonts w:ascii="Arial" w:cs="Arial" w:eastAsia="Arial" w:hAnsi="Arial"/>
          <w:sz w:val="18"/>
          <w:szCs w:val="18"/>
          <w:b w:val="1"/>
          <w:bCs w:val="1"/>
          <w:color w:val="auto"/>
        </w:rPr>
        <w:t xml:space="preserve"> </w:t>
      </w:r>
      <w:r>
        <w:rPr>
          <w:rFonts w:ascii="Arial" w:cs="Arial" w:eastAsia="Arial" w:hAnsi="Arial"/>
          <w:sz w:val="18"/>
          <w:szCs w:val="18"/>
          <w:color w:val="auto"/>
        </w:rPr>
        <w:t>92.2% of the entity as of June 30, 2016.</w:t>
      </w:r>
    </w:p>
    <w:p>
      <w:pPr>
        <w:spacing w:after="0" w:line="162" w:lineRule="exact"/>
        <w:rPr>
          <w:sz w:val="20"/>
          <w:szCs w:val="20"/>
          <w:color w:val="auto"/>
        </w:rPr>
      </w:pPr>
    </w:p>
    <w:p>
      <w:pPr>
        <w:jc w:val="both"/>
        <w:ind w:firstLine="486"/>
        <w:spacing w:after="0" w:line="314" w:lineRule="auto"/>
        <w:rPr>
          <w:sz w:val="20"/>
          <w:szCs w:val="20"/>
          <w:color w:val="auto"/>
        </w:rPr>
      </w:pPr>
      <w:r>
        <w:rPr>
          <w:rFonts w:ascii="Arial" w:cs="Arial" w:eastAsia="Arial" w:hAnsi="Arial"/>
          <w:sz w:val="16"/>
          <w:szCs w:val="16"/>
          <w:b w:val="1"/>
          <w:bCs w:val="1"/>
          <w:color w:val="auto"/>
        </w:rPr>
        <w:t>Dispositions—</w:t>
      </w:r>
      <w:r>
        <w:rPr>
          <w:rFonts w:ascii="Arial" w:cs="Arial" w:eastAsia="Arial" w:hAnsi="Arial"/>
          <w:sz w:val="16"/>
          <w:szCs w:val="16"/>
          <w:color w:val="auto"/>
        </w:rPr>
        <w:t>During the six months ended June 30, 2016 and 2015, the Company sold residential lots and units and recognized land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of $42.8 million and $14.8 million, respectively, from its land and development portfolio. For the six months ended June 30, 2016 and 2015, the Company recognized land development cost of sales of $28.8 million and $12.1 million, respectively, from its land and development portfolio.</w:t>
      </w:r>
    </w:p>
    <w:p>
      <w:pPr>
        <w:spacing w:after="0" w:line="14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April 2015, the Company transferred a land asset to a purchaser at a stated price of $16.1 million, as part of an agreement to construct an amphitheater, for which the Company received immediate payment of $5.3 million, with the remainder to be received upon completion of the development project. Due to the Company's continuing involvement in the project, no sale was recognized and the proceeds were recorded as unearned revenue in "Accounts payable, accrued expenses and other liabilities" on the Company's consolidated balance sheets (refer to Note 7).</w:t>
      </w:r>
    </w:p>
    <w:p>
      <w:pPr>
        <w:spacing w:after="0" w:line="16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color w:val="auto"/>
        </w:rPr>
        <w:t>Redeemable Noncontrolling Interest—</w:t>
      </w:r>
      <w:r>
        <w:rPr>
          <w:rFonts w:ascii="Arial" w:cs="Arial" w:eastAsia="Arial" w:hAnsi="Arial"/>
          <w:sz w:val="18"/>
          <w:szCs w:val="18"/>
          <w:color w:val="auto"/>
        </w:rPr>
        <w:t>The Company has a majority interest in a strategic venture that provides the third party minority partner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to redeem its interest at fair value. The Company has reflected the partner's noncontrolling interest in this venture as a component of redeemable noncontrolling interest within its consolidated balance sheets. Changes in fair value are being accreted over the term from the date of issuance of the redemption option to the earliest redemption date using the interest method. As of June 30, 2016 and December 31, 2015, this interest had a carrying value of $4.8 million and $7.2 million, respectively. As of June 30, 2016 and December 31, 2015, this interest had an estimated redemption value of $0.6 million and $9.2 million, respectively.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6—Loans Receivable and Other Lending Investments,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loans receivable and other lending investments by class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w w:val="85"/>
              </w:rPr>
              <w:t>As of</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Investment</w:t>
            </w:r>
          </w:p>
        </w:tc>
        <w:tc>
          <w:tcPr>
            <w:tcW w:w="400" w:type="dxa"/>
            <w:vAlign w:val="bottom"/>
          </w:tcPr>
          <w:p>
            <w:pPr>
              <w:spacing w:after="0"/>
              <w:rPr>
                <w:sz w:val="13"/>
                <w:szCs w:val="13"/>
                <w:color w:val="auto"/>
              </w:rPr>
            </w:pPr>
          </w:p>
        </w:tc>
        <w:tc>
          <w:tcPr>
            <w:tcW w:w="1440" w:type="dxa"/>
            <w:vAlign w:val="bottom"/>
          </w:tcPr>
          <w:p>
            <w:pPr>
              <w:jc w:val="right"/>
              <w:ind w:right="554"/>
              <w:spacing w:after="0" w:line="15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1,030,475</w:t>
            </w:r>
          </w:p>
        </w:tc>
        <w:tc>
          <w:tcPr>
            <w:tcW w:w="5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975,915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4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562,986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643,270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28,676</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gross carrying value of loans</w:t>
            </w:r>
          </w:p>
        </w:tc>
        <w:tc>
          <w:tcPr>
            <w:tcW w:w="4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1,618,874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1,647,861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Reserves for loan losses</w:t>
            </w:r>
          </w:p>
        </w:tc>
        <w:tc>
          <w:tcPr>
            <w:tcW w:w="4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(110,371)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(108,165)</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loans receivable, net</w:t>
            </w:r>
          </w:p>
        </w:tc>
        <w:tc>
          <w:tcPr>
            <w:tcW w:w="4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1,508,503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1,539,696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lending investments—securities</w:t>
            </w:r>
          </w:p>
        </w:tc>
        <w:tc>
          <w:tcPr>
            <w:tcW w:w="4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59,936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62,289</w:t>
            </w:r>
          </w:p>
        </w:tc>
        <w:tc>
          <w:tcPr>
            <w:tcW w:w="0" w:type="dxa"/>
            <w:vAlign w:val="bottom"/>
          </w:tcPr>
          <w:p>
            <w:pPr>
              <w:spacing w:after="0"/>
              <w:rPr>
                <w:sz w:val="1"/>
                <w:szCs w:val="1"/>
                <w:color w:val="auto"/>
              </w:rPr>
            </w:pPr>
          </w:p>
        </w:tc>
      </w:tr>
      <w:tr>
        <w:trPr>
          <w:trHeight w:val="257"/>
        </w:trPr>
        <w:tc>
          <w:tcPr>
            <w:tcW w:w="7440" w:type="dxa"/>
            <w:vAlign w:val="bottom"/>
          </w:tcPr>
          <w:p>
            <w:pPr>
              <w:ind w:left="180"/>
              <w:spacing w:after="0"/>
              <w:rPr>
                <w:sz w:val="20"/>
                <w:szCs w:val="20"/>
                <w:color w:val="auto"/>
              </w:rPr>
            </w:pPr>
            <w:r>
              <w:rPr>
                <w:rFonts w:ascii="Arial" w:cs="Arial" w:eastAsia="Arial" w:hAnsi="Arial"/>
                <w:sz w:val="18"/>
                <w:szCs w:val="18"/>
                <w:color w:val="auto"/>
              </w:rPr>
              <w:t>Total loans receivable and other lending investments, net</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1,568,439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1,601,985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June 2015, the Company received a loan with a fair value of $146.7 million as a non-cash paydown on a $196.6 million loan and reduced the principal balance by the fair value. The loan received has been recorded as a loan receivable and is included in "Loans receivable and other lending investments, net" on the Company’s consolidated balance sheet. In connection with the transaction, the Company recorded a provision for loan losses of $25.9 million on the original loan resulting in a remaining balance of $24.0 million. In October 2015, the Company received full payment of the remaining balance of the original $196.6 million loan.</w:t>
      </w:r>
    </w:p>
    <w:p>
      <w:pPr>
        <w:spacing w:after="0" w:line="18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six months ended June 30, 2015, the Company sold a loan with a carrying value of $5.5 million. No gain or loss was recognized as a result of the transaction.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—Changes in the Company's reserve for loan losses were as follows ($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Three Months Ended June 30,</w:t>
            </w:r>
          </w:p>
        </w:tc>
        <w:tc>
          <w:tcPr>
            <w:tcW w:w="260" w:type="dxa"/>
            <w:vAlign w:val="bottom"/>
          </w:tcPr>
          <w:p>
            <w:pPr>
              <w:spacing w:after="0"/>
              <w:rPr>
                <w:sz w:val="16"/>
                <w:szCs w:val="16"/>
                <w:color w:val="auto"/>
              </w:rPr>
            </w:pPr>
          </w:p>
        </w:tc>
        <w:tc>
          <w:tcPr>
            <w:tcW w:w="268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w w:val="97"/>
              </w:rPr>
              <w:t>For the Six Months Ended June 30,</w:t>
            </w:r>
          </w:p>
        </w:tc>
      </w:tr>
      <w:tr>
        <w:trPr>
          <w:trHeight w:val="264"/>
        </w:trPr>
        <w:tc>
          <w:tcPr>
            <w:tcW w:w="46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Reserve for loan losses at beginning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109,671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102,783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108,165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98,490</w:t>
            </w:r>
          </w:p>
        </w:tc>
      </w:tr>
      <w:tr>
        <w:trPr>
          <w:trHeight w:val="270"/>
        </w:trPr>
        <w:tc>
          <w:tcPr>
            <w:tcW w:w="466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Provision for loan losses</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19,151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2,206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23,444</w:t>
            </w: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Reserve for loan losses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110,371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121,934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110,371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121,934</w:t>
            </w:r>
          </w:p>
        </w:tc>
      </w:tr>
      <w:tr>
        <w:trPr>
          <w:trHeight w:val="20"/>
        </w:trPr>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8" w:lineRule="exact"/>
        <w:rPr>
          <w:sz w:val="20"/>
          <w:szCs w:val="20"/>
          <w:color w:val="auto"/>
        </w:rPr>
      </w:pPr>
    </w:p>
    <w:p>
      <w:pPr>
        <w:ind w:left="500" w:right="20" w:hanging="492"/>
        <w:spacing w:after="0" w:line="273"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three and six months ended June 30, 2015 the provision for loan losses includes recoveries of previously recorded asset-specific loan loss reserves of $0.3 million and $0.6 million,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Company's recorded investment in loans (comprised of a loan's carrying value plus accrued interest) and the associated reserve for loan losses were as follows ($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Individually</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Collectively</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Impairment</w:t>
            </w:r>
            <w:r>
              <w:rPr>
                <w:rFonts w:ascii="Arial" w:cs="Arial" w:eastAsia="Arial" w:hAnsi="Arial"/>
                <w:sz w:val="8"/>
                <w:szCs w:val="8"/>
                <w:b w:val="1"/>
                <w:bCs w:val="1"/>
                <w:color w:val="auto"/>
              </w:rPr>
              <w:t>(1)</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Impairment</w:t>
            </w:r>
            <w:r>
              <w:rPr>
                <w:rFonts w:ascii="Arial" w:cs="Arial" w:eastAsia="Arial" w:hAnsi="Arial"/>
                <w:sz w:val="8"/>
                <w:szCs w:val="8"/>
                <w:b w:val="1"/>
                <w:bCs w:val="1"/>
                <w:color w:val="auto"/>
                <w:w w:val="98"/>
              </w:rPr>
              <w:t>(2)</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2016</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Loans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152,855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1,474,066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1,626,921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Reserve for loan losses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(110,371)</w:t>
            </w:r>
          </w:p>
        </w:tc>
        <w:tc>
          <w:tcPr>
            <w:tcW w:w="0" w:type="dxa"/>
            <w:vAlign w:val="bottom"/>
          </w:tcPr>
          <w:p>
            <w:pPr>
              <w:spacing w:after="0"/>
              <w:rPr>
                <w:sz w:val="1"/>
                <w:szCs w:val="1"/>
                <w:color w:val="auto"/>
              </w:rPr>
            </w:pPr>
          </w:p>
        </w:tc>
      </w:tr>
      <w:tr>
        <w:trPr>
          <w:trHeight w:val="304"/>
        </w:trPr>
        <w:tc>
          <w:tcPr>
            <w:tcW w:w="4280" w:type="dxa"/>
            <w:vAlign w:val="bottom"/>
            <w:tcBorders>
              <w:bottom w:val="single" w:sz="8" w:color="CCEEFF"/>
            </w:tcBorders>
          </w:tcPr>
          <w:p>
            <w:pPr>
              <w:ind w:left="18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(3)</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79,484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1,437,066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1,516,550</w:t>
            </w:r>
          </w:p>
        </w:tc>
        <w:tc>
          <w:tcPr>
            <w:tcW w:w="0" w:type="dxa"/>
            <w:vAlign w:val="bottom"/>
          </w:tcPr>
          <w:p>
            <w:pPr>
              <w:spacing w:after="0"/>
              <w:rPr>
                <w:sz w:val="1"/>
                <w:szCs w:val="1"/>
                <w:color w:val="auto"/>
              </w:rPr>
            </w:pPr>
          </w:p>
        </w:tc>
      </w:tr>
      <w:tr>
        <w:trPr>
          <w:trHeight w:val="231"/>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Loans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132,492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1,524,347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1,656,839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Reserve for loan losses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(72,165)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(108,165)</w:t>
            </w:r>
          </w:p>
        </w:tc>
        <w:tc>
          <w:tcPr>
            <w:tcW w:w="0" w:type="dxa"/>
            <w:vAlign w:val="bottom"/>
          </w:tcPr>
          <w:p>
            <w:pPr>
              <w:spacing w:after="0"/>
              <w:rPr>
                <w:sz w:val="1"/>
                <w:szCs w:val="1"/>
                <w:color w:val="auto"/>
              </w:rPr>
            </w:pPr>
          </w:p>
        </w:tc>
      </w:tr>
      <w:tr>
        <w:trPr>
          <w:trHeight w:val="297"/>
        </w:trPr>
        <w:tc>
          <w:tcPr>
            <w:tcW w:w="4280" w:type="dxa"/>
            <w:vAlign w:val="bottom"/>
          </w:tcPr>
          <w:p>
            <w:pPr>
              <w:ind w:left="180"/>
              <w:spacing w:after="0"/>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(3)</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60,327</w:t>
            </w:r>
          </w:p>
        </w:tc>
        <w:tc>
          <w:tcPr>
            <w:tcW w:w="120" w:type="dxa"/>
            <w:vAlign w:val="bottom"/>
          </w:tcPr>
          <w:p>
            <w:pPr>
              <w:spacing w:after="0"/>
              <w:rPr>
                <w:sz w:val="24"/>
                <w:szCs w:val="24"/>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1,488,347</w:t>
            </w:r>
          </w:p>
        </w:tc>
        <w:tc>
          <w:tcPr>
            <w:tcW w:w="100" w:type="dxa"/>
            <w:vAlign w:val="bottom"/>
          </w:tcPr>
          <w:p>
            <w:pPr>
              <w:spacing w:after="0"/>
              <w:rPr>
                <w:sz w:val="24"/>
                <w:szCs w:val="24"/>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1,548,674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-20955</wp:posOffset>
            </wp:positionV>
            <wp:extent cx="317309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73095" cy="260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 w:lineRule="exact"/>
        <w:rPr>
          <w:sz w:val="20"/>
          <w:szCs w:val="20"/>
          <w:color w:val="auto"/>
        </w:rPr>
      </w:pPr>
    </w:p>
    <w:p>
      <w:pPr>
        <w:jc w:val="both"/>
        <w:ind w:left="500" w:hanging="492"/>
        <w:spacing w:after="0" w:line="241"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totaling net discounts of $0.2 million as of June 30, 2016 and December 31, 2015. The Company's loans individually evaluated for impairment primarily represent loans on non-accrual status and therefore, the unamortized amounts associated with these loans are not currently being amortized into income.</w:t>
      </w:r>
    </w:p>
    <w:p>
      <w:pPr>
        <w:spacing w:after="0" w:line="1" w:lineRule="exact"/>
        <w:rPr>
          <w:rFonts w:ascii="Arial" w:cs="Arial" w:eastAsia="Arial" w:hAnsi="Arial"/>
          <w:sz w:val="14"/>
          <w:szCs w:val="14"/>
          <w:color w:val="auto"/>
        </w:rPr>
      </w:pPr>
    </w:p>
    <w:p>
      <w:pPr>
        <w:ind w:left="500" w:hanging="492"/>
        <w:spacing w:after="0" w:line="241"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carrying value of these loans include unamortized discounts, premiums, deferred fees and costs totaling net discounts of $2.9 million and $8.2 million as of June 30, 2016 and December 31, 2015,</w:t>
      </w:r>
    </w:p>
    <w:p>
      <w:pPr>
        <w:jc w:val="both"/>
        <w:ind w:left="500" w:hanging="492"/>
        <w:spacing w:after="0" w:line="248"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Company's recorded investment in loans as of June 30, 2016 and December 31, 2015 includes accrued interest of $8.0 million and $9.0 million, respectively, which are included in "Accrued interest and operating lease income receivable, net" on the Company's consolidated balance sheets. As of June 30, 2016 and December 31, 2015, excludes $59.9 million and $62.3 million, respectively, of securities that are evaluated for impairment under ASC 320.</w:t>
      </w:r>
    </w:p>
    <w:p>
      <w:pPr>
        <w:spacing w:after="0" w:line="192"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7"/>
          <w:szCs w:val="17"/>
          <w:b w:val="1"/>
          <w:bCs w:val="1"/>
          <w:color w:val="auto"/>
        </w:rPr>
        <w:t>Credit Characteristics</w:t>
      </w:r>
      <w:r>
        <w:rPr>
          <w:rFonts w:ascii="Arial" w:cs="Arial" w:eastAsia="Arial" w:hAnsi="Arial"/>
          <w:sz w:val="17"/>
          <w:szCs w:val="17"/>
          <w:color w:val="auto"/>
        </w:rPr>
        <w:t>—As part of the Company's process for monitoring the credit quality of its loans, it performs a quarterly loan portfolio</w:t>
      </w:r>
      <w:r>
        <w:rPr>
          <w:rFonts w:ascii="Arial" w:cs="Arial" w:eastAsia="Arial" w:hAnsi="Arial"/>
          <w:sz w:val="17"/>
          <w:szCs w:val="17"/>
          <w:b w:val="1"/>
          <w:bCs w:val="1"/>
          <w:color w:val="auto"/>
        </w:rPr>
        <w:t xml:space="preserve"> </w:t>
      </w:r>
      <w:r>
        <w:rPr>
          <w:rFonts w:ascii="Arial" w:cs="Arial" w:eastAsia="Arial" w:hAnsi="Arial"/>
          <w:sz w:val="17"/>
          <w:szCs w:val="17"/>
          <w:color w:val="auto"/>
        </w:rPr>
        <w:t>assessment and assigns risk ratings to each of its performing loans. Risk ratings, which range from 1 (lower risk) to 5 (higher risk), are based on judgments which are inherently uncertain and there can be no assurance that actual performance will be similar to current expectation. The Company designates loans as non-performing at such time as: (1) the loan becomes 90 days delinquent; (2) the loan has a maturity default; or (3) management determines it is probable that we will be unable to collect all amounts due according to the contractual terms of the loan. All non-performing loans are placed on non-accrual status and income is only recognized in certain cases upon actual cash receipt.</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recorded investment in performing loans, presented by class and by credit quality, as indicated by risk rating, was as follows ($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right"/>
              <w:ind w:right="868"/>
              <w:spacing w:after="0"/>
              <w:rPr>
                <w:sz w:val="20"/>
                <w:szCs w:val="20"/>
                <w:color w:val="auto"/>
              </w:rPr>
            </w:pPr>
            <w:r>
              <w:rPr>
                <w:rFonts w:ascii="Arial" w:cs="Arial" w:eastAsia="Arial" w:hAnsi="Arial"/>
                <w:sz w:val="14"/>
                <w:szCs w:val="14"/>
                <w:b w:val="1"/>
                <w:bCs w:val="1"/>
                <w:color w:val="auto"/>
              </w:rPr>
              <w:t>As of June 30, 2016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b w:val="1"/>
                <w:bCs w:val="1"/>
                <w:color w:val="auto"/>
              </w:rPr>
              <w:t>As of December 31, 2015</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Performing</w:t>
            </w:r>
          </w:p>
        </w:tc>
        <w:tc>
          <w:tcPr>
            <w:tcW w:w="120" w:type="dxa"/>
            <w:vAlign w:val="bottom"/>
          </w:tcPr>
          <w:p>
            <w:pPr>
              <w:spacing w:after="0"/>
              <w:rPr>
                <w:sz w:val="13"/>
                <w:szCs w:val="13"/>
                <w:color w:val="auto"/>
              </w:rPr>
            </w:pP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3"/>
                <w:szCs w:val="13"/>
                <w:color w:val="auto"/>
              </w:rPr>
            </w:pPr>
          </w:p>
        </w:tc>
        <w:tc>
          <w:tcPr>
            <w:tcW w:w="122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Performing</w:t>
            </w:r>
          </w:p>
        </w:tc>
        <w:tc>
          <w:tcPr>
            <w:tcW w:w="10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Loans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Risk Ratings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Loans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Risk Ratings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898,957</w:t>
            </w:r>
          </w:p>
        </w:tc>
        <w:tc>
          <w:tcPr>
            <w:tcW w:w="16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853,595</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26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561,211</w:t>
            </w:r>
          </w:p>
        </w:tc>
        <w:tc>
          <w:tcPr>
            <w:tcW w:w="1600" w:type="dxa"/>
            <w:vAlign w:val="bottom"/>
            <w:gridSpan w:val="2"/>
          </w:tcPr>
          <w:p>
            <w:pPr>
              <w:jc w:val="right"/>
              <w:ind w:right="28"/>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641,713</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13,898</w:t>
            </w:r>
          </w:p>
        </w:tc>
        <w:tc>
          <w:tcPr>
            <w:tcW w:w="16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29,039</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57"/>
        </w:trPr>
        <w:tc>
          <w:tcPr>
            <w:tcW w:w="5160" w:type="dxa"/>
            <w:vAlign w:val="bottom"/>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1,474,066</w:t>
            </w:r>
          </w:p>
        </w:tc>
        <w:tc>
          <w:tcPr>
            <w:tcW w:w="1600" w:type="dxa"/>
            <w:vAlign w:val="bottom"/>
            <w:gridSpan w:val="2"/>
          </w:tcPr>
          <w:p>
            <w:pPr>
              <w:jc w:val="right"/>
              <w:ind w:right="28"/>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1,524,347</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777"/>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recorded investment in loans, aged by payment status and presented by class, were as follows ($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Less Than</w:t>
            </w: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Greater</w:t>
            </w:r>
          </w:p>
        </w:tc>
        <w:tc>
          <w:tcPr>
            <w:tcW w:w="300" w:type="dxa"/>
            <w:vAlign w:val="bottom"/>
          </w:tcPr>
          <w:p>
            <w:pPr>
              <w:spacing w:after="0"/>
              <w:rPr>
                <w:sz w:val="14"/>
                <w:szCs w:val="14"/>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Current</w:t>
            </w:r>
          </w:p>
        </w:tc>
        <w:tc>
          <w:tcPr>
            <w:tcW w:w="280" w:type="dxa"/>
            <w:vAlign w:val="bottom"/>
          </w:tcPr>
          <w:p>
            <w:pPr>
              <w:spacing w:after="0"/>
              <w:rPr>
                <w:sz w:val="12"/>
                <w:szCs w:val="12"/>
                <w:color w:val="auto"/>
              </w:rPr>
            </w:pPr>
          </w:p>
        </w:tc>
        <w:tc>
          <w:tcPr>
            <w:tcW w:w="13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and Equal</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Than</w:t>
            </w: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 90 Days</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90 Days</w:t>
            </w:r>
            <w:r>
              <w:rPr>
                <w:rFonts w:ascii="Arial" w:cs="Arial" w:eastAsia="Arial" w:hAnsi="Arial"/>
                <w:sz w:val="8"/>
                <w:szCs w:val="8"/>
                <w:b w:val="1"/>
                <w:bCs w:val="1"/>
                <w:color w:val="auto"/>
                <w:w w:val="95"/>
              </w:rPr>
              <w:t>(1)</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Past Due</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2016</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Senior mortgages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908,723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126,474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126,474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1,035,197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Corporate/Partnership loans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544,098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566,256</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Subordinate mortgages</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25,468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25,468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1,478,289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22,158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126,474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148,632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1,626,921</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mortgages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864,099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116,250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116,250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980,349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Corporate/Partnership loans</w:t>
            </w:r>
          </w:p>
        </w:tc>
        <w:tc>
          <w:tcPr>
            <w:tcW w:w="3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647,451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647,451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Subordinate mortgages</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29,039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29,039</w:t>
            </w:r>
          </w:p>
        </w:tc>
        <w:tc>
          <w:tcPr>
            <w:tcW w:w="0" w:type="dxa"/>
            <w:vAlign w:val="bottom"/>
          </w:tcPr>
          <w:p>
            <w:pPr>
              <w:spacing w:after="0"/>
              <w:rPr>
                <w:sz w:val="1"/>
                <w:szCs w:val="1"/>
                <w:color w:val="auto"/>
              </w:rPr>
            </w:pPr>
          </w:p>
        </w:tc>
      </w:tr>
      <w:tr>
        <w:trPr>
          <w:trHeight w:val="250"/>
        </w:trPr>
        <w:tc>
          <w:tcPr>
            <w:tcW w:w="3540" w:type="dxa"/>
            <w:vAlign w:val="bottom"/>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1,540,589</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116,250</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116,250</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1,656,839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8890</wp:posOffset>
            </wp:positionV>
            <wp:extent cx="4999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-98425</wp:posOffset>
            </wp:positionV>
            <wp:extent cx="4999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jc w:val="both"/>
        <w:ind w:left="500" w:hanging="492"/>
        <w:spacing w:after="0" w:line="276" w:lineRule="auto"/>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As of June 30, 2016, the Company had five loans which were greater than 90 days delinquent and were in various stages of resolution, including legal proceedings, environmental concerns and foreclosure-related proceedings, and ranged from 1.0 to 8.0 years outstanding. As of December 31, 2015, the Company had four loans which were greater than 90 days delinquent and were in various stages of resolution, including legal proceedings, environmental concerns and foreclosure-related proceedings, and ranged from 1.0 to 7.0 years outstanding.</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Impaired Loans</w:t>
      </w:r>
      <w:r>
        <w:rPr>
          <w:rFonts w:ascii="Arial" w:cs="Arial" w:eastAsia="Arial" w:hAnsi="Arial"/>
          <w:sz w:val="18"/>
          <w:szCs w:val="18"/>
          <w:color w:val="auto"/>
        </w:rPr>
        <w:t>—The Company's recorded investment in impaired loans, presented by class, were as follows ($ in thousands)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As of June 30, 2016</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4"/>
                <w:szCs w:val="14"/>
                <w:b w:val="1"/>
                <w:bCs w:val="1"/>
                <w:color w:val="auto"/>
                <w:w w:val="92"/>
              </w:rPr>
              <w:t>As of December 31, 2015</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Recorded</w:t>
            </w:r>
          </w:p>
        </w:tc>
        <w:tc>
          <w:tcPr>
            <w:tcW w:w="240" w:type="dxa"/>
            <w:vAlign w:val="bottom"/>
          </w:tcPr>
          <w:p>
            <w:pPr>
              <w:spacing w:after="0"/>
              <w:rPr>
                <w:sz w:val="13"/>
                <w:szCs w:val="13"/>
                <w:color w:val="auto"/>
              </w:rPr>
            </w:pPr>
          </w:p>
        </w:tc>
        <w:tc>
          <w:tcPr>
            <w:tcW w:w="11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Unpaid</w:t>
            </w:r>
          </w:p>
        </w:tc>
        <w:tc>
          <w:tcPr>
            <w:tcW w:w="200" w:type="dxa"/>
            <w:vAlign w:val="bottom"/>
          </w:tcPr>
          <w:p>
            <w:pPr>
              <w:spacing w:after="0"/>
              <w:rPr>
                <w:sz w:val="13"/>
                <w:szCs w:val="13"/>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Related</w:t>
            </w:r>
          </w:p>
        </w:tc>
        <w:tc>
          <w:tcPr>
            <w:tcW w:w="200" w:type="dxa"/>
            <w:vAlign w:val="bottom"/>
          </w:tcPr>
          <w:p>
            <w:pPr>
              <w:spacing w:after="0"/>
              <w:rPr>
                <w:sz w:val="13"/>
                <w:szCs w:val="13"/>
                <w:color w:val="auto"/>
              </w:rPr>
            </w:pPr>
          </w:p>
        </w:tc>
        <w:tc>
          <w:tcPr>
            <w:tcW w:w="10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Recorded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Unpaid</w:t>
            </w:r>
          </w:p>
        </w:tc>
        <w:tc>
          <w:tcPr>
            <w:tcW w:w="220" w:type="dxa"/>
            <w:vAlign w:val="bottom"/>
          </w:tcPr>
          <w:p>
            <w:pPr>
              <w:spacing w:after="0"/>
              <w:rPr>
                <w:sz w:val="13"/>
                <w:szCs w:val="13"/>
                <w:color w:val="auto"/>
              </w:rPr>
            </w:pPr>
          </w:p>
        </w:tc>
        <w:tc>
          <w:tcPr>
            <w:tcW w:w="10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Related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Principal</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24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Allowance</w:t>
            </w:r>
          </w:p>
        </w:tc>
        <w:tc>
          <w:tcPr>
            <w:tcW w:w="200" w:type="dxa"/>
            <w:vAlign w:val="bottom"/>
          </w:tcPr>
          <w:p>
            <w:pPr>
              <w:spacing w:after="0"/>
              <w:rPr>
                <w:sz w:val="16"/>
                <w:szCs w:val="16"/>
                <w:color w:val="auto"/>
              </w:rPr>
            </w:pPr>
          </w:p>
        </w:tc>
        <w:tc>
          <w:tcPr>
            <w:tcW w:w="1000" w:type="dxa"/>
            <w:vAlign w:val="bottom"/>
          </w:tcPr>
          <w:p>
            <w:pPr>
              <w:jc w:val="right"/>
              <w:ind w:right="154"/>
              <w:spacing w:after="0"/>
              <w:rPr>
                <w:sz w:val="20"/>
                <w:szCs w:val="20"/>
                <w:color w:val="auto"/>
              </w:rPr>
            </w:pPr>
            <w:r>
              <w:rPr>
                <w:rFonts w:ascii="Arial" w:cs="Arial" w:eastAsia="Arial" w:hAnsi="Arial"/>
                <w:sz w:val="14"/>
                <w:szCs w:val="14"/>
                <w:b w:val="1"/>
                <w:bCs w:val="1"/>
                <w:color w:val="auto"/>
              </w:rPr>
              <w:t>Investment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Balance</w:t>
            </w:r>
          </w:p>
        </w:tc>
        <w:tc>
          <w:tcPr>
            <w:tcW w:w="220" w:type="dxa"/>
            <w:vAlign w:val="bottom"/>
          </w:tcPr>
          <w:p>
            <w:pPr>
              <w:spacing w:after="0"/>
              <w:rPr>
                <w:sz w:val="16"/>
                <w:szCs w:val="16"/>
                <w:color w:val="auto"/>
              </w:rPr>
            </w:pPr>
          </w:p>
        </w:tc>
        <w:tc>
          <w:tcPr>
            <w:tcW w:w="1040" w:type="dxa"/>
            <w:vAlign w:val="bottom"/>
          </w:tcPr>
          <w:p>
            <w:pPr>
              <w:jc w:val="right"/>
              <w:ind w:right="214"/>
              <w:spacing w:after="0"/>
              <w:rPr>
                <w:sz w:val="20"/>
                <w:szCs w:val="20"/>
                <w:color w:val="auto"/>
              </w:rPr>
            </w:pPr>
            <w:r>
              <w:rPr>
                <w:rFonts w:ascii="Arial" w:cs="Arial" w:eastAsia="Arial" w:hAnsi="Arial"/>
                <w:sz w:val="14"/>
                <w:szCs w:val="14"/>
                <w:b w:val="1"/>
                <w:bCs w:val="1"/>
                <w:color w:val="auto"/>
              </w:rPr>
              <w:t>Allowance</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no related allowance recorded:</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9,217</w:t>
            </w:r>
          </w:p>
        </w:tc>
        <w:tc>
          <w:tcPr>
            <w:tcW w:w="10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9,200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Subordinate mortgages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11,553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20,787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20,753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an allowance recorded: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127,023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125,886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(70,833)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126,754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125,776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(69,627)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Corporate/Partnership loans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132,068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130,928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(73,371)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132,492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131,514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(72,165)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152,855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151,681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(73,371)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132,492</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131,514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(72,165)</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-98425</wp:posOffset>
            </wp:positionV>
            <wp:extent cx="51371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ind w:left="500" w:hanging="492"/>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All of the Company's non-accrual loans are considered impaired and included in the table above.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average recorded investment in impaired loans and interest income recognized, presented by class, were as follows ($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8"/>
              </w:rPr>
              <w:t>For the Three Months Ended June 30,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For the Six Months Ended June 30,</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19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auto"/>
            </w:tcBorders>
          </w:tcPr>
          <w:p>
            <w:pPr>
              <w:spacing w:after="0"/>
              <w:rPr>
                <w:sz w:val="22"/>
                <w:szCs w:val="22"/>
                <w:color w:val="auto"/>
              </w:rPr>
            </w:pPr>
          </w:p>
        </w:tc>
      </w:tr>
      <w:tr>
        <w:trPr>
          <w:trHeight w:val="152"/>
        </w:trPr>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3"/>
                <w:szCs w:val="13"/>
                <w:color w:val="auto"/>
              </w:rPr>
            </w:pPr>
          </w:p>
        </w:tc>
        <w:tc>
          <w:tcPr>
            <w:tcW w:w="10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88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94"/>
              </w:rPr>
              <w:t>Interest</w:t>
            </w:r>
          </w:p>
        </w:tc>
      </w:tr>
      <w:tr>
        <w:trPr>
          <w:trHeight w:val="149"/>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2"/>
              </w:rPr>
              <w:t>Recorded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2"/>
                <w:szCs w:val="12"/>
                <w:color w:val="auto"/>
              </w:rPr>
            </w:pPr>
          </w:p>
        </w:tc>
        <w:tc>
          <w:tcPr>
            <w:tcW w:w="8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3"/>
              </w:rPr>
              <w:t>Income</w:t>
            </w:r>
          </w:p>
        </w:tc>
      </w:tr>
      <w:tr>
        <w:trPr>
          <w:trHeight w:val="192"/>
        </w:trPr>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88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Recognized</w:t>
            </w:r>
          </w:p>
        </w:tc>
      </w:tr>
      <w:tr>
        <w:trPr>
          <w:trHeight w:val="211"/>
        </w:trPr>
        <w:tc>
          <w:tcPr>
            <w:tcW w:w="1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With no related</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4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 recorded:</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9,150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6,100</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Subordinate mortgages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5,785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37"/>
        </w:trPr>
        <w:tc>
          <w:tcPr>
            <w:tcW w:w="1960" w:type="dxa"/>
            <w:vAlign w:val="bottom"/>
          </w:tcPr>
          <w:p>
            <w:pPr>
              <w:ind w:left="38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14,935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9,957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r>
      <w:tr>
        <w:trPr>
          <w:trHeight w:val="27"/>
        </w:trPr>
        <w:tc>
          <w:tcPr>
            <w:tcW w:w="1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5"/>
        </w:trPr>
        <w:tc>
          <w:tcPr>
            <w:tcW w:w="19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With an allowance</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1"/>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recorded:</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Senior mortgages</w:t>
            </w:r>
          </w:p>
        </w:tc>
        <w:tc>
          <w:tcPr>
            <w:tcW w:w="1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126,978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130,016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126,903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130,226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34</w:t>
            </w:r>
          </w:p>
        </w:tc>
      </w:tr>
      <w:tr>
        <w:trPr>
          <w:trHeight w:val="27"/>
        </w:trPr>
        <w:tc>
          <w:tcPr>
            <w:tcW w:w="1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1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Corporate/Partnership</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28,301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21,876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12</w:t>
            </w:r>
          </w:p>
        </w:tc>
      </w:tr>
      <w:tr>
        <w:trPr>
          <w:trHeight w:val="237"/>
        </w:trPr>
        <w:tc>
          <w:tcPr>
            <w:tcW w:w="1960" w:type="dxa"/>
            <w:vAlign w:val="bottom"/>
          </w:tcPr>
          <w:p>
            <w:pPr>
              <w:ind w:left="38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132,202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158,317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132,299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152,102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46</w:t>
            </w:r>
          </w:p>
        </w:tc>
      </w:tr>
      <w:tr>
        <w:trPr>
          <w:trHeight w:val="27"/>
        </w:trPr>
        <w:tc>
          <w:tcPr>
            <w:tcW w:w="1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147,137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158,317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142,256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152,102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46</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—Other lending investments—securities includes the following ($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Face Value</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Amortized Cost</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Unrealized Gain</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Estimated Fair</w:t>
            </w: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Net Carrying Value</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Basis</w:t>
            </w:r>
          </w:p>
        </w:tc>
        <w:tc>
          <w:tcPr>
            <w:tcW w:w="300" w:type="dxa"/>
            <w:vAlign w:val="bottom"/>
          </w:tcPr>
          <w:p>
            <w:pPr>
              <w:spacing w:after="0"/>
              <w:rPr>
                <w:sz w:val="16"/>
                <w:szCs w:val="16"/>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2016</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5,981</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Held-to-Maturity Securities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54,270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53,955</w:t>
            </w:r>
          </w:p>
        </w:tc>
        <w:tc>
          <w:tcPr>
            <w:tcW w:w="0" w:type="dxa"/>
            <w:vAlign w:val="bottom"/>
          </w:tcPr>
          <w:p>
            <w:pPr>
              <w:spacing w:after="0"/>
              <w:rPr>
                <w:sz w:val="1"/>
                <w:szCs w:val="1"/>
                <w:color w:val="auto"/>
              </w:rPr>
            </w:pPr>
          </w:p>
        </w:tc>
      </w:tr>
      <w:tr>
        <w:trPr>
          <w:trHeight w:val="297"/>
        </w:trPr>
        <w:tc>
          <w:tcPr>
            <w:tcW w:w="30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59,689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59,320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60,251</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59,936</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Held-to-Maturity Securities</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61,128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61,199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61,128</w:t>
            </w:r>
          </w:p>
        </w:tc>
        <w:tc>
          <w:tcPr>
            <w:tcW w:w="0" w:type="dxa"/>
            <w:vAlign w:val="bottom"/>
          </w:tcPr>
          <w:p>
            <w:pPr>
              <w:spacing w:after="0"/>
              <w:rPr>
                <w:sz w:val="1"/>
                <w:szCs w:val="1"/>
                <w:color w:val="auto"/>
              </w:rPr>
            </w:pPr>
          </w:p>
        </w:tc>
      </w:tr>
      <w:tr>
        <w:trPr>
          <w:trHeight w:val="257"/>
        </w:trPr>
        <w:tc>
          <w:tcPr>
            <w:tcW w:w="3080" w:type="dxa"/>
            <w:vAlign w:val="bottom"/>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55,559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62,138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62,360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62,289</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Investments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other investments and its proportionate share of earnings (losses) from equity method investments were as follows ($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5"/>
          </w:tcPr>
          <w:p>
            <w:pPr>
              <w:ind w:left="100"/>
              <w:spacing w:after="0"/>
              <w:rPr>
                <w:sz w:val="20"/>
                <w:szCs w:val="20"/>
                <w:color w:val="auto"/>
              </w:rPr>
            </w:pPr>
            <w:r>
              <w:rPr>
                <w:rFonts w:ascii="Arial" w:cs="Arial" w:eastAsia="Arial" w:hAnsi="Arial"/>
                <w:sz w:val="14"/>
                <w:szCs w:val="14"/>
                <w:b w:val="1"/>
                <w:bCs w:val="1"/>
                <w:color w:val="auto"/>
              </w:rPr>
              <w:t>Equity in Earnings (Losses)</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80" w:type="dxa"/>
            <w:vAlign w:val="bottom"/>
            <w:gridSpan w:val="4"/>
            <w:vMerge w:val="restart"/>
          </w:tcPr>
          <w:p>
            <w:pPr>
              <w:jc w:val="center"/>
              <w:ind w:right="113"/>
              <w:spacing w:after="0"/>
              <w:rPr>
                <w:sz w:val="20"/>
                <w:szCs w:val="20"/>
                <w:color w:val="auto"/>
              </w:rPr>
            </w:pPr>
            <w:r>
              <w:rPr>
                <w:rFonts w:ascii="Arial" w:cs="Arial" w:eastAsia="Arial" w:hAnsi="Arial"/>
                <w:sz w:val="14"/>
                <w:szCs w:val="14"/>
                <w:b w:val="1"/>
                <w:bCs w:val="1"/>
                <w:color w:val="auto"/>
                <w:w w:val="94"/>
              </w:rPr>
              <w:t>Carrying Value as of</w:t>
            </w:r>
          </w:p>
        </w:tc>
        <w:tc>
          <w:tcPr>
            <w:tcW w:w="120" w:type="dxa"/>
            <w:vAlign w:val="bottom"/>
            <w:vMerge w:val="restart"/>
          </w:tcPr>
          <w:p>
            <w:pPr>
              <w:spacing w:after="0"/>
              <w:rPr>
                <w:sz w:val="14"/>
                <w:szCs w:val="14"/>
                <w:color w:val="auto"/>
              </w:rPr>
            </w:pPr>
          </w:p>
        </w:tc>
        <w:tc>
          <w:tcPr>
            <w:tcW w:w="2340" w:type="dxa"/>
            <w:vAlign w:val="bottom"/>
            <w:gridSpan w:val="7"/>
          </w:tcPr>
          <w:p>
            <w:pPr>
              <w:ind w:left="60"/>
              <w:spacing w:after="0"/>
              <w:rPr>
                <w:sz w:val="20"/>
                <w:szCs w:val="20"/>
                <w:color w:val="auto"/>
              </w:rPr>
            </w:pPr>
            <w:r>
              <w:rPr>
                <w:rFonts w:ascii="Arial" w:cs="Arial" w:eastAsia="Arial" w:hAnsi="Arial"/>
                <w:sz w:val="14"/>
                <w:szCs w:val="14"/>
                <w:b w:val="1"/>
                <w:bCs w:val="1"/>
                <w:color w:val="auto"/>
                <w:w w:val="99"/>
              </w:rPr>
              <w:t>For the Three Months Ended June</w:t>
            </w:r>
          </w:p>
        </w:tc>
        <w:tc>
          <w:tcPr>
            <w:tcW w:w="260" w:type="dxa"/>
            <w:vAlign w:val="bottom"/>
          </w:tcPr>
          <w:p>
            <w:pPr>
              <w:spacing w:after="0"/>
              <w:rPr>
                <w:sz w:val="14"/>
                <w:szCs w:val="14"/>
                <w:color w:val="auto"/>
              </w:rPr>
            </w:pPr>
          </w:p>
        </w:tc>
        <w:tc>
          <w:tcPr>
            <w:tcW w:w="198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2016</w:t>
            </w:r>
          </w:p>
        </w:tc>
        <w:tc>
          <w:tcPr>
            <w:tcW w:w="200" w:type="dxa"/>
            <w:vAlign w:val="bottom"/>
          </w:tcPr>
          <w:p>
            <w:pPr>
              <w:spacing w:after="0"/>
              <w:rPr>
                <w:sz w:val="22"/>
                <w:szCs w:val="22"/>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2015</w:t>
            </w:r>
          </w:p>
        </w:tc>
        <w:tc>
          <w:tcPr>
            <w:tcW w:w="240" w:type="dxa"/>
            <w:vAlign w:val="bottom"/>
          </w:tcPr>
          <w:p>
            <w:pPr>
              <w:spacing w:after="0"/>
              <w:rPr>
                <w:sz w:val="22"/>
                <w:szCs w:val="22"/>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31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5"/>
        </w:trPr>
        <w:tc>
          <w:tcPr>
            <w:tcW w:w="2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real estate equity</w:t>
            </w: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investments</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74,381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81,452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28,600</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29"/>
        </w:trPr>
        <w:tc>
          <w:tcPr>
            <w:tcW w:w="2700" w:type="dxa"/>
            <w:vAlign w:val="bottom"/>
          </w:tcPr>
          <w:p>
            <w:pPr>
              <w:ind w:left="40"/>
              <w:spacing w:after="0"/>
              <w:rPr>
                <w:sz w:val="20"/>
                <w:szCs w:val="20"/>
                <w:color w:val="auto"/>
              </w:rPr>
            </w:pPr>
            <w:r>
              <w:rPr>
                <w:rFonts w:ascii="Arial" w:cs="Arial" w:eastAsia="Arial" w:hAnsi="Arial"/>
                <w:sz w:val="18"/>
                <w:szCs w:val="18"/>
                <w:color w:val="auto"/>
                <w:w w:val="97"/>
              </w:rPr>
              <w:t>iStar Net Lease I LLC ("Net Lease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40"/>
              <w:spacing w:after="0"/>
              <w:rPr>
                <w:sz w:val="20"/>
                <w:szCs w:val="20"/>
                <w:color w:val="auto"/>
              </w:rPr>
            </w:pPr>
            <w:r>
              <w:rPr>
                <w:rFonts w:ascii="Arial" w:cs="Arial" w:eastAsia="Arial" w:hAnsi="Arial"/>
                <w:sz w:val="18"/>
                <w:szCs w:val="18"/>
                <w:color w:val="auto"/>
              </w:rPr>
              <w:t>Venture")</w:t>
            </w:r>
          </w:p>
        </w:tc>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67,895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69,096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 investments</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58,922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2,357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29"/>
        </w:trPr>
        <w:tc>
          <w:tcPr>
            <w:tcW w:w="2700" w:type="dxa"/>
            <w:vAlign w:val="bottom"/>
          </w:tcPr>
          <w:p>
            <w:pPr>
              <w:ind w:left="40"/>
              <w:spacing w:after="0"/>
              <w:rPr>
                <w:sz w:val="20"/>
                <w:szCs w:val="20"/>
                <w:color w:val="auto"/>
              </w:rPr>
            </w:pPr>
            <w:r>
              <w:rPr>
                <w:rFonts w:ascii="Arial" w:cs="Arial" w:eastAsia="Arial" w:hAnsi="Arial"/>
                <w:sz w:val="18"/>
                <w:szCs w:val="18"/>
                <w:color w:val="auto"/>
              </w:rPr>
              <w:t>Marina Palms, LLC ("Marina</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40"/>
              <w:spacing w:after="0"/>
              <w:rPr>
                <w:sz w:val="20"/>
                <w:szCs w:val="20"/>
                <w:color w:val="auto"/>
              </w:rPr>
            </w:pPr>
            <w:r>
              <w:rPr>
                <w:rFonts w:ascii="Arial" w:cs="Arial" w:eastAsia="Arial" w:hAnsi="Arial"/>
                <w:sz w:val="18"/>
                <w:szCs w:val="18"/>
                <w:color w:val="auto"/>
              </w:rPr>
              <w:t>Palms")</w:t>
            </w:r>
          </w:p>
        </w:tc>
        <w:tc>
          <w:tcPr>
            <w:tcW w:w="2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27,558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30,099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5,180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investments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228,756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254,172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39,447</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8,785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15,332</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-98425</wp:posOffset>
            </wp:positionV>
            <wp:extent cx="50857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ind w:left="500" w:hanging="492"/>
        <w:spacing w:after="0" w:line="241"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June 2016, a majority-owned consolidated subsidiary of the Company sold its interest in a real estate equity method investment for net proceeds of $39.8 million and recognized a gain of $31.5 million, of which $10.1 million of the gain was attributable to the noncontrolling interest.</w:t>
      </w:r>
    </w:p>
    <w:p>
      <w:pPr>
        <w:jc w:val="both"/>
        <w:ind w:left="500" w:hanging="492"/>
        <w:spacing w:after="0" w:line="248"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conjunction with the sale of the Company's interests in Oak Hill Advisors, L.P. in 2011, the Company retained a share of the carried interest related to various funds. During the three and six months ended June 30, 2016, the Company recognized $0.5 million and $3.7 million, respectively, of carried interest income. During the three and six months ended June 30, 2015, the Company recognized $0.7 million and $2.2 million, respectively, of carried interest income.</w:t>
      </w:r>
    </w:p>
    <w:p>
      <w:pPr>
        <w:spacing w:after="0" w:line="138"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Other real estate equity investments</w:t>
      </w:r>
      <w:r>
        <w:rPr>
          <w:rFonts w:ascii="Arial" w:cs="Arial" w:eastAsia="Arial" w:hAnsi="Arial"/>
          <w:sz w:val="17"/>
          <w:szCs w:val="17"/>
          <w:color w:val="auto"/>
        </w:rPr>
        <w:t>—As of June 30, 2016, the Company's other real estate equity investments included equity interests in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ventures ranging from 19% to 85%, comprised of investments of $13.1 million in operating properties and $59.2 million in land assets. As of December 31, 2015, the Company's other real estate equity investments included $11.1 million in operating properties and $64.0 million in land assets.</w:t>
      </w:r>
    </w:p>
    <w:p>
      <w:pPr>
        <w:spacing w:after="0" w:line="10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addition, during 2014 the Company contributed land to a newly formed unconsolidated entity in which the Company received an equity interest of 85.7%. This entity is a VIE and the Company does not have controlling interest due to shared control of the entity with its partner. As of June 30, 2016 and December 31, 2015, the Company had a recorded equity interest of $2.1 million and $6.3 million, respectively. Additionally, the Company committed to provide $45.7 million of mezzanine financing to the entity. As of June 30, 2016, the loan balance was $35.6 million and is included in "Loans receivable and other lending investments, net" on the Company's consolidated balance sheets. During the three and six months ended June 30, 2016, the Company recorded $1.2 million and $2.4 million of interest income, respectively, and $1.0 million and $1.6 million for the three and six months ended June 30, 2015, respectively, relating to this loan.</w:t>
      </w:r>
    </w:p>
    <w:p>
      <w:pPr>
        <w:spacing w:after="0" w:line="131"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b w:val="1"/>
          <w:bCs w:val="1"/>
          <w:color w:val="auto"/>
        </w:rPr>
        <w:t>Net Lease Venture</w:t>
      </w:r>
      <w:r>
        <w:rPr>
          <w:rFonts w:ascii="Arial" w:cs="Arial" w:eastAsia="Arial" w:hAnsi="Arial"/>
          <w:sz w:val="16"/>
          <w:szCs w:val="16"/>
          <w:color w:val="auto"/>
        </w:rPr>
        <w:t>—In February 2014, the Company partnered with a sovereign wealth fund to form a new unconsolidated entity in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has an equity interest of approximately 51.9%. This entity is not a VIE and the Company does not have controlling interest due to the substantive participating rights of its partner. The partners plan to contribute up to an aggregate $500 million of equity to acquire and develop net lease assets over time. The Company is responsible for sourcing new opportunities and managing the venture and its assets in exchange for a promote and management fee. Several of the Company's senior executives whose time is substantially devoted to the net lease venture own a total of 0.6% equity ownership in the venture via co-investment. These senior executives are also entitled to an amount equal to 50% of any promote payment received based on the 47.5% partner's interest. As of June 30, 2016 and December 31, 2015, the venture's carrying value of total assets was $414.2 million and $400.2 million, respectively. During the three and six months ended June 30, 2016, the Company recorded $0.4 million and $0.8 million of management fees, respectively, and $0.4 million and $0.8 million for the three and six months ended June 30, 2015, respectively, from the Net Lease Venture which are included in "Other income" in the Company's consolidated statements of operations. In June 2015, the venture placed ten year non-recourse financing of $120.0 million on one of its net lease assets. Net proceeds from the financing were distributed to its members of which the Company received approximately $61.2 million.</w:t>
      </w:r>
    </w:p>
    <w:p>
      <w:pPr>
        <w:spacing w:after="0" w:line="110"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Other investments</w:t>
      </w:r>
      <w:r>
        <w:rPr>
          <w:rFonts w:ascii="Arial" w:cs="Arial" w:eastAsia="Arial" w:hAnsi="Arial"/>
          <w:sz w:val="18"/>
          <w:szCs w:val="18"/>
          <w:color w:val="auto"/>
        </w:rPr>
        <w:t>—As of June 30, 2016, the Company also had smaller investments in real estate related funds and other strategic investments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other entities that were accounted for under the equity method or cost method. As of June 30, 2016 and December 31, 2015, the carrying value of the Company's cost method investments was $1.4 million and $1.5 million, respectively. During the six months ended June 30, 2015, the Company sold available-for-sale securities for proceeds of $7.3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million for gains of $2.5 million, which are included in "Other income" in the Company's consolidated statements of operations. The amount reclassified out of accumulated other comprehensive income into earnings was determined based on the specific identification method.</w:t>
      </w:r>
    </w:p>
    <w:p>
      <w:pPr>
        <w:spacing w:after="0" w:line="12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Marina Palms</w:t>
      </w:r>
      <w:r>
        <w:rPr>
          <w:rFonts w:ascii="Arial" w:cs="Arial" w:eastAsia="Arial" w:hAnsi="Arial"/>
          <w:sz w:val="18"/>
          <w:szCs w:val="18"/>
          <w:color w:val="auto"/>
        </w:rPr>
        <w:t>—As of June 30, 2016, the Company owned a 47.5% equity interest in Marina Palms, a residential condominium development. This</w:t>
      </w:r>
      <w:r>
        <w:rPr>
          <w:rFonts w:ascii="Arial" w:cs="Arial" w:eastAsia="Arial" w:hAnsi="Arial"/>
          <w:sz w:val="18"/>
          <w:szCs w:val="18"/>
          <w:b w:val="1"/>
          <w:bCs w:val="1"/>
          <w:color w:val="auto"/>
        </w:rPr>
        <w:t xml:space="preserve"> </w:t>
      </w:r>
      <w:r>
        <w:rPr>
          <w:rFonts w:ascii="Arial" w:cs="Arial" w:eastAsia="Arial" w:hAnsi="Arial"/>
          <w:sz w:val="18"/>
          <w:szCs w:val="18"/>
          <w:color w:val="auto"/>
        </w:rPr>
        <w:t>entity is not a VIE and the Company does not have controlling interest due to shared control of the entity with its partner. As of June 30, 2016 and December 31, 2015, the venture's carrying value of total assets was $207.6 million and $278.5 million, respectively.</w:t>
      </w:r>
    </w:p>
    <w:p>
      <w:pPr>
        <w:spacing w:after="0" w:line="257"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Summarized investee financial information</w:t>
      </w:r>
      <w:r>
        <w:rPr>
          <w:rFonts w:ascii="Arial" w:cs="Arial" w:eastAsia="Arial" w:hAnsi="Arial"/>
          <w:sz w:val="18"/>
          <w:szCs w:val="18"/>
          <w:color w:val="auto"/>
        </w:rPr>
        <w:t>—The following table presents the investee level summarized financial information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method investments, which were significant subsidiaries for the six months ended June 30, 2016 and 2015 ($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81"/>
              <w:spacing w:after="0"/>
              <w:rPr>
                <w:sz w:val="20"/>
                <w:szCs w:val="20"/>
                <w:color w:val="auto"/>
              </w:rPr>
            </w:pPr>
            <w:r>
              <w:rPr>
                <w:rFonts w:ascii="Arial" w:cs="Arial" w:eastAsia="Arial" w:hAnsi="Arial"/>
                <w:sz w:val="14"/>
                <w:szCs w:val="14"/>
                <w:b w:val="1"/>
                <w:bCs w:val="1"/>
                <w:color w:val="auto"/>
                <w:w w:val="92"/>
              </w:rPr>
              <w:t>Net Income</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Revenues</w:t>
            </w:r>
          </w:p>
        </w:tc>
        <w:tc>
          <w:tcPr>
            <w:tcW w:w="26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2"/>
                <w:szCs w:val="12"/>
                <w:color w:val="auto"/>
              </w:rPr>
            </w:pPr>
          </w:p>
        </w:tc>
        <w:tc>
          <w:tcPr>
            <w:tcW w:w="11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0" w:type="dxa"/>
            <w:vAlign w:val="bottom"/>
          </w:tcPr>
          <w:p>
            <w:pPr>
              <w:spacing w:after="0"/>
              <w:rPr>
                <w:sz w:val="1"/>
                <w:szCs w:val="1"/>
                <w:color w:val="auto"/>
              </w:rPr>
            </w:pPr>
          </w:p>
        </w:tc>
      </w:tr>
      <w:tr>
        <w:trPr>
          <w:trHeight w:val="192"/>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61"/>
              <w:spacing w:after="0"/>
              <w:rPr>
                <w:sz w:val="20"/>
                <w:szCs w:val="20"/>
                <w:color w:val="auto"/>
              </w:rPr>
            </w:pPr>
            <w:r>
              <w:rPr>
                <w:rFonts w:ascii="Arial" w:cs="Arial" w:eastAsia="Arial" w:hAnsi="Arial"/>
                <w:sz w:val="14"/>
                <w:szCs w:val="14"/>
                <w:b w:val="1"/>
                <w:bCs w:val="1"/>
                <w:color w:val="auto"/>
                <w:w w:val="93"/>
              </w:rPr>
              <w:t>Parent Entities</w:t>
            </w:r>
          </w:p>
        </w:tc>
        <w:tc>
          <w:tcPr>
            <w:tcW w:w="0" w:type="dxa"/>
            <w:vAlign w:val="bottom"/>
          </w:tcPr>
          <w:p>
            <w:pPr>
              <w:spacing w:after="0"/>
              <w:rPr>
                <w:sz w:val="1"/>
                <w:szCs w:val="1"/>
                <w:color w:val="auto"/>
              </w:rPr>
            </w:pPr>
          </w:p>
        </w:tc>
      </w:tr>
      <w:tr>
        <w:trPr>
          <w:trHeight w:val="250"/>
        </w:trPr>
        <w:tc>
          <w:tcPr>
            <w:tcW w:w="5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Six Months Ended June 30, 2016</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Marina Palms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87,494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(47,764)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
              <w:spacing w:after="0"/>
              <w:rPr>
                <w:sz w:val="20"/>
                <w:szCs w:val="20"/>
                <w:color w:val="auto"/>
              </w:rPr>
            </w:pPr>
            <w:r>
              <w:rPr>
                <w:rFonts w:ascii="Arial" w:cs="Arial" w:eastAsia="Arial" w:hAnsi="Arial"/>
                <w:sz w:val="18"/>
                <w:szCs w:val="18"/>
                <w:color w:val="auto"/>
              </w:rPr>
              <w:t>39,730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 2015</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Marina Palms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71,852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26,329</w:t>
            </w:r>
          </w:p>
        </w:tc>
        <w:tc>
          <w:tcPr>
            <w:tcW w:w="0" w:type="dxa"/>
            <w:vAlign w:val="bottom"/>
          </w:tcPr>
          <w:p>
            <w:pPr>
              <w:spacing w:after="0"/>
              <w:rPr>
                <w:sz w:val="1"/>
                <w:szCs w:val="1"/>
                <w:color w:val="auto"/>
              </w:rPr>
            </w:pPr>
          </w:p>
        </w:tc>
      </w:tr>
      <w:tr>
        <w:trPr>
          <w:trHeight w:val="27"/>
        </w:trPr>
        <w:tc>
          <w:tcPr>
            <w:tcW w:w="5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8—Other Assets and Other Liabilities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expenses and other assets, net, consist of the following items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b w:val="1"/>
                <w:bCs w:val="1"/>
                <w:color w:val="auto"/>
              </w:rPr>
              <w:t>June 30, 2016</w:t>
            </w:r>
          </w:p>
        </w:tc>
        <w:tc>
          <w:tcPr>
            <w:tcW w:w="140" w:type="dxa"/>
            <w:vAlign w:val="bottom"/>
          </w:tcPr>
          <w:p>
            <w:pPr>
              <w:spacing w:after="0"/>
              <w:rPr>
                <w:sz w:val="22"/>
                <w:szCs w:val="22"/>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2015</w:t>
            </w:r>
          </w:p>
        </w:tc>
        <w:tc>
          <w:tcPr>
            <w:tcW w:w="0" w:type="dxa"/>
            <w:vAlign w:val="bottom"/>
          </w:tcPr>
          <w:p>
            <w:pPr>
              <w:spacing w:after="0"/>
              <w:rPr>
                <w:sz w:val="1"/>
                <w:szCs w:val="1"/>
                <w:color w:val="auto"/>
              </w:rPr>
            </w:pPr>
          </w:p>
        </w:tc>
      </w:tr>
      <w:tr>
        <w:trPr>
          <w:trHeight w:val="270"/>
        </w:trPr>
        <w:tc>
          <w:tcPr>
            <w:tcW w:w="58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Intangible assets, net</w:t>
            </w:r>
            <w:r>
              <w:rPr>
                <w:rFonts w:ascii="Arial" w:cs="Arial" w:eastAsia="Arial" w:hAnsi="Arial"/>
                <w:sz w:val="25"/>
                <w:szCs w:val="25"/>
                <w:color w:val="auto"/>
                <w:vertAlign w:val="superscript"/>
              </w:rPr>
              <w:t>(1)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64,345</w:t>
            </w:r>
          </w:p>
        </w:tc>
        <w:tc>
          <w:tcPr>
            <w:tcW w:w="10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71,446</w:t>
            </w:r>
          </w:p>
        </w:tc>
        <w:tc>
          <w:tcPr>
            <w:tcW w:w="0" w:type="dxa"/>
            <w:vAlign w:val="bottom"/>
          </w:tcPr>
          <w:p>
            <w:pPr>
              <w:spacing w:after="0"/>
              <w:rPr>
                <w:sz w:val="1"/>
                <w:szCs w:val="1"/>
                <w:color w:val="auto"/>
              </w:rPr>
            </w:pPr>
          </w:p>
        </w:tc>
      </w:tr>
      <w:tr>
        <w:trPr>
          <w:trHeight w:val="270"/>
        </w:trPr>
        <w:tc>
          <w:tcPr>
            <w:tcW w:w="5860" w:type="dxa"/>
            <w:vAlign w:val="bottom"/>
          </w:tcPr>
          <w:p>
            <w:pPr>
              <w:ind w:left="40"/>
              <w:spacing w:after="0" w:line="270" w:lineRule="exact"/>
              <w:rPr>
                <w:sz w:val="20"/>
                <w:szCs w:val="20"/>
                <w:color w:val="auto"/>
              </w:rPr>
            </w:pPr>
            <w:r>
              <w:rPr>
                <w:rFonts w:ascii="Arial" w:cs="Arial" w:eastAsia="Arial" w:hAnsi="Arial"/>
                <w:sz w:val="18"/>
                <w:szCs w:val="18"/>
                <w:color w:val="auto"/>
              </w:rPr>
              <w:t>Other receivables</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37,345</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22,557</w:t>
            </w:r>
          </w:p>
        </w:tc>
        <w:tc>
          <w:tcPr>
            <w:tcW w:w="0" w:type="dxa"/>
            <w:vAlign w:val="bottom"/>
          </w:tcPr>
          <w:p>
            <w:pPr>
              <w:spacing w:after="0"/>
              <w:rPr>
                <w:sz w:val="1"/>
                <w:szCs w:val="1"/>
                <w:color w:val="auto"/>
              </w:rPr>
            </w:pPr>
          </w:p>
        </w:tc>
      </w:tr>
      <w:tr>
        <w:trPr>
          <w:trHeight w:val="270"/>
        </w:trPr>
        <w:tc>
          <w:tcPr>
            <w:tcW w:w="5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 assets</w:t>
            </w:r>
            <w:r>
              <w:rPr>
                <w:rFonts w:ascii="Arial" w:cs="Arial" w:eastAsia="Arial" w:hAnsi="Arial"/>
                <w:sz w:val="25"/>
                <w:szCs w:val="25"/>
                <w:color w:val="auto"/>
                <w:vertAlign w:val="superscript"/>
              </w:rPr>
              <w:t>(3)</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30,258</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36,999</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22,722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26,657</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Leasing costs, net</w:t>
            </w:r>
            <w:r>
              <w:rPr>
                <w:rFonts w:ascii="Arial" w:cs="Arial" w:eastAsia="Arial" w:hAnsi="Arial"/>
                <w:sz w:val="25"/>
                <w:szCs w:val="25"/>
                <w:color w:val="auto"/>
                <w:vertAlign w:val="superscript"/>
              </w:rPr>
              <w:t>(4)</w:t>
            </w:r>
          </w:p>
        </w:tc>
        <w:tc>
          <w:tcPr>
            <w:tcW w:w="3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13,362</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19,393</w:t>
            </w:r>
          </w:p>
        </w:tc>
        <w:tc>
          <w:tcPr>
            <w:tcW w:w="0" w:type="dxa"/>
            <w:vAlign w:val="bottom"/>
          </w:tcPr>
          <w:p>
            <w:pPr>
              <w:spacing w:after="0"/>
              <w:rPr>
                <w:sz w:val="1"/>
                <w:szCs w:val="1"/>
                <w:color w:val="auto"/>
              </w:rPr>
            </w:pPr>
          </w:p>
        </w:tc>
      </w:tr>
      <w:tr>
        <w:trPr>
          <w:trHeight w:val="270"/>
        </w:trPr>
        <w:tc>
          <w:tcPr>
            <w:tcW w:w="58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Corporate furniture, fixtures and equipment, net</w:t>
            </w:r>
            <w:r>
              <w:rPr>
                <w:rFonts w:ascii="Arial" w:cs="Arial" w:eastAsia="Arial" w:hAnsi="Arial"/>
                <w:sz w:val="25"/>
                <w:szCs w:val="25"/>
                <w:color w:val="auto"/>
                <w:vertAlign w:val="superscript"/>
              </w:rPr>
              <w:t>(5)</w:t>
            </w:r>
          </w:p>
        </w:tc>
        <w:tc>
          <w:tcPr>
            <w:tcW w:w="3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5,038</w:t>
            </w:r>
          </w:p>
        </w:tc>
        <w:tc>
          <w:tcPr>
            <w:tcW w:w="10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expenses and other assets,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173,070</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181,457</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4"/>
                <w:szCs w:val="14"/>
                <w:color w:val="auto"/>
                <w:w w:val="94"/>
              </w:rPr>
              <w:t>_______________________________________________________________________________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500" w:hanging="492"/>
        <w:spacing w:after="0" w:line="241" w:lineRule="auto"/>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Intangible assets, net includes above market and in-place lease assets related to the acquisition of real estate assets. This balance also includes a lease incentive asset of $38.1 million (refer to Note 4). Accumulated amortization on intangible assets, net was $30.1 million and $37.3 million as of June 30, 2016 and December 31, 2015, respectively. The amortization of above market leases and lease incentive assets decreased operating lease income in the Company's consolidated statements of operations by $1.2 million and $2.4 million for the three and six months ended June 30, 2016, respectively, and $1.4 million and $3.7 million for the three and six months ended June 30, 2015, respectively. These intangible lease assets are amortized over the term of the lease. The amortization expense for in-place leases was $0.6 million and $1.1 million for the three and six months ended June 30, 2016, respectively, and $0.7 million and $2.2 million for the three and six months ended June 30, 2015, respectively. These amounts are included in "Depreciation and amortization" in the Company's consolidated statements of operations.</w:t>
      </w:r>
    </w:p>
    <w:p>
      <w:pPr>
        <w:spacing w:after="0" w:line="2" w:lineRule="exact"/>
        <w:rPr>
          <w:rFonts w:ascii="Arial" w:cs="Arial" w:eastAsia="Arial" w:hAnsi="Arial"/>
          <w:sz w:val="14"/>
          <w:szCs w:val="14"/>
          <w:color w:val="auto"/>
        </w:rPr>
      </w:pPr>
    </w:p>
    <w:p>
      <w:pPr>
        <w:ind w:left="500" w:hanging="492"/>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of June 30, 2016, includes $1.7 million of receivables related to the sale of properties that was received in July.</w:t>
      </w:r>
    </w:p>
    <w:p>
      <w:pPr>
        <w:spacing w:after="0" w:line="1" w:lineRule="exact"/>
        <w:rPr>
          <w:rFonts w:ascii="Arial" w:cs="Arial" w:eastAsia="Arial" w:hAnsi="Arial"/>
          <w:sz w:val="14"/>
          <w:szCs w:val="14"/>
          <w:color w:val="auto"/>
        </w:rPr>
      </w:pPr>
    </w:p>
    <w:p>
      <w:pPr>
        <w:ind w:left="500" w:right="20" w:hanging="492"/>
        <w:spacing w:after="0" w:line="241" w:lineRule="auto"/>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of December 31, 2015, includes a $7.0 million receivable related to the sale of a land and development asset in 2015 that was recognized in land development revenue during the three and six months ended June 30, 2016.</w:t>
      </w:r>
    </w:p>
    <w:p>
      <w:pPr>
        <w:ind w:left="500" w:hanging="492"/>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Accumulated amortization of leasing costs was $7.6 million and $9.8 million as of June 30, 2016 and December 31, 2015, respectively.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Accumulated depreciation on corporate furniture, fixtures and equipment was $8.6 million and $8.1 million as of June 30, 2016 and December 31, 2015, respectively.</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payable, accrued expenses and other liabilities consist of the following items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20" w:type="dxa"/>
            <w:vAlign w:val="bottom"/>
            <w:gridSpan w:val="3"/>
          </w:tcPr>
          <w:p>
            <w:pPr>
              <w:ind w:left="180"/>
              <w:spacing w:after="0"/>
              <w:rPr>
                <w:sz w:val="20"/>
                <w:szCs w:val="20"/>
                <w:color w:val="auto"/>
              </w:rPr>
            </w:pPr>
            <w:r>
              <w:rPr>
                <w:rFonts w:ascii="Arial" w:cs="Arial" w:eastAsia="Arial" w:hAnsi="Arial"/>
                <w:sz w:val="14"/>
                <w:szCs w:val="14"/>
                <w:b w:val="1"/>
                <w:bCs w:val="1"/>
                <w:color w:val="auto"/>
              </w:rPr>
              <w:t>June 30, 2016</w:t>
            </w:r>
          </w:p>
        </w:tc>
        <w:tc>
          <w:tcPr>
            <w:tcW w:w="140" w:type="dxa"/>
            <w:vAlign w:val="bottom"/>
          </w:tcPr>
          <w:p>
            <w:pPr>
              <w:spacing w:after="0"/>
              <w:rPr>
                <w:sz w:val="22"/>
                <w:szCs w:val="22"/>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2015</w:t>
            </w:r>
          </w:p>
        </w:tc>
        <w:tc>
          <w:tcPr>
            <w:tcW w:w="0" w:type="dxa"/>
            <w:vAlign w:val="bottom"/>
          </w:tcPr>
          <w:p>
            <w:pPr>
              <w:spacing w:after="0"/>
              <w:rPr>
                <w:sz w:val="1"/>
                <w:szCs w:val="1"/>
                <w:color w:val="auto"/>
              </w:rPr>
            </w:pPr>
          </w:p>
        </w:tc>
      </w:tr>
      <w:tr>
        <w:trPr>
          <w:trHeight w:val="270"/>
        </w:trPr>
        <w:tc>
          <w:tcPr>
            <w:tcW w:w="588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Other liabilities</w:t>
            </w:r>
            <w:r>
              <w:rPr>
                <w:rFonts w:ascii="Arial" w:cs="Arial" w:eastAsia="Arial" w:hAnsi="Arial"/>
                <w:sz w:val="25"/>
                <w:szCs w:val="25"/>
                <w:color w:val="auto"/>
                <w:vertAlign w:val="superscript"/>
              </w:rPr>
              <w:t>(1)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81,822</w:t>
            </w:r>
          </w:p>
        </w:tc>
        <w:tc>
          <w:tcPr>
            <w:tcW w:w="1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80,332</w:t>
            </w:r>
          </w:p>
        </w:tc>
        <w:tc>
          <w:tcPr>
            <w:tcW w:w="0" w:type="dxa"/>
            <w:vAlign w:val="bottom"/>
          </w:tcPr>
          <w:p>
            <w:pPr>
              <w:spacing w:after="0"/>
              <w:rPr>
                <w:sz w:val="1"/>
                <w:szCs w:val="1"/>
                <w:color w:val="auto"/>
              </w:rPr>
            </w:pPr>
          </w:p>
        </w:tc>
      </w:tr>
      <w:tr>
        <w:trPr>
          <w:trHeight w:val="270"/>
        </w:trPr>
        <w:tc>
          <w:tcPr>
            <w:tcW w:w="5880" w:type="dxa"/>
            <w:vAlign w:val="bottom"/>
          </w:tcPr>
          <w:p>
            <w:pPr>
              <w:ind w:left="40"/>
              <w:spacing w:after="0" w:line="270" w:lineRule="exact"/>
              <w:rPr>
                <w:sz w:val="20"/>
                <w:szCs w:val="20"/>
                <w:color w:val="auto"/>
              </w:rPr>
            </w:pPr>
            <w:r>
              <w:rPr>
                <w:rFonts w:ascii="Arial" w:cs="Arial" w:eastAsia="Arial" w:hAnsi="Arial"/>
                <w:sz w:val="18"/>
                <w:szCs w:val="18"/>
                <w:color w:val="auto"/>
              </w:rPr>
              <w:t>Accrued expenses</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71,235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68,937</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payable</w:t>
            </w: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49,876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55,081</w:t>
            </w:r>
          </w:p>
        </w:tc>
        <w:tc>
          <w:tcPr>
            <w:tcW w:w="0" w:type="dxa"/>
            <w:vAlign w:val="bottom"/>
          </w:tcPr>
          <w:p>
            <w:pPr>
              <w:spacing w:after="0"/>
              <w:rPr>
                <w:sz w:val="1"/>
                <w:szCs w:val="1"/>
                <w:color w:val="auto"/>
              </w:rPr>
            </w:pPr>
          </w:p>
        </w:tc>
      </w:tr>
      <w:tr>
        <w:trPr>
          <w:trHeight w:val="270"/>
        </w:trPr>
        <w:tc>
          <w:tcPr>
            <w:tcW w:w="58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Intangible liabilities, net</w:t>
            </w:r>
            <w:r>
              <w:rPr>
                <w:rFonts w:ascii="Arial" w:cs="Arial" w:eastAsia="Arial" w:hAnsi="Arial"/>
                <w:sz w:val="25"/>
                <w:szCs w:val="25"/>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9,893</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64"/>
        </w:trPr>
        <w:tc>
          <w:tcPr>
            <w:tcW w:w="588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Accounts payable, accrued expenses and other liabilities</w:t>
            </w:r>
            <w:r>
              <w:rPr>
                <w:rFonts w:ascii="Arial" w:cs="Arial" w:eastAsia="Arial" w:hAnsi="Arial"/>
                <w:sz w:val="25"/>
                <w:szCs w:val="25"/>
                <w:color w:val="auto"/>
                <w:vertAlign w:val="superscript"/>
              </w:rPr>
              <w:t>(4)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212,826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214,835</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4"/>
                <w:szCs w:val="14"/>
                <w:color w:val="auto"/>
                <w:w w:val="95"/>
              </w:rPr>
              <w:t>_______________________________________________________________________________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8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jc w:val="both"/>
        <w:ind w:left="500" w:hanging="492"/>
        <w:spacing w:after="0" w:line="260" w:lineRule="auto"/>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As of June 30, 2016 and December 31, 2015, "Other liabilities" includes $20.9 million and $14.5 million, respectively, related to profit sharing arrangements with developers for properties sold. As of June 30, 2016 and December 31, 2015, includes $4.6 million and $4.4 million, respectively, associated with "Real estate available and held for sale" on the Company's consolidated balance sheets. As of June 30, 2016 and December 31, 2015, "Other liabilities" also includes $6.3 million and $6.6 million, respectively, related to tax increment financing bonds which were issued by government entities to fund development within two of the Company's land projects. The amount represents tax assessments associated with each project, which will decrease as the Company sells units. As of June 30, 2016 and December 31, 2015, includes $2.3 million and $0.9 million, respectively, related to share repurchases that settled in July 2016 and January 2016, respectively. As of December 31, 2015, includes $6.0 million of deferred income in connection with the sale of a land and development asset in 2015. Of this amount, $7.0 million and $1.0 million were recognized in land development revenue and land development cost of sales, respectively, during the three and six months ended June 30, 2016. As of June 30, 2016, includes $0.8 million of deferred financing costs that had not yet been paid in cash. As of December 31, 2015, includes $5.7 million of deferred revenue in connection with the sale of a land and development asset in 2015 that was recognized in land development revenue during the six months ended June 30, 2016.</w:t>
      </w:r>
    </w:p>
    <w:p>
      <w:pPr>
        <w:ind w:left="500" w:hanging="492"/>
        <w:spacing w:after="0" w:line="241"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of June 30, 2016 and December 31, 2015, accrued expenses includes $2.1 million and $5.3 million, respectively, associated with "Real estate available and held for sale" on the Company's consolidated balance sheets.</w:t>
      </w:r>
    </w:p>
    <w:p>
      <w:pPr>
        <w:jc w:val="both"/>
        <w:ind w:left="500" w:hanging="492"/>
        <w:spacing w:after="0" w:line="260" w:lineRule="auto"/>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Intangible liabilities, net includes below market lease liabilities related to the acquisition of real estate assets. Accumulated amortization on below market leases was $6.8 million and $6.6 million as of June 30, 2016 and December 31, 2015, respectively. The amortization of below market leases increased operating lease income in the Company's consolidated statements of operations by $0.3 million and $0.6 million for the three and six months ended June 30, 2016, respectively, and $0.4 million and $0.7 million for the three and six months ended June 30, 2015, respectively. As of June 30, 2016, intangible liabilities includes $0.5 million associated with “Real estate available and held for sale" on the Company’s consolidated balance sheet.</w:t>
      </w:r>
    </w:p>
    <w:p>
      <w:pPr>
        <w:ind w:left="500" w:hanging="492"/>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of June 30, 2016 and December 31, 2015, includes $30.4 million and $26.2 million, respectively, of capital expenditures that had not yet been paid in cash.</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tax assets and liabilities of the Company's taxable REIT subsidiaries were as follows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460" w:type="dxa"/>
            <w:vAlign w:val="bottom"/>
            <w:tcBorders>
              <w:bottom w:val="single" w:sz="8" w:color="auto"/>
            </w:tcBorders>
          </w:tcPr>
          <w:p>
            <w:pPr>
              <w:spacing w:after="0"/>
              <w:rPr>
                <w:sz w:val="16"/>
                <w:szCs w:val="16"/>
                <w:color w:val="auto"/>
              </w:rPr>
            </w:pPr>
          </w:p>
        </w:tc>
      </w:tr>
      <w:tr>
        <w:trPr>
          <w:trHeight w:val="264"/>
        </w:trPr>
        <w:tc>
          <w:tcPr>
            <w:tcW w:w="4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22"/>
                <w:szCs w:val="22"/>
                <w:color w:val="auto"/>
              </w:rPr>
            </w:pPr>
          </w:p>
        </w:tc>
        <w:tc>
          <w:tcPr>
            <w:tcW w:w="1460" w:type="dxa"/>
            <w:vAlign w:val="bottom"/>
          </w:tcPr>
          <w:p>
            <w:pPr>
              <w:jc w:val="right"/>
              <w:ind w:right="154"/>
              <w:spacing w:after="0"/>
              <w:rPr>
                <w:sz w:val="20"/>
                <w:szCs w:val="20"/>
                <w:color w:val="auto"/>
              </w:rPr>
            </w:pPr>
            <w:r>
              <w:rPr>
                <w:rFonts w:ascii="Arial" w:cs="Arial" w:eastAsia="Arial" w:hAnsi="Arial"/>
                <w:sz w:val="14"/>
                <w:szCs w:val="14"/>
                <w:b w:val="1"/>
                <w:bCs w:val="1"/>
                <w:color w:val="auto"/>
                <w:w w:val="95"/>
              </w:rPr>
              <w:t>December 31, 2015</w:t>
            </w:r>
          </w:p>
        </w:tc>
      </w:tr>
      <w:tr>
        <w:trPr>
          <w:trHeight w:val="250"/>
        </w:trPr>
        <w:tc>
          <w:tcPr>
            <w:tcW w:w="4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(liabilities)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52,362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53,910</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(52,362)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(53,910)</w:t>
            </w:r>
          </w:p>
        </w:tc>
      </w:tr>
      <w:tr>
        <w:trPr>
          <w:trHeight w:val="27"/>
        </w:trPr>
        <w:tc>
          <w:tcPr>
            <w:tcW w:w="4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assets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9—Loan Participations Payable, net</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six months ended June 30, 2016, the Company transferred to a third party a $50.0 million senior loan commitment that it had previously originated. The Company had not funded the senior loan commitment prior to transfer. The transferee is responsible for funding the $50.0 million senior loan commitment, which bears interest at a rate of LIBOR + 4.50% with a LIBOR floor of 0.43%.</w:t>
      </w:r>
    </w:p>
    <w:p>
      <w:pPr>
        <w:spacing w:after="0" w:line="1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six months ended June 30, 2016, the Company transferred to a third party a $169.0 million senior loan commitment that it had previously originated. The Company had funded $22.8 million of the senior loan prior to transfer and received net proceeds of $22.7 million upon transfer. The transferee is responsible for funding the remaining $146.2 million of the senior loan commitment, which bears interest at a rate of LIBOR + 5.00% with a LIBOR floor of 0.50%. The Company is entitled to receive interest from the transferee at a rate of 3.0% on the funded balance. For the six months ended June 30, 2016, the transferee funded $5.6 million directly to the borrower.</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six months ended June 30, 2015, the Company transferred to a third party a $100.0 million junior loan participation in a $250.0 million mezzanine loan commitment that it had previously originated. The Company had funded $38.9 million of the junior loan prior to transfer and received proceeds of $38.9 million upon transfer. The transferee is responsible for funding the remaining $61.1 million under the junior loan commitment, which bears interest at a rate of 5.90%. The Company will fund these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commitments if the transferee defaults. For the six months ended June 30, 2016 and 2015, the transferee funded an additional $6.7 million and $3.4 million, respectively, directly to the borrower. As of June 30, 2016, the balance of the loan was $59.7 million.</w:t>
      </w:r>
    </w:p>
    <w:p>
      <w:pPr>
        <w:spacing w:after="0" w:line="13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the six months ended June 30, 2015, the Company transferred to a third party a $100.0 million senior loan participation in a $220.2 million senior loan commitment that it had previously originated. The transferred participation bears interest at a rate of LIBOR+ 3.50% with a LIBOR floor of 0.25%. The Company had fully funded the $100.0 million transferred participation prior to transfer and received net proceeds of $99.2 million.</w:t>
      </w:r>
    </w:p>
    <w:p>
      <w:pPr>
        <w:spacing w:after="0" w:line="12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These transfers of financial assets did not meet the sales criteria established under ASC Topic 860 and have been accounted for as loan participations payable as of June 30, 2016 and December 31, 2015, with balances, net of discounts and debt issuance costs, of $186.9 million and $152.1 million, respectively. As of June 30, 2016 and December 31, 2015, the corresponding loan receivable balances were $186.6 million and $153.0 million, respectively, and are included in "Loans receivable and other lending investments, net" on the Company's consolidated balance sheets. The principal and interest due on these loan participations payable are paid from cash flows of the corresponding loans receivable, which serve as collateral for the participations.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 Obligations,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2016 and December 31, 2015, the Company's debt obligations were as follows ($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4"/>
                <w:szCs w:val="14"/>
                <w:b w:val="1"/>
                <w:bCs w:val="1"/>
                <w:color w:val="auto"/>
              </w:rPr>
              <w:t>Carrying Value as of</w:t>
            </w:r>
          </w:p>
        </w:tc>
        <w:tc>
          <w:tcPr>
            <w:tcW w:w="120" w:type="dxa"/>
            <w:vAlign w:val="bottom"/>
          </w:tcPr>
          <w:p>
            <w:pPr>
              <w:spacing w:after="0"/>
              <w:rPr>
                <w:sz w:val="16"/>
                <w:szCs w:val="16"/>
                <w:color w:val="auto"/>
              </w:rPr>
            </w:pPr>
          </w:p>
        </w:tc>
        <w:tc>
          <w:tcPr>
            <w:tcW w:w="1620" w:type="dxa"/>
            <w:vAlign w:val="bottom"/>
            <w:vMerge w:val="restart"/>
          </w:tcPr>
          <w:p>
            <w:pPr>
              <w:jc w:val="right"/>
              <w:ind w:right="542"/>
              <w:spacing w:after="0"/>
              <w:rPr>
                <w:sz w:val="20"/>
                <w:szCs w:val="20"/>
                <w:color w:val="auto"/>
              </w:rPr>
            </w:pPr>
            <w:r>
              <w:rPr>
                <w:rFonts w:ascii="Arial" w:cs="Arial" w:eastAsia="Arial" w:hAnsi="Arial"/>
                <w:sz w:val="14"/>
                <w:szCs w:val="14"/>
                <w:b w:val="1"/>
                <w:bCs w:val="1"/>
                <w:color w:val="auto"/>
              </w:rPr>
              <w:t>Stated</w:t>
            </w:r>
          </w:p>
        </w:tc>
        <w:tc>
          <w:tcPr>
            <w:tcW w:w="460" w:type="dxa"/>
            <w:vAlign w:val="bottom"/>
          </w:tcPr>
          <w:p>
            <w:pPr>
              <w:spacing w:after="0"/>
              <w:rPr>
                <w:sz w:val="16"/>
                <w:szCs w:val="16"/>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Scheduled</w:t>
            </w:r>
          </w:p>
        </w:tc>
        <w:tc>
          <w:tcPr>
            <w:tcW w:w="0" w:type="dxa"/>
            <w:vAlign w:val="bottom"/>
          </w:tcPr>
          <w:p>
            <w:pPr>
              <w:spacing w:after="0"/>
              <w:rPr>
                <w:sz w:val="1"/>
                <w:szCs w:val="1"/>
                <w:color w:val="auto"/>
              </w:rPr>
            </w:pPr>
          </w:p>
        </w:tc>
      </w:tr>
      <w:tr>
        <w:trPr>
          <w:trHeight w:val="71"/>
        </w:trPr>
        <w:tc>
          <w:tcPr>
            <w:tcW w:w="4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June 30, 2016</w:t>
            </w:r>
          </w:p>
        </w:tc>
        <w:tc>
          <w:tcPr>
            <w:tcW w:w="140" w:type="dxa"/>
            <w:vAlign w:val="bottom"/>
          </w:tcPr>
          <w:p>
            <w:pPr>
              <w:spacing w:after="0"/>
              <w:rPr>
                <w:sz w:val="6"/>
                <w:szCs w:val="6"/>
                <w:color w:val="auto"/>
              </w:rPr>
            </w:pPr>
          </w:p>
        </w:tc>
        <w:tc>
          <w:tcPr>
            <w:tcW w:w="142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5"/>
              </w:rPr>
              <w:t>December 31, 2015</w:t>
            </w:r>
          </w:p>
        </w:tc>
        <w:tc>
          <w:tcPr>
            <w:tcW w:w="12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right"/>
              <w:ind w:right="302"/>
              <w:spacing w:after="0"/>
              <w:rPr>
                <w:sz w:val="20"/>
                <w:szCs w:val="20"/>
                <w:color w:val="auto"/>
              </w:rPr>
            </w:pPr>
            <w:r>
              <w:rPr>
                <w:rFonts w:ascii="Arial" w:cs="Arial" w:eastAsia="Arial" w:hAnsi="Arial"/>
                <w:sz w:val="14"/>
                <w:szCs w:val="14"/>
                <w:b w:val="1"/>
                <w:bCs w:val="1"/>
                <w:color w:val="auto"/>
              </w:rPr>
              <w:t>Interest Rates</w:t>
            </w:r>
          </w:p>
        </w:tc>
        <w:tc>
          <w:tcPr>
            <w:tcW w:w="46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0" w:type="dxa"/>
            <w:vAlign w:val="bottom"/>
          </w:tcPr>
          <w:p>
            <w:pPr>
              <w:spacing w:after="0"/>
              <w:rPr>
                <w:sz w:val="1"/>
                <w:szCs w:val="1"/>
                <w:color w:val="auto"/>
              </w:rPr>
            </w:pPr>
          </w:p>
        </w:tc>
      </w:tr>
      <w:tr>
        <w:trPr>
          <w:trHeight w:val="236"/>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Secured credit facilities and term loans: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spacing w:after="0"/>
              <w:rPr>
                <w:sz w:val="20"/>
                <w:szCs w:val="20"/>
                <w:color w:val="auto"/>
              </w:rPr>
            </w:pP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100" w:type="dxa"/>
            <w:vAlign w:val="bottom"/>
            <w:vMerge w:val="restart"/>
          </w:tcPr>
          <w:p>
            <w:pPr>
              <w:ind w:left="160"/>
              <w:spacing w:after="0"/>
              <w:rPr>
                <w:sz w:val="20"/>
                <w:szCs w:val="20"/>
                <w:color w:val="auto"/>
              </w:rPr>
            </w:pPr>
            <w:r>
              <w:rPr>
                <w:rFonts w:ascii="Arial" w:cs="Arial" w:eastAsia="Arial" w:hAnsi="Arial"/>
                <w:sz w:val="16"/>
                <w:szCs w:val="16"/>
                <w:color w:val="auto"/>
              </w:rPr>
              <w:t>2015 $250 Million Secured Revolving Credit Facility</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vMerge w:val="restart"/>
          </w:tcPr>
          <w:p>
            <w:pPr>
              <w:jc w:val="right"/>
              <w:ind w:right="20"/>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vMerge w:val="restart"/>
          </w:tcPr>
          <w:p>
            <w:pPr>
              <w:jc w:val="right"/>
              <w:ind w:right="39"/>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14"/>
                <w:szCs w:val="14"/>
                <w:color w:val="auto"/>
              </w:rPr>
            </w:pPr>
          </w:p>
        </w:tc>
        <w:tc>
          <w:tcPr>
            <w:tcW w:w="1620" w:type="dxa"/>
            <w:vAlign w:val="bottom"/>
            <w:vMerge w:val="restart"/>
          </w:tcPr>
          <w:p>
            <w:pPr>
              <w:jc w:val="right"/>
              <w:ind w:right="82"/>
              <w:spacing w:after="0"/>
              <w:rPr>
                <w:sz w:val="20"/>
                <w:szCs w:val="20"/>
                <w:color w:val="auto"/>
              </w:rPr>
            </w:pPr>
            <w:r>
              <w:rPr>
                <w:rFonts w:ascii="Arial" w:cs="Arial" w:eastAsia="Arial" w:hAnsi="Arial"/>
                <w:sz w:val="16"/>
                <w:szCs w:val="16"/>
                <w:color w:val="auto"/>
              </w:rPr>
              <w:t>LIBOR + 2.75%</w:t>
            </w:r>
          </w:p>
        </w:tc>
        <w:tc>
          <w:tcPr>
            <w:tcW w:w="460" w:type="dxa"/>
            <w:vAlign w:val="bottom"/>
          </w:tcPr>
          <w:p>
            <w:pPr>
              <w:jc w:val="right"/>
              <w:ind w:right="246"/>
              <w:spacing w:after="0"/>
              <w:rPr>
                <w:sz w:val="20"/>
                <w:szCs w:val="20"/>
                <w:color w:val="auto"/>
              </w:rPr>
            </w:pPr>
            <w:r>
              <w:rPr>
                <w:rFonts w:ascii="Arial" w:cs="Arial" w:eastAsia="Arial" w:hAnsi="Arial"/>
                <w:sz w:val="11"/>
                <w:szCs w:val="11"/>
                <w:color w:val="auto"/>
              </w:rPr>
              <w:t>(1)</w:t>
            </w:r>
          </w:p>
        </w:tc>
        <w:tc>
          <w:tcPr>
            <w:tcW w:w="1700" w:type="dxa"/>
            <w:vAlign w:val="bottom"/>
            <w:vMerge w:val="restart"/>
          </w:tcPr>
          <w:p>
            <w:pPr>
              <w:jc w:val="center"/>
              <w:spacing w:after="0"/>
              <w:rPr>
                <w:sz w:val="20"/>
                <w:szCs w:val="20"/>
                <w:color w:val="auto"/>
              </w:rPr>
            </w:pPr>
            <w:r>
              <w:rPr>
                <w:rFonts w:ascii="Arial" w:cs="Arial" w:eastAsia="Arial" w:hAnsi="Arial"/>
                <w:sz w:val="16"/>
                <w:szCs w:val="16"/>
                <w:color w:val="auto"/>
                <w:w w:val="92"/>
              </w:rPr>
              <w:t>March 2018</w:t>
            </w:r>
          </w:p>
        </w:tc>
        <w:tc>
          <w:tcPr>
            <w:tcW w:w="0" w:type="dxa"/>
            <w:vAlign w:val="bottom"/>
          </w:tcPr>
          <w:p>
            <w:pPr>
              <w:spacing w:after="0"/>
              <w:rPr>
                <w:sz w:val="1"/>
                <w:szCs w:val="1"/>
                <w:color w:val="auto"/>
              </w:rPr>
            </w:pPr>
          </w:p>
        </w:tc>
      </w:tr>
      <w:tr>
        <w:trPr>
          <w:trHeight w:val="70"/>
        </w:trPr>
        <w:tc>
          <w:tcPr>
            <w:tcW w:w="410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10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2016 Senior Secured Credit Facility</w:t>
            </w:r>
          </w:p>
        </w:tc>
        <w:tc>
          <w:tcPr>
            <w:tcW w:w="2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450,000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ind w:right="82"/>
              <w:spacing w:after="0"/>
              <w:rPr>
                <w:sz w:val="20"/>
                <w:szCs w:val="20"/>
                <w:color w:val="auto"/>
              </w:rPr>
            </w:pPr>
            <w:r>
              <w:rPr>
                <w:rFonts w:ascii="Arial" w:cs="Arial" w:eastAsia="Arial" w:hAnsi="Arial"/>
                <w:sz w:val="16"/>
                <w:szCs w:val="16"/>
                <w:color w:val="auto"/>
              </w:rPr>
              <w:t>LIBOR + 4.50%</w:t>
            </w:r>
          </w:p>
        </w:tc>
        <w:tc>
          <w:tcPr>
            <w:tcW w:w="46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rPr>
              <w:t>(2)</w:t>
            </w: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July 2020</w:t>
            </w:r>
          </w:p>
        </w:tc>
        <w:tc>
          <w:tcPr>
            <w:tcW w:w="0" w:type="dxa"/>
            <w:vAlign w:val="bottom"/>
          </w:tcPr>
          <w:p>
            <w:pPr>
              <w:spacing w:after="0"/>
              <w:rPr>
                <w:sz w:val="1"/>
                <w:szCs w:val="1"/>
                <w:color w:val="auto"/>
              </w:rPr>
            </w:pPr>
          </w:p>
        </w:tc>
      </w:tr>
      <w:tr>
        <w:trPr>
          <w:trHeight w:val="83"/>
        </w:trPr>
        <w:tc>
          <w:tcPr>
            <w:tcW w:w="4100" w:type="dxa"/>
            <w:vAlign w:val="bottom"/>
            <w:tcBorders>
              <w:bottom w:val="single" w:sz="8" w:color="CCEEFF"/>
            </w:tcBorders>
            <w:vMerge w:val="continue"/>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142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142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620" w:type="dxa"/>
            <w:vAlign w:val="bottom"/>
            <w:tcBorders>
              <w:bottom w:val="single" w:sz="8" w:color="CCEEFF"/>
            </w:tcBorders>
            <w:vMerge w:val="continue"/>
            <w:shd w:val="clear" w:color="auto" w:fill="CCEEFF"/>
          </w:tcPr>
          <w:p>
            <w:pPr>
              <w:spacing w:after="0"/>
              <w:rPr>
                <w:sz w:val="7"/>
                <w:szCs w:val="7"/>
                <w:color w:val="auto"/>
              </w:rPr>
            </w:pPr>
          </w:p>
        </w:tc>
        <w:tc>
          <w:tcPr>
            <w:tcW w:w="460" w:type="dxa"/>
            <w:vAlign w:val="bottom"/>
            <w:tcBorders>
              <w:bottom w:val="single" w:sz="8" w:color="CCEEFF"/>
            </w:tcBorders>
            <w:shd w:val="clear" w:color="auto" w:fill="CCEEFF"/>
          </w:tcPr>
          <w:p>
            <w:pPr>
              <w:spacing w:after="0"/>
              <w:rPr>
                <w:sz w:val="7"/>
                <w:szCs w:val="7"/>
                <w:color w:val="auto"/>
              </w:rPr>
            </w:pPr>
          </w:p>
        </w:tc>
        <w:tc>
          <w:tcPr>
            <w:tcW w:w="17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100" w:type="dxa"/>
            <w:vAlign w:val="bottom"/>
            <w:vMerge w:val="restart"/>
          </w:tcPr>
          <w:p>
            <w:pPr>
              <w:ind w:left="160"/>
              <w:spacing w:after="0"/>
              <w:rPr>
                <w:sz w:val="20"/>
                <w:szCs w:val="20"/>
                <w:color w:val="auto"/>
              </w:rPr>
            </w:pPr>
            <w:r>
              <w:rPr>
                <w:rFonts w:ascii="Arial" w:cs="Arial" w:eastAsia="Arial" w:hAnsi="Arial"/>
                <w:sz w:val="16"/>
                <w:szCs w:val="16"/>
                <w:color w:val="auto"/>
              </w:rPr>
              <w:t>Term loans collateralized by net lease assets</w:t>
            </w:r>
          </w:p>
        </w:tc>
        <w:tc>
          <w:tcPr>
            <w:tcW w:w="260" w:type="dxa"/>
            <w:vAlign w:val="bottom"/>
          </w:tcPr>
          <w:p>
            <w:pPr>
              <w:spacing w:after="0"/>
              <w:rPr>
                <w:sz w:val="14"/>
                <w:szCs w:val="14"/>
                <w:color w:val="auto"/>
              </w:rPr>
            </w:pPr>
          </w:p>
        </w:tc>
        <w:tc>
          <w:tcPr>
            <w:tcW w:w="1420" w:type="dxa"/>
            <w:vAlign w:val="bottom"/>
            <w:vMerge w:val="restart"/>
          </w:tcPr>
          <w:p>
            <w:pPr>
              <w:jc w:val="right"/>
              <w:ind w:right="20"/>
              <w:spacing w:after="0"/>
              <w:rPr>
                <w:sz w:val="20"/>
                <w:szCs w:val="20"/>
                <w:color w:val="auto"/>
              </w:rPr>
            </w:pPr>
            <w:r>
              <w:rPr>
                <w:rFonts w:ascii="Arial" w:cs="Arial" w:eastAsia="Arial" w:hAnsi="Arial"/>
                <w:sz w:val="16"/>
                <w:szCs w:val="16"/>
                <w:color w:val="auto"/>
              </w:rPr>
              <w:t>235,016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vMerge w:val="restart"/>
          </w:tcPr>
          <w:p>
            <w:pPr>
              <w:jc w:val="right"/>
              <w:ind w:right="39"/>
              <w:spacing w:after="0"/>
              <w:rPr>
                <w:sz w:val="20"/>
                <w:szCs w:val="20"/>
                <w:color w:val="auto"/>
              </w:rPr>
            </w:pPr>
            <w:r>
              <w:rPr>
                <w:rFonts w:ascii="Arial" w:cs="Arial" w:eastAsia="Arial" w:hAnsi="Arial"/>
                <w:sz w:val="16"/>
                <w:szCs w:val="16"/>
                <w:color w:val="auto"/>
              </w:rPr>
              <w:t>239,547</w:t>
            </w:r>
          </w:p>
        </w:tc>
        <w:tc>
          <w:tcPr>
            <w:tcW w:w="1740" w:type="dxa"/>
            <w:vAlign w:val="bottom"/>
            <w:gridSpan w:val="2"/>
            <w:vMerge w:val="restart"/>
          </w:tcPr>
          <w:p>
            <w:pPr>
              <w:jc w:val="right"/>
              <w:ind w:right="82"/>
              <w:spacing w:after="0"/>
              <w:rPr>
                <w:sz w:val="20"/>
                <w:szCs w:val="20"/>
                <w:color w:val="auto"/>
              </w:rPr>
            </w:pPr>
            <w:r>
              <w:rPr>
                <w:rFonts w:ascii="Arial" w:cs="Arial" w:eastAsia="Arial" w:hAnsi="Arial"/>
                <w:sz w:val="16"/>
                <w:szCs w:val="16"/>
                <w:color w:val="auto"/>
              </w:rPr>
              <w:t>4.85% - 7.26%</w:t>
            </w:r>
          </w:p>
        </w:tc>
        <w:tc>
          <w:tcPr>
            <w:tcW w:w="460" w:type="dxa"/>
            <w:vAlign w:val="bottom"/>
          </w:tcPr>
          <w:p>
            <w:pPr>
              <w:jc w:val="right"/>
              <w:ind w:right="246"/>
              <w:spacing w:after="0"/>
              <w:rPr>
                <w:sz w:val="20"/>
                <w:szCs w:val="20"/>
                <w:color w:val="auto"/>
              </w:rPr>
            </w:pPr>
            <w:r>
              <w:rPr>
                <w:rFonts w:ascii="Arial" w:cs="Arial" w:eastAsia="Arial" w:hAnsi="Arial"/>
                <w:sz w:val="11"/>
                <w:szCs w:val="11"/>
                <w:color w:val="auto"/>
              </w:rPr>
              <w:t>(3)</w:t>
            </w:r>
          </w:p>
        </w:tc>
        <w:tc>
          <w:tcPr>
            <w:tcW w:w="1700" w:type="dxa"/>
            <w:vAlign w:val="bottom"/>
            <w:vMerge w:val="restart"/>
          </w:tcPr>
          <w:p>
            <w:pPr>
              <w:jc w:val="center"/>
              <w:spacing w:after="0"/>
              <w:rPr>
                <w:sz w:val="20"/>
                <w:szCs w:val="20"/>
                <w:color w:val="auto"/>
              </w:rPr>
            </w:pPr>
            <w:r>
              <w:rPr>
                <w:rFonts w:ascii="Arial" w:cs="Arial" w:eastAsia="Arial" w:hAnsi="Arial"/>
                <w:sz w:val="16"/>
                <w:szCs w:val="16"/>
                <w:color w:val="auto"/>
                <w:w w:val="91"/>
              </w:rPr>
              <w:t>Various through 2026</w:t>
            </w:r>
          </w:p>
        </w:tc>
        <w:tc>
          <w:tcPr>
            <w:tcW w:w="0" w:type="dxa"/>
            <w:vAlign w:val="bottom"/>
          </w:tcPr>
          <w:p>
            <w:pPr>
              <w:spacing w:after="0"/>
              <w:rPr>
                <w:sz w:val="1"/>
                <w:szCs w:val="1"/>
                <w:color w:val="auto"/>
              </w:rPr>
            </w:pPr>
          </w:p>
        </w:tc>
      </w:tr>
      <w:tr>
        <w:trPr>
          <w:trHeight w:val="70"/>
        </w:trPr>
        <w:tc>
          <w:tcPr>
            <w:tcW w:w="41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10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2012 Secured Tranche A-2 Facility</w:t>
            </w:r>
          </w:p>
        </w:tc>
        <w:tc>
          <w:tcPr>
            <w:tcW w:w="26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339,717</w:t>
            </w:r>
          </w:p>
        </w:tc>
        <w:tc>
          <w:tcPr>
            <w:tcW w:w="12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ind w:right="82"/>
              <w:spacing w:after="0"/>
              <w:rPr>
                <w:sz w:val="20"/>
                <w:szCs w:val="20"/>
                <w:color w:val="auto"/>
              </w:rPr>
            </w:pPr>
            <w:r>
              <w:rPr>
                <w:rFonts w:ascii="Arial" w:cs="Arial" w:eastAsia="Arial" w:hAnsi="Arial"/>
                <w:sz w:val="16"/>
                <w:szCs w:val="16"/>
                <w:color w:val="auto"/>
              </w:rPr>
              <w:t>LIBOR + 5.75%</w:t>
            </w:r>
          </w:p>
        </w:tc>
        <w:tc>
          <w:tcPr>
            <w:tcW w:w="460" w:type="dxa"/>
            <w:vAlign w:val="bottom"/>
            <w:shd w:val="clear" w:color="auto" w:fill="CCEEFF"/>
          </w:tcPr>
          <w:p>
            <w:pPr>
              <w:jc w:val="right"/>
              <w:ind w:right="246"/>
              <w:spacing w:after="0"/>
              <w:rPr>
                <w:sz w:val="20"/>
                <w:szCs w:val="20"/>
                <w:color w:val="auto"/>
              </w:rPr>
            </w:pPr>
            <w:r>
              <w:rPr>
                <w:rFonts w:ascii="Arial" w:cs="Arial" w:eastAsia="Arial" w:hAnsi="Arial"/>
                <w:sz w:val="11"/>
                <w:szCs w:val="11"/>
                <w:color w:val="auto"/>
              </w:rPr>
              <w:t>(4)</w:t>
            </w: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03"/>
        </w:trPr>
        <w:tc>
          <w:tcPr>
            <w:tcW w:w="4100" w:type="dxa"/>
            <w:vAlign w:val="bottom"/>
            <w:tcBorders>
              <w:bottom w:val="single" w:sz="8" w:color="CCEEFF"/>
            </w:tcBorders>
            <w:vMerge w:val="continue"/>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1540" w:type="dxa"/>
            <w:vAlign w:val="bottom"/>
            <w:tcBorders>
              <w:bottom w:val="single" w:sz="8" w:color="CCEEFF"/>
            </w:tcBorders>
            <w:gridSpan w:val="2"/>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42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20" w:type="dxa"/>
            <w:vAlign w:val="bottom"/>
            <w:tcBorders>
              <w:bottom w:val="single" w:sz="8" w:color="CCEEFF"/>
            </w:tcBorders>
            <w:vMerge w:val="continue"/>
            <w:shd w:val="clear" w:color="auto" w:fill="CCEEFF"/>
          </w:tcPr>
          <w:p>
            <w:pPr>
              <w:spacing w:after="0"/>
              <w:rPr>
                <w:sz w:val="8"/>
                <w:szCs w:val="8"/>
                <w:color w:val="auto"/>
              </w:rPr>
            </w:pPr>
          </w:p>
        </w:tc>
        <w:tc>
          <w:tcPr>
            <w:tcW w:w="460" w:type="dxa"/>
            <w:vAlign w:val="bottom"/>
            <w:tcBorders>
              <w:bottom w:val="single" w:sz="8" w:color="CCEEFF"/>
            </w:tcBorders>
            <w:shd w:val="clear" w:color="auto" w:fill="CCEEFF"/>
          </w:tcPr>
          <w:p>
            <w:pPr>
              <w:spacing w:after="0"/>
              <w:rPr>
                <w:sz w:val="8"/>
                <w:szCs w:val="8"/>
                <w:color w:val="auto"/>
              </w:rPr>
            </w:pPr>
          </w:p>
        </w:tc>
        <w:tc>
          <w:tcPr>
            <w:tcW w:w="17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Total secured credit facilities and term loans</w:t>
            </w: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735,016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829,264</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Unsecured notes: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5.875% senior notes</w:t>
            </w:r>
          </w:p>
        </w:tc>
        <w:tc>
          <w:tcPr>
            <w:tcW w:w="26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261,403</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5.875%</w:t>
            </w:r>
          </w:p>
        </w:tc>
        <w:tc>
          <w:tcPr>
            <w:tcW w:w="4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3.875%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3.875%</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4100" w:type="dxa"/>
            <w:vAlign w:val="bottom"/>
          </w:tcPr>
          <w:p>
            <w:pPr>
              <w:ind w:left="160"/>
              <w:spacing w:after="0"/>
              <w:rPr>
                <w:sz w:val="20"/>
                <w:szCs w:val="20"/>
                <w:color w:val="auto"/>
              </w:rPr>
            </w:pPr>
            <w:r>
              <w:rPr>
                <w:rFonts w:ascii="Arial" w:cs="Arial" w:eastAsia="Arial" w:hAnsi="Arial"/>
                <w:sz w:val="16"/>
                <w:szCs w:val="16"/>
                <w:color w:val="auto"/>
              </w:rPr>
              <w:t>3.00% senior convertible notes</w:t>
            </w:r>
            <w:r>
              <w:rPr>
                <w:rFonts w:ascii="Arial" w:cs="Arial" w:eastAsia="Arial" w:hAnsi="Arial"/>
                <w:sz w:val="21"/>
                <w:szCs w:val="21"/>
                <w:color w:val="auto"/>
                <w:vertAlign w:val="superscript"/>
              </w:rPr>
              <w:t>(5)</w:t>
            </w:r>
          </w:p>
        </w:tc>
        <w:tc>
          <w:tcPr>
            <w:tcW w:w="260" w:type="dxa"/>
            <w:vAlign w:val="bottom"/>
          </w:tcPr>
          <w:p>
            <w:pPr>
              <w:spacing w:after="0"/>
              <w:rPr>
                <w:sz w:val="23"/>
                <w:szCs w:val="23"/>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46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November 2016</w:t>
            </w: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1.50% senior convertible notes</w:t>
            </w:r>
            <w:r>
              <w:rPr>
                <w:rFonts w:ascii="Arial" w:cs="Arial" w:eastAsia="Arial" w:hAnsi="Arial"/>
                <w:sz w:val="21"/>
                <w:szCs w:val="21"/>
                <w:color w:val="auto"/>
                <w:vertAlign w:val="superscript"/>
              </w:rPr>
              <w:t>(6)</w:t>
            </w: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200,000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200,000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46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November 2016</w:t>
            </w: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5.85% senior notes</w:t>
            </w:r>
          </w:p>
        </w:tc>
        <w:tc>
          <w:tcPr>
            <w:tcW w:w="2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99,722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99,722</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5.85%</w:t>
            </w:r>
          </w:p>
        </w:tc>
        <w:tc>
          <w:tcPr>
            <w:tcW w:w="4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March 2017</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9.00%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June 2017</w:t>
            </w: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4.00% senior notes</w:t>
            </w:r>
          </w:p>
        </w:tc>
        <w:tc>
          <w:tcPr>
            <w:tcW w:w="2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550,000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4.00%</w:t>
            </w:r>
          </w:p>
        </w:tc>
        <w:tc>
          <w:tcPr>
            <w:tcW w:w="4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1"/>
              </w:rPr>
              <w:t>November 2017</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7.125%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7.125%</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February 2018</w:t>
            </w: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4.875% senior notes</w:t>
            </w:r>
          </w:p>
        </w:tc>
        <w:tc>
          <w:tcPr>
            <w:tcW w:w="2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4.875%</w:t>
            </w:r>
          </w:p>
        </w:tc>
        <w:tc>
          <w:tcPr>
            <w:tcW w:w="4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July 2018</w:t>
            </w: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5.00%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4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July 2019</w:t>
            </w:r>
          </w:p>
        </w:tc>
        <w:tc>
          <w:tcPr>
            <w:tcW w:w="0" w:type="dxa"/>
            <w:vAlign w:val="bottom"/>
          </w:tcPr>
          <w:p>
            <w:pPr>
              <w:spacing w:after="0"/>
              <w:rPr>
                <w:sz w:val="1"/>
                <w:szCs w:val="1"/>
                <w:color w:val="auto"/>
              </w:rPr>
            </w:pPr>
          </w:p>
        </w:tc>
      </w:tr>
      <w:tr>
        <w:trPr>
          <w:trHeight w:val="237"/>
        </w:trPr>
        <w:tc>
          <w:tcPr>
            <w:tcW w:w="4100" w:type="dxa"/>
            <w:vAlign w:val="bottom"/>
          </w:tcPr>
          <w:p>
            <w:pPr>
              <w:ind w:left="160"/>
              <w:spacing w:after="0"/>
              <w:rPr>
                <w:sz w:val="20"/>
                <w:szCs w:val="20"/>
                <w:color w:val="auto"/>
              </w:rPr>
            </w:pPr>
            <w:r>
              <w:rPr>
                <w:rFonts w:ascii="Arial" w:cs="Arial" w:eastAsia="Arial" w:hAnsi="Arial"/>
                <w:sz w:val="16"/>
                <w:szCs w:val="16"/>
                <w:color w:val="auto"/>
              </w:rPr>
              <w:t>6.50% senior notes</w:t>
            </w:r>
          </w:p>
        </w:tc>
        <w:tc>
          <w:tcPr>
            <w:tcW w:w="2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6.50%</w:t>
            </w:r>
          </w:p>
        </w:tc>
        <w:tc>
          <w:tcPr>
            <w:tcW w:w="4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93"/>
              </w:rPr>
              <w:t>July 2021</w:t>
            </w:r>
          </w:p>
        </w:tc>
        <w:tc>
          <w:tcPr>
            <w:tcW w:w="0" w:type="dxa"/>
            <w:vAlign w:val="bottom"/>
          </w:tcPr>
          <w:p>
            <w:pPr>
              <w:spacing w:after="0"/>
              <w:rPr>
                <w:sz w:val="1"/>
                <w:szCs w:val="1"/>
                <w:color w:val="auto"/>
              </w:rPr>
            </w:pPr>
          </w:p>
        </w:tc>
      </w:tr>
      <w:tr>
        <w:trPr>
          <w:trHeight w:val="33"/>
        </w:trPr>
        <w:tc>
          <w:tcPr>
            <w:tcW w:w="4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unsecured notes</w:t>
            </w: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2,969,722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3,221,125</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b w:val="1"/>
                <w:bCs w:val="1"/>
                <w:color w:val="auto"/>
              </w:rPr>
              <w:t>Other debt obligations:</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debt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LIBOR + 1.50%</w:t>
            </w:r>
          </w:p>
        </w:tc>
        <w:tc>
          <w:tcPr>
            <w:tcW w:w="4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October 2035</w:t>
            </w:r>
          </w:p>
        </w:tc>
        <w:tc>
          <w:tcPr>
            <w:tcW w:w="0" w:type="dxa"/>
            <w:vAlign w:val="bottom"/>
          </w:tcPr>
          <w:p>
            <w:pPr>
              <w:spacing w:after="0"/>
              <w:rPr>
                <w:sz w:val="1"/>
                <w:szCs w:val="1"/>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b w:val="1"/>
                <w:bCs w:val="1"/>
                <w:color w:val="auto"/>
              </w:rPr>
              <w:t>Total debt obligations</w:t>
            </w: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3,804,738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4,150,389</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Debt discounts and deferred financing costs, net</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(31,566)</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100" w:type="dxa"/>
            <w:vAlign w:val="bottom"/>
          </w:tcPr>
          <w:p>
            <w:pPr>
              <w:ind w:left="20"/>
              <w:spacing w:after="0"/>
              <w:rPr>
                <w:sz w:val="20"/>
                <w:szCs w:val="20"/>
                <w:color w:val="auto"/>
              </w:rPr>
            </w:pPr>
            <w:r>
              <w:rPr>
                <w:rFonts w:ascii="Arial" w:cs="Arial" w:eastAsia="Arial" w:hAnsi="Arial"/>
                <w:sz w:val="16"/>
                <w:szCs w:val="16"/>
                <w:b w:val="1"/>
                <w:bCs w:val="1"/>
                <w:color w:val="auto"/>
              </w:rPr>
              <w:t>Total debt obligations, net</w:t>
            </w:r>
            <w:r>
              <w:rPr>
                <w:rFonts w:ascii="Arial" w:cs="Arial" w:eastAsia="Arial" w:hAnsi="Arial"/>
                <w:sz w:val="21"/>
                <w:szCs w:val="21"/>
                <w:b w:val="1"/>
                <w:bCs w:val="1"/>
                <w:color w:val="auto"/>
                <w:vertAlign w:val="superscript"/>
              </w:rPr>
              <w:t>(7)</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3,770,643</w:t>
            </w:r>
          </w:p>
        </w:tc>
        <w:tc>
          <w:tcPr>
            <w:tcW w:w="12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4,118,823</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-20955</wp:posOffset>
            </wp:positionV>
            <wp:extent cx="213550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5505" cy="260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 w:lineRule="exact"/>
        <w:rPr>
          <w:sz w:val="20"/>
          <w:szCs w:val="20"/>
          <w:color w:val="auto"/>
        </w:rPr>
      </w:pPr>
    </w:p>
    <w:p>
      <w:pPr>
        <w:jc w:val="both"/>
        <w:ind w:left="500" w:hanging="492"/>
        <w:spacing w:after="0" w:line="241"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loan bears interest at the Company's election of either (i) a base rate, which is the greater of (a) prime, (b) federal funds plus 0.5% or (c) LIBOR plus 1.0% and subject to a margin ranging from 1.25% to 1.75%, or (ii) LIBOR subject to a margin ranging from 2.25% to 2.75%. At maturity, the Company may convert outstanding borrowings to a one year term loan which matures in quarterly installments through March 2019.</w:t>
      </w:r>
    </w:p>
    <w:p>
      <w:pPr>
        <w:spacing w:after="0" w:line="1" w:lineRule="exact"/>
        <w:rPr>
          <w:rFonts w:ascii="Arial" w:cs="Arial" w:eastAsia="Arial" w:hAnsi="Arial"/>
          <w:sz w:val="14"/>
          <w:szCs w:val="14"/>
          <w:color w:val="auto"/>
        </w:rPr>
      </w:pPr>
    </w:p>
    <w:p>
      <w:pPr>
        <w:ind w:left="500" w:hanging="492"/>
        <w:spacing w:after="0" w:line="241"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loan bears interest at the Company's election of either (i) a base rate, which is the greater of (a) prime, (b) federal funds plus 0.5% or (c) LIBOR plus 1.0% and subject to a margin of 3.5% or (ii) LIBOR subject to a margin of 4.5% with a minimum LIBOR rate of 1.0%.</w:t>
      </w:r>
    </w:p>
    <w:p>
      <w:pPr>
        <w:ind w:left="500" w:hanging="492"/>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As of June 30, 2016 and December 31, 2015, includes a loan with a floating rate of LIBOR plus 2.0%. As of June 30, 2016, the weighted average interest rate of these loans is 5.2%.</w:t>
      </w:r>
    </w:p>
    <w:p>
      <w:pPr>
        <w:spacing w:after="0" w:line="12" w:lineRule="exact"/>
        <w:rPr>
          <w:rFonts w:ascii="Arial" w:cs="Arial" w:eastAsia="Arial" w:hAnsi="Arial"/>
          <w:sz w:val="13"/>
          <w:szCs w:val="13"/>
          <w:color w:val="auto"/>
        </w:rPr>
      </w:pPr>
    </w:p>
    <w:p>
      <w:pPr>
        <w:ind w:left="500" w:hanging="492"/>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loan had a LIBOR floor of 1.25%.</w:t>
      </w:r>
    </w:p>
    <w:p>
      <w:pPr>
        <w:spacing w:after="0" w:line="1" w:lineRule="exact"/>
        <w:rPr>
          <w:rFonts w:ascii="Arial" w:cs="Arial" w:eastAsia="Arial" w:hAnsi="Arial"/>
          <w:sz w:val="14"/>
          <w:szCs w:val="14"/>
          <w:color w:val="auto"/>
        </w:rPr>
      </w:pPr>
    </w:p>
    <w:p>
      <w:pPr>
        <w:ind w:left="500" w:hanging="492"/>
        <w:spacing w:after="0" w:line="241"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Company's 3.00% senior convertible fixed rate notes due November 2016 ("3.00% Convertible Notes") are convertible at the option of the holders, into 85.0 shares per $1,000 principal amount of 3.00% Convertible Notes, at $11.77 per share at any time prior to the close of business on November 14, 2016.</w:t>
      </w:r>
    </w:p>
    <w:p>
      <w:pPr>
        <w:ind w:left="500" w:hanging="492"/>
        <w:spacing w:after="0" w:line="241"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Company's 1.50% senior convertible fixed rate notes due November 2016 ("1.50% Convertible Notes") are convertible at the option of the holders, into 57.8 shares per $1,000 principal amount of 1.50% Convertible Notes, at $17.29 per share at any time prior to the close of business on November 14, 2016.</w:t>
      </w:r>
    </w:p>
    <w:p>
      <w:pPr>
        <w:ind w:left="500" w:hanging="492"/>
        <w:spacing w:after="0" w:line="255"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 capitalized interest relating to development activities of $1.4 million and $2.8 million for the three and six months ended June 30, 2016, respectively, and $1.2 million and $2.6 million for the three and six months ended June 30, 2015,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Future Scheduled Maturities</w:t>
      </w:r>
      <w:r>
        <w:rPr>
          <w:rFonts w:ascii="Arial" w:cs="Arial" w:eastAsia="Arial" w:hAnsi="Arial"/>
          <w:sz w:val="17"/>
          <w:szCs w:val="17"/>
          <w:color w:val="auto"/>
        </w:rPr>
        <w:t>—As of June 30, 2016, future scheduled maturities of outstanding debt obligations are as follows ($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Unsecured Debt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Secured Debt</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 (remaining six months)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400,000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924,722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924,722</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662,262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30,005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800,005</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450,000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375,000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192,749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567,749</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principal maturities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3,069,722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735,016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3,804,738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Unamortized discounts and deferred financing costs, net</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(24,792)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(34,095)</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obligations,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3,044,930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725,713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3,770,643</w:t>
            </w: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color w:val="auto"/>
        </w:rPr>
        <w:t>2016 Senior Secured Credit Facility</w:t>
      </w:r>
      <w:r>
        <w:rPr>
          <w:rFonts w:ascii="Arial" w:cs="Arial" w:eastAsia="Arial" w:hAnsi="Arial"/>
          <w:sz w:val="18"/>
          <w:szCs w:val="18"/>
          <w:color w:val="auto"/>
        </w:rPr>
        <w:t>—In June 2016, the Company entered into a senior secured credit facility of $450.0 million (the "2016 Senior</w:t>
      </w:r>
      <w:r>
        <w:rPr>
          <w:rFonts w:ascii="Arial" w:cs="Arial" w:eastAsia="Arial" w:hAnsi="Arial"/>
          <w:sz w:val="18"/>
          <w:szCs w:val="18"/>
          <w:b w:val="1"/>
          <w:bCs w:val="1"/>
          <w:color w:val="auto"/>
        </w:rPr>
        <w:t xml:space="preserve"> </w:t>
      </w:r>
      <w:r>
        <w:rPr>
          <w:rFonts w:ascii="Arial" w:cs="Arial" w:eastAsia="Arial" w:hAnsi="Arial"/>
          <w:sz w:val="18"/>
          <w:szCs w:val="18"/>
          <w:color w:val="auto"/>
        </w:rPr>
        <w:t>Secured Credit Facility"). The 2016 Senior Secured Credit Facility was issued at 99% of par and bears interest at a floating rate of LIBOR plus 4.50% with a 1.00% LIBOR floor. The 2016 Senior Secured Credit Facility is collateralized 1.25x by a first lien on a fixed pool of assets. Proceeds from principal repayments and sales of collateral are applied to amortize the 2016 Senior Secured Credit Facility. Proceeds received for interest, rent, lease payments and fee income are retained by the Company. The Company may also make optional prepayments, subject to prepayment fees, and is required to repay 0.25% of the principal amount outstanding on the first business day of each quarter beginning on October 3, 2016. Proceeds from the 2016 Senior Secured Credit Facility were primarily used to repay in full the $323.2 million 2012 Secured Tranche A-2 Facility (as defined below) and pay down the 2015 Secured Revolving Credit Facility (as defined below).</w:t>
      </w:r>
    </w:p>
    <w:p>
      <w:pPr>
        <w:spacing w:after="0" w:line="14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connection with the 2016 Senior Secured Credit Facility, the Company incurred $4.5 million of lender fees, substantially all of which was capitalized in "Debt obligations, net" on the Company's consolidated balance sheets. The Company also incurred $5.7 million in third party fees, of which $3.9 million was capitalized in “Debt obligations, net” on the Company's consolidated balance sheets, as it related to new lenders, and $1.8 million was recognized in “Other expense” in the Company's consolidated statements of operations as it related primarily to those lenders from the original facility that modified their debt under the new facility.</w:t>
      </w:r>
    </w:p>
    <w:p>
      <w:pPr>
        <w:spacing w:after="0" w:line="184"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7"/>
          <w:szCs w:val="17"/>
          <w:b w:val="1"/>
          <w:bCs w:val="1"/>
          <w:color w:val="auto"/>
        </w:rPr>
        <w:t>2015 Secured Revolving Credit Facility</w:t>
      </w:r>
      <w:r>
        <w:rPr>
          <w:rFonts w:ascii="Arial" w:cs="Arial" w:eastAsia="Arial" w:hAnsi="Arial"/>
          <w:sz w:val="17"/>
          <w:szCs w:val="17"/>
          <w:color w:val="auto"/>
        </w:rPr>
        <w:t>—In March 2015, the Company entered into a secured revolving credit facility with a maximum capacity of</w:t>
      </w:r>
      <w:r>
        <w:rPr>
          <w:rFonts w:ascii="Arial" w:cs="Arial" w:eastAsia="Arial" w:hAnsi="Arial"/>
          <w:sz w:val="17"/>
          <w:szCs w:val="17"/>
          <w:b w:val="1"/>
          <w:bCs w:val="1"/>
          <w:color w:val="auto"/>
        </w:rPr>
        <w:t xml:space="preserve"> </w:t>
      </w:r>
      <w:r>
        <w:rPr>
          <w:rFonts w:ascii="Arial" w:cs="Arial" w:eastAsia="Arial" w:hAnsi="Arial"/>
          <w:sz w:val="17"/>
          <w:szCs w:val="17"/>
          <w:color w:val="auto"/>
        </w:rPr>
        <w:t>$250.0 million (the "2015 Secured Revolving Credit Facility"). Borrowings under this credit facility bear interest at a floating rate indexed to one of several base rates plus a margin which adjusts upward or downward based upon the Company's corporate credit rating. An undrawn credit facility commitment fee ranges from 0.375% to 0.50%, based on average utilization each quarter. During the three months ended June 30, 2016, the weighted average cost of the credit facility was 3.21%. Commitments under the revolving facility mature in March 2018. At maturity, the Company may convert outstanding borrowings to a one year term loan which matures in quarterly installments through March 2019.</w:t>
      </w:r>
    </w:p>
    <w:p>
      <w:pPr>
        <w:spacing w:after="0" w:line="133"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b w:val="1"/>
          <w:bCs w:val="1"/>
          <w:color w:val="auto"/>
        </w:rPr>
        <w:t>2012 Secured Credit Facilities</w:t>
      </w:r>
      <w:r>
        <w:rPr>
          <w:rFonts w:ascii="Arial" w:cs="Arial" w:eastAsia="Arial" w:hAnsi="Arial"/>
          <w:sz w:val="18"/>
          <w:szCs w:val="18"/>
          <w:color w:val="auto"/>
        </w:rPr>
        <w:t>—In March 2012, the Company entered into an $880.0 million senior secured credit agreement providing for two</w:t>
      </w:r>
      <w:r>
        <w:rPr>
          <w:rFonts w:ascii="Arial" w:cs="Arial" w:eastAsia="Arial" w:hAnsi="Arial"/>
          <w:sz w:val="18"/>
          <w:szCs w:val="18"/>
          <w:b w:val="1"/>
          <w:bCs w:val="1"/>
          <w:color w:val="auto"/>
        </w:rPr>
        <w:t xml:space="preserve"> </w:t>
      </w:r>
      <w:r>
        <w:rPr>
          <w:rFonts w:ascii="Arial" w:cs="Arial" w:eastAsia="Arial" w:hAnsi="Arial"/>
          <w:sz w:val="18"/>
          <w:szCs w:val="18"/>
          <w:color w:val="auto"/>
        </w:rPr>
        <w:t>tranches of term loans: a $410.0 million 2012 A-1 tranche due March 2016, which accrued interest at a rate of LIBOR + 4.00% (the "2012 Secured Tranche A-1 Facility"), and a $470.0 million 2012 A-2 tranche due March 2017, which accrued interest at a rate of LIBOR + 5.75% (the "2012 Secured Tranche A-2 Facility," together the "2012 Secured Credit Facilities"). The 2012 A-1 and A-2 tranches were issued at 98.0% of par and 98.5% of par, respectively, and both tranches included a LIBOR floor of 1.25%.</w:t>
      </w:r>
    </w:p>
    <w:p>
      <w:pPr>
        <w:spacing w:after="0" w:line="1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2012 Secured Tranche A-1 Facility was fully repaid in August 2013. In June 2016, proceeds from the 2016 Senior Secured Credit Facility were used to repay in full the 2012 Secured Tranche A-2 Facility. During the three and six months ended June 30, 2016, repayments of the 2012 Secured Tranche A-2 Facility prior to maturity resulted in losses on early extinguishment of debt of $1.1 million and $1.2 million, respectively, related to the accelerated amortization of discounts and unamortized deferred financing fees on the portion of the facility that was repaid. During the three and six months ended June 30, 2015, repayments of the 2012 Secured Tranche A-2 Facility prior to maturity resulted in losses on early extinguishment of debt of $0.1 million and $0.2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million, respectively. These amounts are included in "Loss on early extinguishment of debt, net" in the Company's consolidated statements of operations.</w:t>
      </w:r>
    </w:p>
    <w:p>
      <w:pPr>
        <w:spacing w:after="0" w:line="2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Unsecured Notes</w:t>
      </w:r>
      <w:r>
        <w:rPr>
          <w:rFonts w:ascii="Arial" w:cs="Arial" w:eastAsia="Arial" w:hAnsi="Arial"/>
          <w:sz w:val="18"/>
          <w:szCs w:val="18"/>
          <w:color w:val="auto"/>
        </w:rPr>
        <w:t>—In March 2016, the Company repaid its $261.4 million principal amount of 5.875% senior unsecured notes at maturity using</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cash. In addition, the Company issued $275.0 million principal amount of 6.50% senior unsecured notes due July 2021. Proceeds from the offering were primarily used to repay in full the $265.0 million principal amount of senior unsecured notes due July 2016 and repay $5.0 million of the 2015 Secured Revolving Credit Facility. During the three and six months ended June 30, 2016, repayments of unsecured notes prior to maturity resulted in losses on early extinguishment of debt of $0.4 million. This amount is included in "Loss on early extinguishment of debt, net" in the Company's consolidated statements of operations.</w:t>
      </w:r>
    </w:p>
    <w:p>
      <w:pPr>
        <w:spacing w:after="0" w:line="188"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Encumbered/Unencumbered Assets</w:t>
      </w:r>
      <w:r>
        <w:rPr>
          <w:rFonts w:ascii="Arial" w:cs="Arial" w:eastAsia="Arial" w:hAnsi="Arial"/>
          <w:sz w:val="18"/>
          <w:szCs w:val="18"/>
          <w:color w:val="auto"/>
        </w:rPr>
        <w:t>—As of June 30, 2016 and December 31, 2015, the carrying value of the Company's encumbered and</w:t>
      </w:r>
      <w:r>
        <w:rPr>
          <w:rFonts w:ascii="Arial" w:cs="Arial" w:eastAsia="Arial" w:hAnsi="Arial"/>
          <w:sz w:val="18"/>
          <w:szCs w:val="18"/>
          <w:b w:val="1"/>
          <w:bCs w:val="1"/>
          <w:color w:val="auto"/>
        </w:rPr>
        <w:t xml:space="preserve"> </w:t>
      </w:r>
      <w:r>
        <w:rPr>
          <w:rFonts w:ascii="Arial" w:cs="Arial" w:eastAsia="Arial" w:hAnsi="Arial"/>
          <w:sz w:val="18"/>
          <w:szCs w:val="18"/>
          <w:color w:val="auto"/>
        </w:rPr>
        <w:t>unencumbered assets by asset type are as follows ($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w w:val="85"/>
              </w:rPr>
              <w:t>As of</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June 30, 2016</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903,185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532,735</w:t>
            </w:r>
          </w:p>
        </w:tc>
        <w:tc>
          <w:tcPr>
            <w:tcW w:w="56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816,721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777,262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126,070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10,593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126,681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1,023,649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984,249</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Loans receivable and other lending investments, net</w:t>
            </w:r>
            <w:r>
              <w:rPr>
                <w:rFonts w:ascii="Arial" w:cs="Arial" w:eastAsia="Arial" w:hAnsi="Arial"/>
                <w:sz w:val="25"/>
                <w:szCs w:val="25"/>
                <w:color w:val="auto"/>
                <w:vertAlign w:val="superscript"/>
              </w:rPr>
              <w:t>(1)(2)</w:t>
            </w: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169,117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1,249,698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170,162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1,314,823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231,820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and other assets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804,199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1,008,415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1,094,666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3,965,107</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1,037,542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4,443,250</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-98425</wp:posOffset>
            </wp:positionV>
            <wp:extent cx="3687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ind w:left="500" w:hanging="492"/>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June 30, 2016 and December 31, 2015, the amounts presented exclude general reserves for loan losses of $37.0 million and $36.0 million, respectively.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June 30, 2016 and December 31, 2015, the amounts presented exclude loan participations of $186.6 million and $153.0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2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Company's outstanding unsecured debt securities contain corporate level covenants that include a covenant to maintain a ratio of unencumbered assets to unsecured indebtedness of at least 1.2x and a covenant not to incur additional indebtedness (except for incurrences of permitted debt), if on a pro forma basis, the Company's consolidated fixed charge coverage ratio, determined in accordance with the indentures governing the Company's debt securities, is 1.5x or lower. If any of the Company's covenants are breached and not cured within applicable cure periods, the breach could result in acceleration of its debt securities unless a waiver or modification is agreed upon with the requisite percentage of the bondholders. While the Company's ability to incur additional indebtedness under the fixed charge coverage ratio is currently limited, the Company is permitted to incur indebtedness for the purpose of refinancing existing indebtedness and for other permitted purposes under the indentures.</w:t>
      </w:r>
    </w:p>
    <w:p>
      <w:pPr>
        <w:spacing w:after="0" w:line="178"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Company's 2016 Senior Secured Credit Facility and the 2015 Secured Revolving Credit Facility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2016 Senior Secured Credit Facility requires the Company to maintain collateral coverage of at least 1.25x outstanding borrowings on the facility. The 2015 Secured Revolving Credit Facility is secured by a borrowing base of assets and requires the Company to maintain both collateral coverage of at least 1.5x outstanding borrowings on the facility and a consolidated ratio of cash flow to fixed charges of at least 1.5x. The 2015 Secured Revolving Credit Facility does not require that proceeds from the borrowing base be used to pay down outstanding borrowings provided the collateral coverage remains at least 1.5x outstanding borrowings on the facility. To satisfy this covenant, the Company has the option to pay down outstanding borrowings or substitute assets in the borrowing base. In addition, for so long as the Company maintains its qualification as a REIT, the 2016 Senior Secured Credit Facility and the 2015 Secured Revolving Credit Facility permit the Company to distribute 100% of its REIT taxable income on an annual basis (prior to deducting certain cumulative NOL carryforwards). The Company may not pay common dividends if it ceases to qualify as a REIT.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2016 Senior Secured Credit Facility and the 2015 Secured Revolving Credit Facility contain cross default provisions that would allow the lenders to declare an event of default and accelerate the Company's indebtedness to them if the Company fails to pay amounts due in respect of its other recourse indebtedness in excess of specified thresholds or if the lenders under such other indebtedness are otherwise permitted to accelerate such indebtedness for any reason. The indentures governing the Company's unsecured public debt securities permit the bondholders to declare an event of default and accelerate the Company's indebtedness to them if the Company's other recourse indebtedness in excess of specified thresholds is not paid at final maturity or if such indebtedness is accelerated.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22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—The Company generally funds construction and development loans and build-outs of space in real estate assets over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time if and when the borrowers and tenants meet established milestones and other performance criteria. The Company refers to these arrangements as Performance-Based Commitments. In addition, the Company sometimes establishes a maximum amount of additional funding which it will make available to a borrower or tenant for an expansion or addition to a project if it approves of the expansion or addition in its sole discretion. The Company refers to these arrangements as Discretionary Fundings. Finally, the Company has committed to invest capital in several real estate funds and other ventures. These arrangements are referred to as Strategic Investments.</w:t>
      </w:r>
    </w:p>
    <w:p>
      <w:pPr>
        <w:spacing w:after="0" w:line="19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2016, the maximum amount of fundings the Company may be required to make under each category, assuming all performance hurdles and milestones are met under the Performance-Based Commitments, that it approves all Discretionary Fundings and that 100% of its capital committed to Strategic Investments is drawn down, are as follows ($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Loans and Other Lending</w:t>
            </w:r>
          </w:p>
        </w:tc>
        <w:tc>
          <w:tcPr>
            <w:tcW w:w="340" w:type="dxa"/>
            <w:vAlign w:val="bottom"/>
          </w:tcPr>
          <w:p>
            <w:pPr>
              <w:spacing w:after="0"/>
              <w:rPr>
                <w:sz w:val="14"/>
                <w:szCs w:val="14"/>
                <w:color w:val="auto"/>
              </w:rPr>
            </w:pPr>
          </w:p>
        </w:tc>
        <w:tc>
          <w:tcPr>
            <w:tcW w:w="15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Real Estate</w:t>
            </w:r>
          </w:p>
        </w:tc>
        <w:tc>
          <w:tcPr>
            <w:tcW w:w="320" w:type="dxa"/>
            <w:vAlign w:val="bottom"/>
          </w:tcPr>
          <w:p>
            <w:pPr>
              <w:spacing w:after="0"/>
              <w:rPr>
                <w:sz w:val="14"/>
                <w:szCs w:val="14"/>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4"/>
                <w:szCs w:val="14"/>
                <w:color w:val="auto"/>
              </w:rPr>
            </w:pPr>
          </w:p>
        </w:tc>
        <w:tc>
          <w:tcPr>
            <w:tcW w:w="1380" w:type="dxa"/>
            <w:vAlign w:val="bottom"/>
            <w:vMerge w:val="restart"/>
          </w:tcPr>
          <w:p>
            <w:pPr>
              <w:jc w:val="right"/>
              <w:ind w:right="6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Investments</w:t>
            </w:r>
            <w:r>
              <w:rPr>
                <w:rFonts w:ascii="Arial" w:cs="Arial" w:eastAsia="Arial" w:hAnsi="Arial"/>
                <w:sz w:val="8"/>
                <w:szCs w:val="8"/>
                <w:b w:val="1"/>
                <w:bCs w:val="1"/>
                <w:color w:val="auto"/>
                <w:w w:val="91"/>
              </w:rPr>
              <w:t>(1)</w:t>
            </w:r>
          </w:p>
        </w:tc>
        <w:tc>
          <w:tcPr>
            <w:tcW w:w="34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Investments</w:t>
            </w:r>
          </w:p>
        </w:tc>
        <w:tc>
          <w:tcPr>
            <w:tcW w:w="4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452,314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20,363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487,135</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Strategic Investments</w:t>
            </w:r>
          </w:p>
        </w:tc>
        <w:tc>
          <w:tcPr>
            <w:tcW w:w="14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45,902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45,902</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Discretionary Fundings</w:t>
            </w:r>
          </w:p>
        </w:tc>
        <w:tc>
          <w:tcPr>
            <w:tcW w:w="1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50"/>
        </w:trPr>
        <w:tc>
          <w:tcPr>
            <w:tcW w:w="360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456,572</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14,458</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66,265</w:t>
            </w:r>
          </w:p>
        </w:tc>
        <w:tc>
          <w:tcPr>
            <w:tcW w:w="120" w:type="dxa"/>
            <w:vAlign w:val="bottom"/>
          </w:tcPr>
          <w:p>
            <w:pPr>
              <w:spacing w:after="0"/>
              <w:rPr>
                <w:sz w:val="21"/>
                <w:szCs w:val="21"/>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537,295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8890</wp:posOffset>
            </wp:positionV>
            <wp:extent cx="48450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-98425</wp:posOffset>
            </wp:positionV>
            <wp:extent cx="48450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ind w:left="500" w:hanging="492"/>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Excludes $230.9 million of commitments on loan participations sold that are not the obligation of the Company (refer to Note 9).</w:t>
      </w:r>
    </w:p>
    <w:p>
      <w:pPr>
        <w:spacing w:after="0" w:line="206"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7"/>
          <w:szCs w:val="17"/>
          <w:b w:val="1"/>
          <w:bCs w:val="1"/>
          <w:color w:val="auto"/>
        </w:rPr>
        <w:t>Legal Proceedings</w:t>
      </w:r>
      <w:r>
        <w:rPr>
          <w:rFonts w:ascii="Arial" w:cs="Arial" w:eastAsia="Arial" w:hAnsi="Arial"/>
          <w:sz w:val="17"/>
          <w:szCs w:val="17"/>
          <w:color w:val="auto"/>
        </w:rPr>
        <w:t>—The Company and/or one or more of its subsidiaries is party to various pending litigation matters that are considered ordinary</w:t>
      </w:r>
      <w:r>
        <w:rPr>
          <w:rFonts w:ascii="Arial" w:cs="Arial" w:eastAsia="Arial" w:hAnsi="Arial"/>
          <w:sz w:val="17"/>
          <w:szCs w:val="17"/>
          <w:b w:val="1"/>
          <w:bCs w:val="1"/>
          <w:color w:val="auto"/>
        </w:rPr>
        <w:t xml:space="preserve"> </w:t>
      </w:r>
      <w:r>
        <w:rPr>
          <w:rFonts w:ascii="Arial" w:cs="Arial" w:eastAsia="Arial" w:hAnsi="Arial"/>
          <w:sz w:val="17"/>
          <w:szCs w:val="17"/>
          <w:color w:val="auto"/>
        </w:rPr>
        <w:t>routine litigation incidental to the Company's business as a finance and investment company focused on the commercial real estate industry, including loan foreclosure and foreclosure-related proceedings. In addition to such matters, the Company is a party to the following legal proceedings: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Action</w:t>
      </w:r>
    </w:p>
    <w:p>
      <w:pPr>
        <w:spacing w:after="0" w:line="18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On March 7, 2014, a shareholder action purporting to assert derivative, class and individual claims was filed in the Circuit Court for Baltimore City, Maryland naming the Company, a number of its current and former senior executives (including its chief executive officer) and current and former directors as defendants. The complaint sought unspecified damages and other relief and alleged breach of fiduciary duty, breach of contract and other causes of action arising out of shares of common stock issued by the Company to its senior executives pursuant to restricted stock unit awards granted in December 2008 and modified in July 2011. The Company filed a Motion to Dismiss the plaintiffs’ claims, which the Circuit Court granted on October 30, 2014 and, as a result, all of plaintiffs' claims in this action were dismissed. Plaintiffs appealed the dismissal of their claims and, on January 28, 2016, the Court of Special Appeals affirmed the order of the Circuit Court. Plaintiffs then filed a petition for certiorari with the Maryland Court of Appeals, requesting that the decision of the Court of Special Appeals be reversed. On May 20, 2016, the Maryland Court of Appeals granted the petition for writ of certiorari and agreed to hear the appeal.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Home Corporation ("Lennar") v. Settlers Crossing, LLC, et al. (Civil Action No. DKC 08-1863)</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January 22, 2015, the United States District Court for the District of Maryland (the "Court") entered a judgment in favor of the Company in the matter of Lennar v. Settlers Crossing, LLC, et al. (Civil Action No. DKC 08-1863). The litigation involved a dispute over the purchase and sale of approximately 1,250 acres of land in Prince George’s County, Maryland. The Court found that the Company was entitled to specific performance and awarded damages to it in the aggregate amount of: (i) the remaining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purchase price to be paid by Lennar of $114.0 million; plus (ii) interest on the unpaid amount at a rate of 12% per annum, calculated on a per diem basis, from May 27, 2008, until Lennar proceeds to settlement on the land; plus (iii) real estate taxes paid by the Company; plus (iv) actual and reasonable attorneys' fees and costs incurred by the Company in connection with the litigation. The Court ordered Lennar to proceed to settlement on the land and to pay the total amounts awarded to the Company within 30 days of the judgment. Lennar appealed the Court's judgment and has posted an appeal bond. The Court has granted Lennar's motion to stay the judgment pending appeal. The Court also clarified the judgment that the unpaid amount will accrue simple interest at a rate of 12% annually, including while the appeal is pending. In the pending appeal before the United States Court of Appeals for the Fourth Circuit, the parties have filed their respective briefs. Oral argument has not yet been scheduled. There can be no assurance as to the timing or actual receipt by the Company of amounts awarded by the Court or the outcome of any appeal. A third party purchased a participation interest in the Company's original loan and presently holds a 7.8% participation interest in all proceeds.</w:t>
      </w:r>
    </w:p>
    <w:p>
      <w:pPr>
        <w:spacing w:after="0" w:line="18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a quarterly basis, the Company evaluates developments in legal proceedings that could require a liability to be accrued and/or disclosed. Based on its current knowledge, and after consultation with legal counsel, the Company believes it is not a party to, nor are any of its properties the subject of, any pending legal proceeding that would have a material adverse effect on the Company's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12—Derivatives</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use of derivative financial instruments is primarily limited to the utilization of interest rate swaps, interest rate caps and foreign exchange contracts. The principal objective of such financial instruments is to minimize the risks and/or costs associated with the Company's operating and financial structure and to manage its exposure to interest rates and foreign exchange rates. Derivatives not designated as hedges are not speculative and are used to manage the Company's exposure to interest rate movements, foreign exchange rate movements, and other identified risks, but may not meet the strict hedge accounting requirements.</w:t>
      </w:r>
    </w:p>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consolidated balance sheets as of June 30, 2016 and December 31, 2015 ($ in thousands):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Derivative Assets as of</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Derivative Liabilities as of</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1940" w:type="dxa"/>
            <w:vAlign w:val="bottom"/>
          </w:tcPr>
          <w:p>
            <w:pPr>
              <w:spacing w:after="0"/>
              <w:rPr>
                <w:sz w:val="22"/>
                <w:szCs w:val="22"/>
                <w:color w:val="auto"/>
              </w:rPr>
            </w:pPr>
          </w:p>
        </w:tc>
        <w:tc>
          <w:tcPr>
            <w:tcW w:w="16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2"/>
              </w:rPr>
              <w:t>June 30, 2016</w:t>
            </w: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40" w:type="dxa"/>
            <w:vAlign w:val="bottom"/>
            <w:tcBorders>
              <w:bottom w:val="single" w:sz="8" w:color="auto"/>
            </w:tcBorders>
            <w:gridSpan w:val="5"/>
          </w:tcPr>
          <w:p>
            <w:pPr>
              <w:jc w:val="right"/>
              <w:ind w:right="454"/>
              <w:spacing w:after="0"/>
              <w:rPr>
                <w:sz w:val="20"/>
                <w:szCs w:val="20"/>
                <w:color w:val="auto"/>
              </w:rPr>
            </w:pPr>
            <w:r>
              <w:rPr>
                <w:rFonts w:ascii="Arial" w:cs="Arial" w:eastAsia="Arial" w:hAnsi="Arial"/>
                <w:sz w:val="14"/>
                <w:szCs w:val="14"/>
                <w:b w:val="1"/>
                <w:bCs w:val="1"/>
                <w:color w:val="auto"/>
              </w:rPr>
              <w:t>December 31, 2015</w:t>
            </w:r>
          </w:p>
        </w:tc>
        <w:tc>
          <w:tcPr>
            <w:tcW w:w="120" w:type="dxa"/>
            <w:vAlign w:val="bottom"/>
          </w:tcPr>
          <w:p>
            <w:pPr>
              <w:spacing w:after="0"/>
              <w:rPr>
                <w:sz w:val="22"/>
                <w:szCs w:val="22"/>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2016</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December 31, 2015</w:t>
            </w:r>
          </w:p>
        </w:tc>
      </w:tr>
      <w:tr>
        <w:trPr>
          <w:trHeight w:val="152"/>
        </w:trPr>
        <w:tc>
          <w:tcPr>
            <w:tcW w:w="1940" w:type="dxa"/>
            <w:vAlign w:val="bottom"/>
          </w:tcPr>
          <w:p>
            <w:pPr>
              <w:spacing w:after="0"/>
              <w:rPr>
                <w:sz w:val="13"/>
                <w:szCs w:val="13"/>
                <w:color w:val="auto"/>
              </w:rPr>
            </w:pPr>
          </w:p>
        </w:tc>
        <w:tc>
          <w:tcPr>
            <w:tcW w:w="13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Balance Sheet</w:t>
            </w:r>
          </w:p>
        </w:tc>
        <w:tc>
          <w:tcPr>
            <w:tcW w:w="220" w:type="dxa"/>
            <w:vAlign w:val="bottom"/>
          </w:tcPr>
          <w:p>
            <w:pPr>
              <w:spacing w:after="0"/>
              <w:rPr>
                <w:sz w:val="13"/>
                <w:szCs w:val="13"/>
                <w:color w:val="auto"/>
              </w:rPr>
            </w:pPr>
          </w:p>
        </w:tc>
        <w:tc>
          <w:tcPr>
            <w:tcW w:w="720" w:type="dxa"/>
            <w:vAlign w:val="bottom"/>
          </w:tcPr>
          <w:p>
            <w:pPr>
              <w:jc w:val="right"/>
              <w:ind w:right="256"/>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120" w:type="dxa"/>
            <w:vAlign w:val="bottom"/>
          </w:tcPr>
          <w:p>
            <w:pPr>
              <w:ind w:left="180"/>
              <w:spacing w:after="0" w:line="153" w:lineRule="exact"/>
              <w:rPr>
                <w:sz w:val="20"/>
                <w:szCs w:val="20"/>
                <w:color w:val="auto"/>
              </w:rPr>
            </w:pPr>
            <w:r>
              <w:rPr>
                <w:rFonts w:ascii="Arial" w:cs="Arial" w:eastAsia="Arial" w:hAnsi="Arial"/>
                <w:sz w:val="14"/>
                <w:szCs w:val="14"/>
                <w:b w:val="1"/>
                <w:bCs w:val="1"/>
                <w:color w:val="auto"/>
                <w:w w:val="96"/>
              </w:rPr>
              <w:t>Balance Sheet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Balance Sheet</w:t>
            </w:r>
          </w:p>
        </w:tc>
        <w:tc>
          <w:tcPr>
            <w:tcW w:w="240" w:type="dxa"/>
            <w:vAlign w:val="bottom"/>
          </w:tcPr>
          <w:p>
            <w:pPr>
              <w:spacing w:after="0"/>
              <w:rPr>
                <w:sz w:val="13"/>
                <w:szCs w:val="13"/>
                <w:color w:val="auto"/>
              </w:rPr>
            </w:pPr>
          </w:p>
        </w:tc>
        <w:tc>
          <w:tcPr>
            <w:tcW w:w="66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Balance Sheet</w:t>
            </w:r>
          </w:p>
        </w:tc>
        <w:tc>
          <w:tcPr>
            <w:tcW w:w="200" w:type="dxa"/>
            <w:vAlign w:val="bottom"/>
          </w:tcPr>
          <w:p>
            <w:pPr>
              <w:spacing w:after="0"/>
              <w:rPr>
                <w:sz w:val="13"/>
                <w:szCs w:val="13"/>
                <w:color w:val="auto"/>
              </w:rPr>
            </w:pPr>
          </w:p>
        </w:tc>
        <w:tc>
          <w:tcPr>
            <w:tcW w:w="72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19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Location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Value</w:t>
            </w:r>
          </w:p>
        </w:tc>
      </w:tr>
      <w:tr>
        <w:trPr>
          <w:trHeight w:val="270"/>
        </w:trPr>
        <w:tc>
          <w:tcPr>
            <w:tcW w:w="33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in Hedging Relationships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29"/>
        </w:trPr>
        <w:tc>
          <w:tcPr>
            <w:tcW w:w="194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contracts</w:t>
            </w: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Other Liabilities</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w:t>
            </w:r>
          </w:p>
        </w:tc>
      </w:tr>
      <w:tr>
        <w:trPr>
          <w:trHeight w:val="297"/>
        </w:trPr>
        <w:tc>
          <w:tcPr>
            <w:tcW w:w="1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gridSpan w:val="2"/>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131</w:t>
            </w:r>
          </w:p>
        </w:tc>
      </w:tr>
      <w:tr>
        <w:trPr>
          <w:trHeight w:val="271"/>
        </w:trPr>
        <w:tc>
          <w:tcPr>
            <w:tcW w:w="19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332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Derivatives not Designated in Hedging Relationships</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35"/>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7"/>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1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Other Liabilities</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43"/>
        </w:trPr>
        <w:tc>
          <w:tcPr>
            <w:tcW w:w="1940" w:type="dxa"/>
            <w:vAlign w:val="bottom"/>
          </w:tcPr>
          <w:p>
            <w:pPr>
              <w:ind w:left="20"/>
              <w:spacing w:after="0"/>
              <w:rPr>
                <w:sz w:val="20"/>
                <w:szCs w:val="20"/>
                <w:color w:val="auto"/>
              </w:rPr>
            </w:pPr>
            <w:r>
              <w:rPr>
                <w:rFonts w:ascii="Arial" w:cs="Arial" w:eastAsia="Arial" w:hAnsi="Arial"/>
                <w:sz w:val="18"/>
                <w:szCs w:val="18"/>
                <w:color w:val="auto"/>
              </w:rPr>
              <w:t>Interest rate cap</w:t>
            </w: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19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1,483</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622"/>
        </w:trPr>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23</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tables below present the effect of the Company's derivative financial instruments in the consolidated statements of operations and the consolidated statements of comprehensive income (loss) for the three and six months ended June 30, 2016 and 2015 ($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vMerge w:val="restart"/>
          </w:tcPr>
          <w:p>
            <w:pPr>
              <w:jc w:val="center"/>
              <w:ind w:right="120"/>
              <w:spacing w:after="0"/>
              <w:rPr>
                <w:sz w:val="20"/>
                <w:szCs w:val="20"/>
                <w:color w:val="auto"/>
              </w:rPr>
            </w:pPr>
            <w:r>
              <w:rPr>
                <w:rFonts w:ascii="Arial" w:cs="Arial" w:eastAsia="Arial" w:hAnsi="Arial"/>
                <w:sz w:val="14"/>
                <w:szCs w:val="14"/>
                <w:b w:val="1"/>
                <w:bCs w:val="1"/>
                <w:color w:val="auto"/>
                <w:w w:val="92"/>
              </w:rPr>
              <w:t>Amount of Gain (Loss)</w:t>
            </w:r>
          </w:p>
        </w:tc>
        <w:tc>
          <w:tcPr>
            <w:tcW w:w="180" w:type="dxa"/>
            <w:vAlign w:val="bottom"/>
          </w:tcPr>
          <w:p>
            <w:pPr>
              <w:spacing w:after="0"/>
              <w:rPr>
                <w:sz w:val="14"/>
                <w:szCs w:val="14"/>
                <w:color w:val="auto"/>
              </w:rPr>
            </w:pPr>
          </w:p>
        </w:tc>
        <w:tc>
          <w:tcPr>
            <w:tcW w:w="1640" w:type="dxa"/>
            <w:vAlign w:val="bottom"/>
            <w:gridSpan w:val="4"/>
          </w:tcPr>
          <w:p>
            <w:pPr>
              <w:jc w:val="center"/>
              <w:ind w:right="90"/>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Amount of Gain (Loss)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center"/>
              <w:ind w:right="19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center"/>
              <w:ind w:right="19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48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Location of Gain (Loss)</w:t>
            </w:r>
          </w:p>
        </w:tc>
        <w:tc>
          <w:tcPr>
            <w:tcW w:w="1900" w:type="dxa"/>
            <w:vAlign w:val="bottom"/>
            <w:gridSpan w:val="7"/>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Recognized in Accumulated</w:t>
            </w:r>
          </w:p>
        </w:tc>
        <w:tc>
          <w:tcPr>
            <w:tcW w:w="192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8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Comprehensive Income into</w:t>
            </w:r>
          </w:p>
        </w:tc>
        <w:tc>
          <w:tcPr>
            <w:tcW w:w="0" w:type="dxa"/>
            <w:vAlign w:val="bottom"/>
          </w:tcPr>
          <w:p>
            <w:pPr>
              <w:spacing w:after="0"/>
              <w:rPr>
                <w:sz w:val="1"/>
                <w:szCs w:val="1"/>
                <w:color w:val="auto"/>
              </w:rPr>
            </w:pPr>
          </w:p>
        </w:tc>
      </w:tr>
      <w:tr>
        <w:trPr>
          <w:trHeight w:val="149"/>
        </w:trPr>
        <w:tc>
          <w:tcPr>
            <w:tcW w:w="33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Derivatives Designated in Hedging Relationships</w:t>
            </w:r>
          </w:p>
        </w:tc>
        <w:tc>
          <w:tcPr>
            <w:tcW w:w="2480" w:type="dxa"/>
            <w:vAlign w:val="bottom"/>
            <w:gridSpan w:val="5"/>
            <w:vMerge w:val="continue"/>
          </w:tcPr>
          <w:p>
            <w:pPr>
              <w:spacing w:after="0"/>
              <w:rPr>
                <w:sz w:val="12"/>
                <w:szCs w:val="12"/>
                <w:color w:val="auto"/>
              </w:rPr>
            </w:pPr>
          </w:p>
        </w:tc>
        <w:tc>
          <w:tcPr>
            <w:tcW w:w="17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Other Comprehensive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 Income into</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450"/>
              <w:spacing w:after="0" w:line="149"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vMerge w:val="continue"/>
          </w:tcPr>
          <w:p>
            <w:pPr>
              <w:spacing w:after="0"/>
              <w:rPr>
                <w:sz w:val="16"/>
                <w:szCs w:val="16"/>
                <w:color w:val="auto"/>
              </w:rPr>
            </w:pPr>
          </w:p>
        </w:tc>
        <w:tc>
          <w:tcPr>
            <w:tcW w:w="23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Recognized in Income</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Income (Effective Portion)</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Earnings (Effective Portion)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170"/>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June 30, 2016</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480" w:type="dxa"/>
            <w:vAlign w:val="bottom"/>
            <w:gridSpan w:val="5"/>
          </w:tcPr>
          <w:p>
            <w:pPr>
              <w:ind w:left="6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48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Earnings from equity method</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gridSpan w:val="5"/>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480" w:type="dxa"/>
            <w:vAlign w:val="bottom"/>
            <w:gridSpan w:val="5"/>
          </w:tcPr>
          <w:p>
            <w:pPr>
              <w:ind w:left="60"/>
              <w:spacing w:after="0"/>
              <w:rPr>
                <w:sz w:val="20"/>
                <w:szCs w:val="20"/>
                <w:color w:val="auto"/>
              </w:rPr>
            </w:pPr>
            <w:r>
              <w:rPr>
                <w:rFonts w:ascii="Arial" w:cs="Arial" w:eastAsia="Arial" w:hAnsi="Arial"/>
                <w:sz w:val="18"/>
                <w:szCs w:val="18"/>
                <w:color w:val="auto"/>
              </w:rPr>
              <w:t>Earnings from equity method</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2480" w:type="dxa"/>
            <w:vAlign w:val="bottom"/>
            <w:gridSpan w:val="5"/>
          </w:tcPr>
          <w:p>
            <w:pPr>
              <w:ind w:left="6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June 30, 2015</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cap</w:t>
            </w:r>
          </w:p>
        </w:tc>
        <w:tc>
          <w:tcPr>
            <w:tcW w:w="2480" w:type="dxa"/>
            <w:vAlign w:val="bottom"/>
            <w:gridSpan w:val="5"/>
          </w:tcPr>
          <w:p>
            <w:pPr>
              <w:ind w:left="6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248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Earnings from equity method</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gridSpan w:val="5"/>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480" w:type="dxa"/>
            <w:vAlign w:val="bottom"/>
            <w:gridSpan w:val="5"/>
          </w:tcPr>
          <w:p>
            <w:pPr>
              <w:ind w:left="6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48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Earnings from equity method</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gridSpan w:val="5"/>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480" w:type="dxa"/>
            <w:vAlign w:val="bottom"/>
            <w:gridSpan w:val="5"/>
          </w:tcPr>
          <w:p>
            <w:pPr>
              <w:ind w:left="60"/>
              <w:spacing w:after="0"/>
              <w:rPr>
                <w:sz w:val="20"/>
                <w:szCs w:val="20"/>
                <w:color w:val="auto"/>
              </w:rPr>
            </w:pPr>
            <w:r>
              <w:rPr>
                <w:rFonts w:ascii="Arial" w:cs="Arial" w:eastAsia="Arial" w:hAnsi="Arial"/>
                <w:sz w:val="18"/>
                <w:szCs w:val="18"/>
                <w:color w:val="auto"/>
              </w:rPr>
              <w:t>Earnings from equity method</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2480" w:type="dxa"/>
            <w:vAlign w:val="bottom"/>
            <w:gridSpan w:val="5"/>
          </w:tcPr>
          <w:p>
            <w:pPr>
              <w:ind w:left="6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4"/>
              </w:rPr>
              <w:t>For the Six Months Ended June 30, 2016</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cap</w:t>
            </w:r>
          </w:p>
        </w:tc>
        <w:tc>
          <w:tcPr>
            <w:tcW w:w="2480" w:type="dxa"/>
            <w:vAlign w:val="bottom"/>
            <w:gridSpan w:val="5"/>
          </w:tcPr>
          <w:p>
            <w:pPr>
              <w:ind w:left="6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spacing w:after="0"/>
              <w:rPr>
                <w:sz w:val="19"/>
                <w:szCs w:val="19"/>
                <w:color w:val="auto"/>
              </w:rPr>
            </w:pPr>
          </w:p>
        </w:tc>
        <w:tc>
          <w:tcPr>
            <w:tcW w:w="248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Earnings from equity method</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2480" w:type="dxa"/>
            <w:vAlign w:val="bottom"/>
            <w:tcBorders>
              <w:bottom w:val="single" w:sz="8" w:color="CCEEFF"/>
            </w:tcBorders>
            <w:gridSpan w:val="5"/>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480" w:type="dxa"/>
            <w:vAlign w:val="bottom"/>
            <w:gridSpan w:val="5"/>
          </w:tcPr>
          <w:p>
            <w:pPr>
              <w:ind w:left="6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spacing w:after="0"/>
              <w:rPr>
                <w:sz w:val="19"/>
                <w:szCs w:val="19"/>
                <w:color w:val="auto"/>
              </w:rPr>
            </w:pPr>
          </w:p>
        </w:tc>
        <w:tc>
          <w:tcPr>
            <w:tcW w:w="248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Earnings from equity method</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480" w:type="dxa"/>
            <w:vAlign w:val="bottom"/>
            <w:tcBorders>
              <w:bottom w:val="single" w:sz="8" w:color="CCEEFF"/>
            </w:tcBorders>
            <w:gridSpan w:val="5"/>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19"/>
                <w:szCs w:val="19"/>
                <w:color w:val="auto"/>
              </w:rPr>
            </w:pPr>
          </w:p>
        </w:tc>
        <w:tc>
          <w:tcPr>
            <w:tcW w:w="2480" w:type="dxa"/>
            <w:vAlign w:val="bottom"/>
            <w:gridSpan w:val="5"/>
          </w:tcPr>
          <w:p>
            <w:pPr>
              <w:ind w:left="60"/>
              <w:spacing w:after="0"/>
              <w:rPr>
                <w:sz w:val="20"/>
                <w:szCs w:val="20"/>
                <w:color w:val="auto"/>
              </w:rPr>
            </w:pPr>
            <w:r>
              <w:rPr>
                <w:rFonts w:ascii="Arial" w:cs="Arial" w:eastAsia="Arial" w:hAnsi="Arial"/>
                <w:sz w:val="18"/>
                <w:szCs w:val="18"/>
                <w:color w:val="auto"/>
              </w:rPr>
              <w:t>Earnings from equity method</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480" w:type="dxa"/>
            <w:vAlign w:val="bottom"/>
            <w:gridSpan w:val="5"/>
          </w:tcPr>
          <w:p>
            <w:pPr>
              <w:ind w:left="6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4"/>
              </w:rPr>
              <w:t>For the Six Months Ended June 30, 2015</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cap</w:t>
            </w:r>
          </w:p>
        </w:tc>
        <w:tc>
          <w:tcPr>
            <w:tcW w:w="2480" w:type="dxa"/>
            <w:vAlign w:val="bottom"/>
            <w:gridSpan w:val="5"/>
          </w:tcPr>
          <w:p>
            <w:pPr>
              <w:ind w:left="6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spacing w:after="0"/>
              <w:rPr>
                <w:sz w:val="19"/>
                <w:szCs w:val="19"/>
                <w:color w:val="auto"/>
              </w:rPr>
            </w:pPr>
          </w:p>
        </w:tc>
        <w:tc>
          <w:tcPr>
            <w:tcW w:w="248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Earnings from equity method</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2480" w:type="dxa"/>
            <w:vAlign w:val="bottom"/>
            <w:tcBorders>
              <w:bottom w:val="single" w:sz="8" w:color="CCEEFF"/>
            </w:tcBorders>
            <w:gridSpan w:val="5"/>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480" w:type="dxa"/>
            <w:vAlign w:val="bottom"/>
            <w:gridSpan w:val="5"/>
          </w:tcPr>
          <w:p>
            <w:pPr>
              <w:ind w:left="6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shd w:val="clear" w:color="auto" w:fill="CCEEFF"/>
          </w:tcPr>
          <w:p>
            <w:pPr>
              <w:spacing w:after="0"/>
              <w:rPr>
                <w:sz w:val="19"/>
                <w:szCs w:val="19"/>
                <w:color w:val="auto"/>
              </w:rPr>
            </w:pPr>
          </w:p>
        </w:tc>
        <w:tc>
          <w:tcPr>
            <w:tcW w:w="248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Earnings from equity method</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480" w:type="dxa"/>
            <w:vAlign w:val="bottom"/>
            <w:tcBorders>
              <w:bottom w:val="single" w:sz="8" w:color="CCEEFF"/>
            </w:tcBorders>
            <w:gridSpan w:val="5"/>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19"/>
                <w:szCs w:val="19"/>
                <w:color w:val="auto"/>
              </w:rPr>
            </w:pPr>
          </w:p>
        </w:tc>
        <w:tc>
          <w:tcPr>
            <w:tcW w:w="2480" w:type="dxa"/>
            <w:vAlign w:val="bottom"/>
            <w:gridSpan w:val="5"/>
          </w:tcPr>
          <w:p>
            <w:pPr>
              <w:ind w:left="60"/>
              <w:spacing w:after="0"/>
              <w:rPr>
                <w:sz w:val="20"/>
                <w:szCs w:val="20"/>
                <w:color w:val="auto"/>
              </w:rPr>
            </w:pPr>
            <w:r>
              <w:rPr>
                <w:rFonts w:ascii="Arial" w:cs="Arial" w:eastAsia="Arial" w:hAnsi="Arial"/>
                <w:sz w:val="18"/>
                <w:szCs w:val="18"/>
                <w:color w:val="auto"/>
              </w:rPr>
              <w:t>Earnings from equity method</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480" w:type="dxa"/>
            <w:vAlign w:val="bottom"/>
            <w:gridSpan w:val="5"/>
          </w:tcPr>
          <w:p>
            <w:pPr>
              <w:ind w:left="6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90"/>
        </w:trPr>
        <w:tc>
          <w:tcPr>
            <w:tcW w:w="3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Amount of Gain (Loss)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Recognized in Income</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3"/>
            <w:vMerge w:val="restart"/>
          </w:tcPr>
          <w:p>
            <w:pPr>
              <w:jc w:val="center"/>
              <w:ind w:left="301"/>
              <w:spacing w:after="0"/>
              <w:rPr>
                <w:sz w:val="20"/>
                <w:szCs w:val="20"/>
                <w:color w:val="auto"/>
              </w:rPr>
            </w:pPr>
            <w:r>
              <w:rPr>
                <w:rFonts w:ascii="Arial" w:cs="Arial" w:eastAsia="Arial" w:hAnsi="Arial"/>
                <w:sz w:val="14"/>
                <w:szCs w:val="14"/>
                <w:b w:val="1"/>
                <w:bCs w:val="1"/>
                <w:color w:val="auto"/>
                <w:w w:val="94"/>
              </w:rPr>
              <w:t>Location of Gain</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7"/>
          </w:tcPr>
          <w:p>
            <w:pPr>
              <w:ind w:left="100"/>
              <w:spacing w:after="0" w:line="153" w:lineRule="exact"/>
              <w:rPr>
                <w:sz w:val="20"/>
                <w:szCs w:val="20"/>
                <w:color w:val="auto"/>
              </w:rPr>
            </w:pPr>
            <w:r>
              <w:rPr>
                <w:rFonts w:ascii="Arial" w:cs="Arial" w:eastAsia="Arial" w:hAnsi="Arial"/>
                <w:sz w:val="14"/>
                <w:szCs w:val="14"/>
                <w:b w:val="1"/>
                <w:bCs w:val="1"/>
                <w:color w:val="auto"/>
              </w:rPr>
              <w:t>For the Three Months Ended June</w:t>
            </w:r>
          </w:p>
        </w:tc>
        <w:tc>
          <w:tcPr>
            <w:tcW w:w="240" w:type="dxa"/>
            <w:vAlign w:val="bottom"/>
          </w:tcPr>
          <w:p>
            <w:pPr>
              <w:spacing w:after="0"/>
              <w:rPr>
                <w:sz w:val="13"/>
                <w:szCs w:val="13"/>
                <w:color w:val="auto"/>
              </w:rPr>
            </w:pPr>
          </w:p>
        </w:tc>
        <w:tc>
          <w:tcPr>
            <w:tcW w:w="2500" w:type="dxa"/>
            <w:vAlign w:val="bottom"/>
            <w:gridSpan w:val="7"/>
          </w:tcPr>
          <w:p>
            <w:pPr>
              <w:jc w:val="center"/>
              <w:ind w:right="610"/>
              <w:spacing w:after="0" w:line="153" w:lineRule="exact"/>
              <w:rPr>
                <w:sz w:val="20"/>
                <w:szCs w:val="20"/>
                <w:color w:val="auto"/>
              </w:rPr>
            </w:pPr>
            <w:r>
              <w:rPr>
                <w:rFonts w:ascii="Arial" w:cs="Arial" w:eastAsia="Arial" w:hAnsi="Arial"/>
                <w:sz w:val="14"/>
                <w:szCs w:val="14"/>
                <w:b w:val="1"/>
                <w:bCs w:val="1"/>
                <w:color w:val="auto"/>
                <w:w w:val="95"/>
              </w:rPr>
              <w:t>For the Six Months</w:t>
            </w:r>
          </w:p>
        </w:tc>
        <w:tc>
          <w:tcPr>
            <w:tcW w:w="0" w:type="dxa"/>
            <w:vAlign w:val="bottom"/>
          </w:tcPr>
          <w:p>
            <w:pPr>
              <w:spacing w:after="0"/>
              <w:rPr>
                <w:sz w:val="1"/>
                <w:szCs w:val="1"/>
                <w:color w:val="auto"/>
              </w:rPr>
            </w:pPr>
          </w:p>
        </w:tc>
      </w:tr>
      <w:tr>
        <w:trPr>
          <w:trHeight w:val="144"/>
        </w:trPr>
        <w:tc>
          <w:tcPr>
            <w:tcW w:w="3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gridSpan w:val="7"/>
          </w:tcPr>
          <w:p>
            <w:pPr>
              <w:jc w:val="center"/>
              <w:ind w:right="570"/>
              <w:spacing w:after="0" w:line="145" w:lineRule="exact"/>
              <w:rPr>
                <w:sz w:val="20"/>
                <w:szCs w:val="20"/>
                <w:color w:val="auto"/>
              </w:rPr>
            </w:pPr>
            <w:r>
              <w:rPr>
                <w:rFonts w:ascii="Arial" w:cs="Arial" w:eastAsia="Arial" w:hAnsi="Arial"/>
                <w:sz w:val="14"/>
                <w:szCs w:val="14"/>
                <w:b w:val="1"/>
                <w:bCs w:val="1"/>
                <w:color w:val="auto"/>
                <w:w w:val="93"/>
              </w:rPr>
              <w:t>Ended June 30,</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700" w:type="dxa"/>
            <w:vAlign w:val="bottom"/>
            <w:gridSpan w:val="3"/>
            <w:vMerge w:val="restart"/>
          </w:tcPr>
          <w:p>
            <w:pPr>
              <w:jc w:val="center"/>
              <w:ind w:left="321"/>
              <w:spacing w:after="0" w:line="139" w:lineRule="exact"/>
              <w:rPr>
                <w:sz w:val="20"/>
                <w:szCs w:val="20"/>
                <w:color w:val="auto"/>
              </w:rPr>
            </w:pPr>
            <w:r>
              <w:rPr>
                <w:rFonts w:ascii="Arial" w:cs="Arial" w:eastAsia="Arial" w:hAnsi="Arial"/>
                <w:sz w:val="14"/>
                <w:szCs w:val="14"/>
                <w:b w:val="1"/>
                <w:bCs w:val="1"/>
                <w:color w:val="auto"/>
                <w:w w:val="89"/>
              </w:rPr>
              <w:t>(Loss) Recognized in</w:t>
            </w: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33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Derivatives not Designated in Hedging Relationships</w:t>
            </w:r>
          </w:p>
        </w:tc>
        <w:tc>
          <w:tcPr>
            <w:tcW w:w="6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restart"/>
          </w:tcPr>
          <w:p>
            <w:pPr>
              <w:jc w:val="right"/>
              <w:ind w:right="34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gridSpan w:val="3"/>
          </w:tcPr>
          <w:p>
            <w:pPr>
              <w:jc w:val="center"/>
              <w:ind w:left="321"/>
              <w:spacing w:after="0"/>
              <w:rPr>
                <w:sz w:val="20"/>
                <w:szCs w:val="20"/>
                <w:color w:val="auto"/>
              </w:rPr>
            </w:pPr>
            <w:r>
              <w:rPr>
                <w:rFonts w:ascii="Arial" w:cs="Arial" w:eastAsia="Arial" w:hAnsi="Arial"/>
                <w:sz w:val="14"/>
                <w:szCs w:val="14"/>
                <w:b w:val="1"/>
                <w:bCs w:val="1"/>
                <w:color w:val="auto"/>
                <w:w w:val="93"/>
              </w:rPr>
              <w:t>Income</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7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color w:val="auto"/>
              </w:rPr>
              <w:t>Other Expense</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3"/>
          </w:tcPr>
          <w:p>
            <w:pPr>
              <w:jc w:val="right"/>
              <w:ind w:right="48"/>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8"/>
                <w:szCs w:val="18"/>
                <w:color w:val="auto"/>
              </w:rPr>
              <w:t>1,587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7"/>
          <w:szCs w:val="17"/>
          <w:b w:val="1"/>
          <w:bCs w:val="1"/>
          <w:color w:val="auto"/>
        </w:rPr>
        <w:t>Foreign Exchange Contracts</w:t>
      </w:r>
      <w:r>
        <w:rPr>
          <w:rFonts w:ascii="Arial" w:cs="Arial" w:eastAsia="Arial" w:hAnsi="Arial"/>
          <w:sz w:val="17"/>
          <w:szCs w:val="17"/>
          <w:color w:val="auto"/>
        </w:rPr>
        <w:t>—The Company is exposed to fluctuations in foreign exchange rates on investments it holds in foreign entities.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uses foreign exchange contracts to hedge its exposure to changes in foreign exchange rates on its foreign investments. Foreign exchange contracts involve fixing the U.S. dollar ("USD") to the respective foreign currency exchange rate for delivery of a specified amount of foreign currency on a specified date. The foreign exchange contracts are typically cash settled in USD for their fair value at or close to their settlement date.</w:t>
      </w:r>
    </w:p>
    <w:p>
      <w:pPr>
        <w:spacing w:after="0" w:line="12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 derivatives designated as net investment hedges, the effective portion of changes in the fair value of the derivatives are reported in Accumulated Other Comprehensive Income as part of the cumulative translation adjustment. The ineffective portion of the change in fair value of the derivatives is recognized directly in earnings. Amounts are reclassified out of Accumulated Other Comprehensive Income into earnings when the hedged foreign entity is either sold or substantially liquidated. As of June 30, 2016, the Company had the following outstanding foreign currency derivatives that were used to hedge its net investments in foreign operations that were designated ($ and Rs in thousands):</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1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Notional</w:t>
            </w:r>
          </w:p>
        </w:tc>
        <w:tc>
          <w:tcPr>
            <w:tcW w:w="15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6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(USD Equivalent)</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Sells Indian rupee ("INR")/Buys USD Forward</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456,000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6,553</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December 2016</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derivatives not designated as net investment hedges, the changes in the fair value of the derivatives are reported in the Company's consolidated statements of operations within "Other Expense." As of June 30, 2016, the Company had the following outstanding foreign currency derivatives that were used to hedge its net investments in foreign operations that were not designated ($, €, and £ in thousands):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240" w:type="dxa"/>
            <w:vAlign w:val="bottom"/>
          </w:tcPr>
          <w:p>
            <w:pPr>
              <w:spacing w:after="0"/>
              <w:rPr>
                <w:sz w:val="14"/>
                <w:szCs w:val="14"/>
                <w:color w:val="auto"/>
              </w:rPr>
            </w:pPr>
          </w:p>
        </w:tc>
        <w:tc>
          <w:tcPr>
            <w:tcW w:w="1680" w:type="dxa"/>
            <w:vAlign w:val="bottom"/>
            <w:gridSpan w:val="2"/>
          </w:tcPr>
          <w:p>
            <w:pPr>
              <w:ind w:left="400"/>
              <w:spacing w:after="0"/>
              <w:rPr>
                <w:sz w:val="20"/>
                <w:szCs w:val="20"/>
                <w:color w:val="auto"/>
              </w:rPr>
            </w:pPr>
            <w:r>
              <w:rPr>
                <w:rFonts w:ascii="Arial" w:cs="Arial" w:eastAsia="Arial" w:hAnsi="Arial"/>
                <w:sz w:val="14"/>
                <w:szCs w:val="14"/>
                <w:b w:val="1"/>
                <w:bCs w:val="1"/>
                <w:color w:val="auto"/>
              </w:rPr>
              <w:t>Notional</w:t>
            </w:r>
          </w:p>
        </w:tc>
        <w:tc>
          <w:tcPr>
            <w:tcW w:w="13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6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(USD Equivalent)</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Sells euro ("EUR")/Buys USD Forward</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6,951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July 2016</w:t>
            </w:r>
          </w:p>
        </w:tc>
        <w:tc>
          <w:tcPr>
            <w:tcW w:w="0" w:type="dxa"/>
            <w:vAlign w:val="bottom"/>
          </w:tcPr>
          <w:p>
            <w:pPr>
              <w:spacing w:after="0"/>
              <w:rPr>
                <w:sz w:val="1"/>
                <w:szCs w:val="1"/>
                <w:color w:val="auto"/>
              </w:rPr>
            </w:pPr>
          </w:p>
        </w:tc>
      </w:tr>
      <w:tr>
        <w:trPr>
          <w:trHeight w:val="243"/>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Sells pound sterling ("GBP")/Buys USD Forward</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3,300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July 2016</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Sells euro ("EUR")/Buys USD Forward</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7,018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October 2016</w:t>
            </w:r>
          </w:p>
        </w:tc>
        <w:tc>
          <w:tcPr>
            <w:tcW w:w="0" w:type="dxa"/>
            <w:vAlign w:val="bottom"/>
          </w:tcPr>
          <w:p>
            <w:pPr>
              <w:spacing w:after="0"/>
              <w:rPr>
                <w:sz w:val="1"/>
                <w:szCs w:val="1"/>
                <w:color w:val="auto"/>
              </w:rPr>
            </w:pPr>
          </w:p>
        </w:tc>
      </w:tr>
      <w:tr>
        <w:trPr>
          <w:trHeight w:val="243"/>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Sells pound sterling ("GBP")/Buys USD Forward</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3,400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4,504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October 2016</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marks its foreign investments each quarter based on current exchange rates and records the gain or loss through "Other expense" in its consolidated statements of operations for loan investments or "Accumulated other comprehensive income (loss)," on its consolidated balance sheets for net investments in foreign subsidiaries. The Company recorded net gains (losses) related to foreign investments of $(0.1) million during the three months ended June 30, 2016 and $(0.1) million for the three and six months ended June 30, 2015 in its consolidated statements of operations.</w:t>
      </w:r>
    </w:p>
    <w:p>
      <w:pPr>
        <w:spacing w:after="0" w:line="127"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b w:val="1"/>
          <w:bCs w:val="1"/>
          <w:color w:val="auto"/>
        </w:rPr>
        <w:t>Interest Rate Hedges</w:t>
      </w:r>
      <w:r>
        <w:rPr>
          <w:rFonts w:ascii="Arial" w:cs="Arial" w:eastAsia="Arial" w:hAnsi="Arial"/>
          <w:sz w:val="18"/>
          <w:szCs w:val="18"/>
          <w:color w:val="auto"/>
        </w:rPr>
        <w:t>—For derivatives designated as cash flow hedges, the effective portion of changes in the fair value of the derivatives are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Accumulated Other Comprehensive Income (Loss). The ineffective portion of the change in fair value of the derivatives is recognized directly in the Company's consolidated statements of operations. As of June 30, 2016, the Company had the following outstanding interest rate swap that was used to hedge its variable rate debt that was designated as a cash flow hedge ($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Variable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Fixed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26,668</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LIBOR + 2.00%</w:t>
            </w:r>
          </w:p>
        </w:tc>
        <w:tc>
          <w:tcPr>
            <w:tcW w:w="16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October 2012</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November 2019</w:t>
            </w:r>
          </w:p>
        </w:tc>
        <w:tc>
          <w:tcPr>
            <w:tcW w:w="0" w:type="dxa"/>
            <w:vAlign w:val="bottom"/>
          </w:tcPr>
          <w:p>
            <w:pPr>
              <w:spacing w:after="0"/>
              <w:rPr>
                <w:sz w:val="1"/>
                <w:szCs w:val="1"/>
                <w:color w:val="auto"/>
              </w:rPr>
            </w:pPr>
          </w:p>
        </w:tc>
      </w:tr>
      <w:tr>
        <w:trPr>
          <w:trHeight w:val="635"/>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right"/>
              <w:ind w:right="436"/>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For derivatives not designated as cash flow hedges, the changes in the fair value of the derivatives are reported in the Company's consolidated statements of operations within "Other Expense." As of June 30, 2016, the Company had the following outstanding interest rate cap that was used to hedge its variable rate debt that was not designated as a cash flow hedge ($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Type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Notional</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Variable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Fixed Rate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Effective Date</w:t>
            </w:r>
          </w:p>
        </w:tc>
        <w:tc>
          <w:tcPr>
            <w:tcW w:w="100" w:type="dxa"/>
            <w:vAlign w:val="bottom"/>
            <w:vMerge w:val="restart"/>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cap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LIBOR</w:t>
            </w:r>
          </w:p>
        </w:tc>
        <w:tc>
          <w:tcPr>
            <w:tcW w:w="1600" w:type="dxa"/>
            <w:vAlign w:val="bottom"/>
            <w:shd w:val="clear" w:color="auto" w:fill="CCEEFF"/>
          </w:tcPr>
          <w:p>
            <w:pPr>
              <w:jc w:val="right"/>
              <w:ind w:right="479"/>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July 2014</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2017</w:t>
            </w:r>
          </w:p>
        </w:tc>
        <w:tc>
          <w:tcPr>
            <w:tcW w:w="0" w:type="dxa"/>
            <w:vAlign w:val="bottom"/>
          </w:tcPr>
          <w:p>
            <w:pPr>
              <w:spacing w:after="0"/>
              <w:rPr>
                <w:sz w:val="1"/>
                <w:szCs w:val="1"/>
                <w:color w:val="auto"/>
              </w:rPr>
            </w:pPr>
          </w:p>
        </w:tc>
      </w:tr>
      <w:tr>
        <w:trPr>
          <w:trHeight w:val="27"/>
        </w:trPr>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Over the next 12 months, the Company expects that $0.1 million related to terminated cash flow hedges will be reclassified from "Accumulated other comprehensive income (loss)" into interest expense and $(0.6) million relating to other cash flow hedges will be reclassified from "Accumulated other comprehensive income (loss)" into earnings.</w:t>
      </w:r>
    </w:p>
    <w:p>
      <w:pPr>
        <w:spacing w:after="0" w:line="177"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Credit Risk-Related Contingent Features</w:t>
      </w:r>
      <w:r>
        <w:rPr>
          <w:rFonts w:ascii="Arial" w:cs="Arial" w:eastAsia="Arial" w:hAnsi="Arial"/>
          <w:sz w:val="18"/>
          <w:szCs w:val="18"/>
          <w:color w:val="auto"/>
        </w:rPr>
        <w:t>—The Company has agreements with each of its derivative counterparties that contain a provision where if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either defaults or is capable of being declared in default on any of its indebtedness, then the Company could also be declared in default on its derivative obligations.</w:t>
      </w:r>
    </w:p>
    <w:p>
      <w:pPr>
        <w:spacing w:after="0" w:line="18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reports derivative instruments on a gross basis in the consolidated financial statements. In connection with its foreign currency derivatives which were in a liability position as of June 30, 2016 and December 31, 2015, the Company has posted collateral of $1.0 million as of both dates and is included in "Deferred expenses and other assets, net" on the Company's consolidated balance sheets. The Company's net exposure under these contracts was zero as of June 30,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13—Equity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Preferred Stock</w:t>
      </w:r>
      <w:r>
        <w:rPr>
          <w:rFonts w:ascii="Arial" w:cs="Arial" w:eastAsia="Arial" w:hAnsi="Arial"/>
          <w:sz w:val="16"/>
          <w:szCs w:val="16"/>
          <w:color w:val="auto"/>
        </w:rPr>
        <w:t>—The Company had the following series of Cumulative Redeemable and Convertible Perpetual Preferred Stock outstanding as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2016 and December 31, 2015: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Cumulative Preferential Cash</w:t>
            </w: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Dividends</w:t>
            </w:r>
            <w:r>
              <w:rPr>
                <w:rFonts w:ascii="Arial" w:cs="Arial" w:eastAsia="Arial" w:hAnsi="Arial"/>
                <w:sz w:val="8"/>
                <w:szCs w:val="8"/>
                <w:b w:val="1"/>
                <w:bCs w:val="1"/>
                <w:color w:val="auto"/>
                <w:w w:val="94"/>
              </w:rPr>
              <w:t>(1)(2)</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Shares Issued and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5"/>
              </w:rPr>
              <w:t>Equivalent to</w:t>
            </w:r>
          </w:p>
        </w:tc>
        <w:tc>
          <w:tcPr>
            <w:tcW w:w="0" w:type="dxa"/>
            <w:vAlign w:val="bottom"/>
          </w:tcPr>
          <w:p>
            <w:pPr>
              <w:spacing w:after="0"/>
              <w:rPr>
                <w:sz w:val="1"/>
                <w:szCs w:val="1"/>
                <w:color w:val="auto"/>
              </w:rPr>
            </w:pPr>
          </w:p>
        </w:tc>
      </w:tr>
      <w:tr>
        <w:trPr>
          <w:trHeight w:val="185"/>
        </w:trPr>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Series</w:t>
            </w:r>
          </w:p>
        </w:tc>
        <w:tc>
          <w:tcPr>
            <w:tcW w:w="100" w:type="dxa"/>
            <w:vAlign w:val="bottom"/>
            <w:vMerge w:val="restart"/>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Par Value</w:t>
            </w:r>
          </w:p>
        </w:tc>
        <w:tc>
          <w:tcPr>
            <w:tcW w:w="100" w:type="dxa"/>
            <w:vAlign w:val="bottom"/>
            <w:vMerge w:val="restart"/>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Liquidation Preference</w:t>
            </w:r>
            <w:r>
              <w:rPr>
                <w:rFonts w:ascii="Arial" w:cs="Arial" w:eastAsia="Arial" w:hAnsi="Arial"/>
                <w:sz w:val="8"/>
                <w:szCs w:val="8"/>
                <w:b w:val="1"/>
                <w:bCs w:val="1"/>
                <w:color w:val="auto"/>
                <w:w w:val="97"/>
              </w:rPr>
              <w:t>(3)</w:t>
            </w:r>
          </w:p>
        </w:tc>
        <w:tc>
          <w:tcPr>
            <w:tcW w:w="100" w:type="dxa"/>
            <w:vAlign w:val="bottom"/>
          </w:tcPr>
          <w:p>
            <w:pPr>
              <w:spacing w:after="0"/>
              <w:rPr>
                <w:sz w:val="16"/>
                <w:szCs w:val="16"/>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Rate per Annum</w:t>
            </w:r>
          </w:p>
        </w:tc>
        <w:tc>
          <w:tcPr>
            <w:tcW w:w="10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center"/>
              <w:ind w:right="156"/>
              <w:spacing w:after="0"/>
              <w:rPr>
                <w:sz w:val="20"/>
                <w:szCs w:val="20"/>
                <w:color w:val="auto"/>
              </w:rPr>
            </w:pPr>
            <w:r>
              <w:rPr>
                <w:rFonts w:ascii="Arial" w:cs="Arial" w:eastAsia="Arial" w:hAnsi="Arial"/>
                <w:sz w:val="14"/>
                <w:szCs w:val="14"/>
                <w:b w:val="1"/>
                <w:bCs w:val="1"/>
                <w:color w:val="auto"/>
                <w:w w:val="95"/>
              </w:rPr>
              <w:t>Fixed Annual</w:t>
            </w:r>
          </w:p>
        </w:tc>
        <w:tc>
          <w:tcPr>
            <w:tcW w:w="0" w:type="dxa"/>
            <w:vAlign w:val="bottom"/>
          </w:tcPr>
          <w:p>
            <w:pPr>
              <w:spacing w:after="0"/>
              <w:rPr>
                <w:sz w:val="1"/>
                <w:szCs w:val="1"/>
                <w:color w:val="auto"/>
              </w:rPr>
            </w:pPr>
          </w:p>
        </w:tc>
      </w:tr>
      <w:tr>
        <w:trPr>
          <w:trHeight w:val="162"/>
        </w:trPr>
        <w:tc>
          <w:tcPr>
            <w:tcW w:w="1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96"/>
              <w:spacing w:after="0"/>
              <w:rPr>
                <w:sz w:val="20"/>
                <w:szCs w:val="20"/>
                <w:color w:val="auto"/>
              </w:rPr>
            </w:pPr>
            <w:r>
              <w:rPr>
                <w:rFonts w:ascii="Arial" w:cs="Arial" w:eastAsia="Arial" w:hAnsi="Arial"/>
                <w:sz w:val="9"/>
                <w:szCs w:val="9"/>
                <w:b w:val="1"/>
                <w:bCs w:val="1"/>
                <w:color w:val="auto"/>
              </w:rPr>
              <w:t>(4)</w:t>
            </w:r>
          </w:p>
        </w:tc>
        <w:tc>
          <w:tcPr>
            <w:tcW w:w="1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3"/>
              </w:rPr>
              <w:t>Rate (per share)</w:t>
            </w:r>
          </w:p>
        </w:tc>
        <w:tc>
          <w:tcPr>
            <w:tcW w:w="0" w:type="dxa"/>
            <w:vAlign w:val="bottom"/>
          </w:tcPr>
          <w:p>
            <w:pPr>
              <w:spacing w:after="0"/>
              <w:rPr>
                <w:sz w:val="1"/>
                <w:szCs w:val="1"/>
                <w:color w:val="auto"/>
              </w:rPr>
            </w:pPr>
          </w:p>
        </w:tc>
      </w:tr>
      <w:tr>
        <w:trPr>
          <w:trHeight w:val="244"/>
        </w:trPr>
        <w:tc>
          <w:tcPr>
            <w:tcW w:w="1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D</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82"/>
              </w:rPr>
              <w:t>E</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5,600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25.00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7.875%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F</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G</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25.00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I</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1640" w:type="dxa"/>
            <w:vAlign w:val="bottom"/>
            <w:gridSpan w:val="2"/>
          </w:tcPr>
          <w:p>
            <w:pPr>
              <w:jc w:val="center"/>
              <w:ind w:right="100"/>
              <w:spacing w:after="0"/>
              <w:rPr>
                <w:sz w:val="20"/>
                <w:szCs w:val="20"/>
                <w:color w:val="auto"/>
              </w:rPr>
            </w:pPr>
            <w:r>
              <w:rPr>
                <w:rFonts w:ascii="Arial" w:cs="Arial" w:eastAsia="Arial" w:hAnsi="Arial"/>
                <w:sz w:val="17"/>
                <w:szCs w:val="17"/>
                <w:color w:val="auto"/>
                <w:w w:val="70"/>
              </w:rPr>
              <w:t>J</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0.001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50.00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-98425</wp:posOffset>
            </wp:positionV>
            <wp:extent cx="11061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jc w:val="both"/>
        <w:ind w:left="500" w:hanging="492"/>
        <w:spacing w:after="0" w:line="241" w:lineRule="auto"/>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Holders of shares of the Series D, E, F, G, I and J preferred stock are entitled to receive dividends, when and as declared by the Company's Board of Directors, out of funds legally available for the payment of dividends. Dividends are cumulative from the date of original issue and are payable quarterly in arrears on or before the 15th day of each March, June, September and December or, if not a business day, the next succeeding business day. Any dividend payable on the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Company's Board of Directors for the payment of dividends that is not more than 30 nor less than 10 days prior to the dividend payment date.</w:t>
      </w:r>
    </w:p>
    <w:p>
      <w:pPr>
        <w:spacing w:after="0" w:line="2" w:lineRule="exact"/>
        <w:rPr>
          <w:rFonts w:ascii="Arial" w:cs="Arial" w:eastAsia="Arial" w:hAnsi="Arial"/>
          <w:sz w:val="14"/>
          <w:szCs w:val="14"/>
          <w:color w:val="auto"/>
        </w:rPr>
      </w:pPr>
    </w:p>
    <w:p>
      <w:pPr>
        <w:jc w:val="both"/>
        <w:ind w:left="500" w:hanging="492"/>
        <w:spacing w:after="0" w:line="241" w:lineRule="auto"/>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 declared and paid dividends of $4.0 million, $5.5 million, $3.9 million, $3.1 million and $4.7 million on its Series D, E, F, G and I Cumulative Redeemable Preferred Stock during the six months ended June 30, 2016 and 2015. The Company declared and paid dividends of $4.5 million on its Series J Convertible Perpetual Preferred Stock during the six months ended June 30, 2016 and 2015. All 2015 dividends qualified as a return of capital for tax reporting purposes. There are no dividend arrearages on any of the preferred shares currently outstanding.</w:t>
      </w:r>
    </w:p>
    <w:p>
      <w:pPr>
        <w:spacing w:after="0" w:line="1" w:lineRule="exact"/>
        <w:rPr>
          <w:rFonts w:ascii="Arial" w:cs="Arial" w:eastAsia="Arial" w:hAnsi="Arial"/>
          <w:sz w:val="14"/>
          <w:szCs w:val="14"/>
          <w:color w:val="auto"/>
        </w:rPr>
      </w:pPr>
    </w:p>
    <w:p>
      <w:pPr>
        <w:ind w:left="500" w:hanging="492"/>
        <w:spacing w:after="0" w:line="241" w:lineRule="auto"/>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Company may, at its option, redeem the Series D, E, F, G, and I Preferred Stock, in whole or in part, at any time and from time to time, for cash at a redemption price equal to 100% of the liquidation preference of $25.00 per share, plus accrued and unpaid dividends, if any, to the redemption date.</w:t>
      </w:r>
    </w:p>
    <w:p>
      <w:pPr>
        <w:jc w:val="both"/>
        <w:ind w:left="500" w:hanging="492"/>
        <w:spacing w:after="0" w:line="246" w:lineRule="auto"/>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Each share of the Series J Preferred Stock is convertible at the holder's option at any time, initially into 3.9087 shares of the Company's common stock (equal to an initial conversion price of approximately $12.79 per share), subject to specified adjustments. The Company may not redeem the Series J Preferred Stock prior to March 15, 2018. On or after March 15, 2018, the Company may, at its option, redeem the Series J Preferred Stock, in whole or in part, at any time and from time to time, for cash at a redemption price equal to 100% of the liquidation preference of $50.00 per share, plus accrued and unpaid dividends, if any, to the redemption date.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b w:val="1"/>
          <w:bCs w:val="1"/>
          <w:color w:val="auto"/>
        </w:rPr>
        <w:t>Dividends</w:t>
      </w:r>
      <w:r>
        <w:rPr>
          <w:rFonts w:ascii="Arial" w:cs="Arial" w:eastAsia="Arial" w:hAnsi="Arial"/>
          <w:sz w:val="17"/>
          <w:szCs w:val="17"/>
          <w:color w:val="auto"/>
        </w:rPr>
        <w:t>—In order to maintain its qualification as a REIT, the Company must currently distribute, at a minimum, an amount equal to 90% of its</w:t>
      </w:r>
      <w:r>
        <w:rPr>
          <w:rFonts w:ascii="Arial" w:cs="Arial" w:eastAsia="Arial" w:hAnsi="Arial"/>
          <w:sz w:val="17"/>
          <w:szCs w:val="17"/>
          <w:b w:val="1"/>
          <w:bCs w:val="1"/>
          <w:color w:val="auto"/>
        </w:rPr>
        <w:t xml:space="preserve"> </w:t>
      </w:r>
      <w:r>
        <w:rPr>
          <w:rFonts w:ascii="Arial" w:cs="Arial" w:eastAsia="Arial" w:hAnsi="Arial"/>
          <w:sz w:val="17"/>
          <w:szCs w:val="17"/>
          <w:color w:val="auto"/>
        </w:rPr>
        <w:t>taxable income, excluding net capital gains, and must distribute 100% of its taxable income (including net capital gains) to eliminate corporate federal income taxes payable by the REIT. The Company has recorded NOLs and may record NOLs in the future, which may reduce its taxable income in future periods and lower or eliminate entirely the Company's obligation to pay dividends for such periods in order to maintain its REIT qualification. As of December 31, 2014, the Company had $856.4 million of NOL carryforwards at the corporate REIT level that can generally be used to offset both ordinary and capital taxable income in future years and will expire through 2034 if unused. The amount of NOL carryforwards as of December 31, 2015 will be determined upon finalization of the Company's 2015 tax return. Because taxable income differs from cash flow from operations due to non-cash revenues and expenses (such as depreciation and certain asset impairments), in certain circumstances, the Company may generate operating cash flow in excess of its dividends or, alternatively, may need to make dividend payments in excess of operating cash flows. The 2016 Senior Secured Credit Facility and 2015 Revolving Credit Facility permit the Company to distribute 100% of its REIT taxable income on an annual basis (prior to deducting certain cumulative NOL carryforwards), for so long as the Company maintains its qualification as a REIT. The 2016 Senior Secured Credit Facility and 2015 Revolving Credit Facility restrict the Company from paying any common dividends if it ceases to qualify as a REIT. The Company did not declare or pay any common stock dividends for the six months ended June 30, 2016 and 2015.</w:t>
      </w:r>
    </w:p>
    <w:p>
      <w:pPr>
        <w:spacing w:after="0" w:line="17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color w:val="auto"/>
        </w:rPr>
        <w:t>Stock Repurchase Program</w:t>
      </w:r>
      <w:r>
        <w:rPr>
          <w:rFonts w:ascii="Arial" w:cs="Arial" w:eastAsia="Arial" w:hAnsi="Arial"/>
          <w:sz w:val="18"/>
          <w:szCs w:val="18"/>
          <w:color w:val="auto"/>
        </w:rPr>
        <w:t>—In February 2016, after having substantially utilized the remaining availability previously authorized,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authorized a new $50.0 million stock repurchase program. The program authorizes the repurchase of common stock from time to time in open market and privately negotiated purchases, including pursuant to one or more trading plans. During the six months ended June 30, 2016, the Company repurchased 9.5 million shares of its outstanding common stock for $91.8 million, at an average cost of $9.71 per share. During the six months ended June 30, 2015, the Company repurchased 44,235 shares of its outstanding common stock for $0.6 million, at an average cost of $12.66 per share. As of June 30, 2016 and December 31, 2015, the Company had remaining authorization to repurchase up to $7.0 million and $48.7 million, respectively, of common stock under its stock repurchase program. The Company's Board of Directors authorized an increase to the stock repurchase program to $50.0 million, effective August 4, 2016.</w:t>
      </w:r>
    </w:p>
    <w:p>
      <w:pPr>
        <w:spacing w:after="0" w:line="185"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b w:val="1"/>
          <w:bCs w:val="1"/>
          <w:color w:val="auto"/>
        </w:rPr>
        <w:t>Accumulated Other Comprehensive Income (Loss)</w:t>
      </w:r>
      <w:r>
        <w:rPr>
          <w:rFonts w:ascii="Arial" w:cs="Arial" w:eastAsia="Arial" w:hAnsi="Arial"/>
          <w:sz w:val="18"/>
          <w:szCs w:val="18"/>
          <w:color w:val="auto"/>
        </w:rPr>
        <w:t>—"Accumulated other comprehensive income (loss)" reflected in the Company's shareholders'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is comprised of the following ($ in thousands):</w:t>
      </w:r>
    </w:p>
    <w:p>
      <w:pPr>
        <w:spacing w:after="0" w:line="171"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520" w:type="dxa"/>
            <w:vAlign w:val="bottom"/>
            <w:tcBorders>
              <w:bottom w:val="single" w:sz="8" w:color="auto"/>
            </w:tcBorders>
          </w:tcPr>
          <w:p>
            <w:pPr>
              <w:spacing w:after="0"/>
              <w:rPr>
                <w:sz w:val="16"/>
                <w:szCs w:val="16"/>
                <w:color w:val="auto"/>
              </w:rPr>
            </w:pPr>
          </w:p>
        </w:tc>
      </w:tr>
      <w:tr>
        <w:trPr>
          <w:trHeight w:val="264"/>
        </w:trPr>
        <w:tc>
          <w:tcPr>
            <w:tcW w:w="5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22"/>
                <w:szCs w:val="22"/>
                <w:color w:val="auto"/>
              </w:rPr>
            </w:pPr>
          </w:p>
        </w:tc>
        <w:tc>
          <w:tcPr>
            <w:tcW w:w="152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December 31, 2015</w:t>
            </w:r>
          </w:p>
        </w:tc>
      </w:tr>
      <w:tr>
        <w:trPr>
          <w:trHeight w:val="250"/>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(losses) on available-for-sale securities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Unrealized gains (losses) on cash flow hedges</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7"/>
        </w:trPr>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losses on cumulative translation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r>
      <w:tr>
        <w:trPr>
          <w:trHeight w:val="257"/>
        </w:trPr>
        <w:tc>
          <w:tcPr>
            <w:tcW w:w="584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(4,851)</w:t>
            </w:r>
          </w:p>
        </w:tc>
      </w:tr>
      <w:tr>
        <w:trPr>
          <w:trHeight w:val="20"/>
        </w:trPr>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14—Stock-Based Compensation Plans and Employee Benefits</w:t>
      </w:r>
    </w:p>
    <w:p>
      <w:pPr>
        <w:spacing w:after="0" w:line="225"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—The Company recorded stock-based compensation expense of $1.6 million and $6.2 million for the three and six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2016, respectively, and $3.9 million and $7.2 million for the three and six months ended June 30, 2015, respectively, in "General and administrative" in the Company's consolidated statements of operations. As of June 30, 2016, there was $3.0 million of total unrecognized compensation cost related to all unvested restricted stock units ("Units") that are expected to be recognized over a weighted average remaining vesting/service period of 2.0 years.</w:t>
      </w:r>
    </w:p>
    <w:p>
      <w:pPr>
        <w:spacing w:after="0" w:line="143"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6"/>
          <w:szCs w:val="16"/>
          <w:b w:val="1"/>
          <w:bCs w:val="1"/>
          <w:color w:val="auto"/>
        </w:rPr>
        <w:t>Performance Incentive Plans</w:t>
      </w:r>
      <w:r>
        <w:rPr>
          <w:rFonts w:ascii="Arial" w:cs="Arial" w:eastAsia="Arial" w:hAnsi="Arial"/>
          <w:sz w:val="16"/>
          <w:szCs w:val="16"/>
          <w:color w:val="auto"/>
        </w:rPr>
        <w:t>—The Company's Performance Incentive Plan ("iPIP") is designed to provide, primarily to senior executives and select</w:t>
      </w:r>
      <w:r>
        <w:rPr>
          <w:rFonts w:ascii="Arial" w:cs="Arial" w:eastAsia="Arial" w:hAnsi="Arial"/>
          <w:sz w:val="16"/>
          <w:szCs w:val="16"/>
          <w:b w:val="1"/>
          <w:bCs w:val="1"/>
          <w:color w:val="auto"/>
        </w:rPr>
        <w:t xml:space="preserve"> </w:t>
      </w:r>
      <w:r>
        <w:rPr>
          <w:rFonts w:ascii="Arial" w:cs="Arial" w:eastAsia="Arial" w:hAnsi="Arial"/>
          <w:sz w:val="16"/>
          <w:szCs w:val="16"/>
          <w:color w:val="auto"/>
        </w:rPr>
        <w:t>professionals engaged in the Company's investment activities, long-term compensation which has a direct relationship to the realized returns on investments included in the plan. The fair value of points is determined using a model that forecasts the Company's projected investment performance. iPIP is a liability-classified award which will be remeasured each reporting period at fair value until the awards are settled. The following is a summary of granted iPIP points.</w:t>
      </w:r>
    </w:p>
    <w:p>
      <w:pPr>
        <w:spacing w:after="0" w:line="142" w:lineRule="exact"/>
        <w:rPr>
          <w:sz w:val="20"/>
          <w:szCs w:val="20"/>
          <w:color w:val="auto"/>
        </w:rPr>
      </w:pPr>
    </w:p>
    <w:p>
      <w:pPr>
        <w:ind w:left="1360" w:hanging="299"/>
        <w:spacing w:after="0"/>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May 2014, the Company granted 73 iPIP points in the initial 2013-2014 investment pool.</w:t>
      </w:r>
    </w:p>
    <w:p>
      <w:pPr>
        <w:spacing w:after="0" w:line="198" w:lineRule="exact"/>
        <w:rPr>
          <w:rFonts w:ascii="Arial" w:cs="Arial" w:eastAsia="Arial" w:hAnsi="Arial"/>
          <w:sz w:val="18"/>
          <w:szCs w:val="18"/>
          <w:color w:val="auto"/>
        </w:rPr>
      </w:pPr>
    </w:p>
    <w:p>
      <w:pPr>
        <w:ind w:left="1300" w:hanging="239"/>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January 2015, the Company granted an additional 10 iPIP points in the 2013-2014 investment pool and 34 iPIP points in the 2015-2016 investment pool.</w:t>
      </w:r>
    </w:p>
    <w:p>
      <w:pPr>
        <w:sectPr>
          <w:pgSz w:w="11900" w:h="16838" w:orient="portrait"/>
          <w:cols w:equalWidth="0" w:num="1">
            <w:col w:w="11420"/>
          </w:cols>
          <w:pgMar w:left="240" w:top="121" w:right="2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300" w:hanging="239"/>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January 2016, the Company granted an additional 10 iPIP points in the 2013-2014 investment pool and an additional 40 iPIP points in the 2015-2016 investment pool.</w:t>
      </w:r>
    </w:p>
    <w:p>
      <w:pPr>
        <w:spacing w:after="0" w:line="129" w:lineRule="exact"/>
        <w:rPr>
          <w:rFonts w:ascii="Arial" w:cs="Arial" w:eastAsia="Arial" w:hAnsi="Arial"/>
          <w:sz w:val="18"/>
          <w:szCs w:val="18"/>
          <w:color w:val="auto"/>
        </w:rPr>
      </w:pPr>
    </w:p>
    <w:p>
      <w:pPr>
        <w:ind w:left="1300" w:hanging="239"/>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June 2016, the Company granted an additional 2.5 points in the 2015-2016 investment pool.</w:t>
      </w:r>
    </w:p>
    <w:p>
      <w:pPr>
        <w:spacing w:after="0" w:line="185"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As of June 30, 2016 and December 31, 2015, the Company had accrued compensation costs relating to iPIP of $19.8 million and $16.6 million, respectively, which are included in "Accounts payable, accrued expenses and other liabilities" on the Company's consolidated balance sheets.</w:t>
      </w:r>
    </w:p>
    <w:p>
      <w:pPr>
        <w:spacing w:after="0" w:line="102"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7"/>
          <w:szCs w:val="17"/>
          <w:b w:val="1"/>
          <w:bCs w:val="1"/>
          <w:color w:val="auto"/>
        </w:rPr>
        <w:t>Long-Term Incentive Plan</w:t>
      </w:r>
      <w:r>
        <w:rPr>
          <w:rFonts w:ascii="Arial" w:cs="Arial" w:eastAsia="Arial" w:hAnsi="Arial"/>
          <w:sz w:val="17"/>
          <w:szCs w:val="17"/>
          <w:color w:val="auto"/>
        </w:rPr>
        <w:t>—The Company's shareholders approved the Company's 2009 Long-Term Incentive Plan (the "2009 LTIP") which is</w:t>
      </w:r>
      <w:r>
        <w:rPr>
          <w:rFonts w:ascii="Arial" w:cs="Arial" w:eastAsia="Arial" w:hAnsi="Arial"/>
          <w:sz w:val="17"/>
          <w:szCs w:val="17"/>
          <w:b w:val="1"/>
          <w:bCs w:val="1"/>
          <w:color w:val="auto"/>
        </w:rPr>
        <w:t xml:space="preserve"> </w:t>
      </w:r>
      <w:r>
        <w:rPr>
          <w:rFonts w:ascii="Arial" w:cs="Arial" w:eastAsia="Arial" w:hAnsi="Arial"/>
          <w:sz w:val="17"/>
          <w:szCs w:val="17"/>
          <w:color w:val="auto"/>
        </w:rPr>
        <w:t>designed to provide incentive compensation for officers, key employees, directors and advisors of the Company. The 2009 LTIP provides for awards of stock options, shares of restricted stock, phantom shares, restricted stock units, dividend equivalent rights and other share-based performance awards. All awards under the 2009 LTIP are made at the discretion of the Company's Board of Directors or a committee of the Board of Directors.</w:t>
      </w:r>
    </w:p>
    <w:p>
      <w:pPr>
        <w:spacing w:after="0" w:line="12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2016, an aggregate of 3.6 million shares remain available for issuance pursuant to future awards under the Company's 2009 Long-Term Incentive Plan.</w:t>
      </w:r>
    </w:p>
    <w:p>
      <w:pPr>
        <w:spacing w:after="0" w:line="26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2007 Incentive Compensation Plan ("Incentive Plan") was approved and adopted by the Company's Board of Directors in 2007 in order to establish performance goals for selected officers and other key employees and to determine bonuses that will be awarded to those officers and other key employees based on the extent to which they achieve those performance goals. Equity-based awards may be made under the Incentive Plan, subject to the terms of the Company's equity incentive plans.</w:t>
      </w:r>
    </w:p>
    <w:p>
      <w:pPr>
        <w:spacing w:after="0" w:line="10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i w:val="1"/>
          <w:iCs w:val="1"/>
          <w:color w:val="auto"/>
        </w:rPr>
        <w:t>Restricted Share Issuances</w:t>
      </w:r>
      <w:r>
        <w:rPr>
          <w:rFonts w:ascii="Arial" w:cs="Arial" w:eastAsia="Arial" w:hAnsi="Arial"/>
          <w:sz w:val="16"/>
          <w:szCs w:val="16"/>
          <w:color w:val="auto"/>
        </w:rPr>
        <w:t>—During the six months ended June 30, 2016, the Company granted 92,057 shares of common stock to certain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2009 LTIP as part of annual incentive awards that included a mix of cash and equity awards. The shares are fully-vested and 58,667 shares were issued net of statutory minimum required tax withholdings. The employees are restricted from selling these shares for up to 18 months from the date of grant.</w:t>
      </w:r>
    </w:p>
    <w:p>
      <w:pPr>
        <w:spacing w:after="0" w:line="10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2016 Restricted Stock Unit Activity</w:t>
      </w:r>
      <w:r>
        <w:rPr>
          <w:rFonts w:ascii="Arial" w:cs="Arial" w:eastAsia="Arial" w:hAnsi="Arial"/>
          <w:sz w:val="18"/>
          <w:szCs w:val="18"/>
          <w:color w:val="auto"/>
        </w:rPr>
        <w:t>—During the six months ended June 30, 2016, the Company granted new stock-based compensation awards to</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employees in the form of long-term incentive awards, comprised of the following:</w:t>
      </w:r>
    </w:p>
    <w:p>
      <w:pPr>
        <w:spacing w:after="0" w:line="130" w:lineRule="exact"/>
        <w:rPr>
          <w:sz w:val="20"/>
          <w:szCs w:val="20"/>
          <w:color w:val="auto"/>
        </w:rPr>
      </w:pPr>
    </w:p>
    <w:p>
      <w:pPr>
        <w:jc w:val="both"/>
        <w:ind w:left="660" w:hanging="247"/>
        <w:spacing w:after="0" w:line="271"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20,000 fully-vested shares of the Company's common stock were granted on June 15, 2016 and 12,030 shares were issued as of that date, after deducting shares for minimum required statutory withholdings. In addition, 80,000 service-based Units were granted on June 15, 2016, representing the right to receive an equivalent number of shares of the Company's common stock (after deducting shares for minimum required statutory withholdings) if and when the Units vest. The Units will vest in equal annual installments over four years on each anniversary of the grant date, if the employee remains employed by the Company on the vesting date, subject to certain accelerated vesting rights. Upon vesting of these Units, the holder will receive shares of the Company's common stock in the amount of the vested Units, net of statutory minimum required tax withholdings. Dividends will accrue as and when dividends are declared by the Company on shares of its common stock, but will not be paid unless and until the Units vest and are settled. As of June 30, 2016, 80,000 of such service-based Units were outstanding.</w:t>
      </w:r>
    </w:p>
    <w:p>
      <w:pPr>
        <w:spacing w:after="0" w:line="138" w:lineRule="exact"/>
        <w:rPr>
          <w:rFonts w:ascii="Arial" w:cs="Arial" w:eastAsia="Arial" w:hAnsi="Arial"/>
          <w:sz w:val="17"/>
          <w:szCs w:val="17"/>
          <w:color w:val="auto"/>
        </w:rPr>
      </w:pPr>
    </w:p>
    <w:p>
      <w:pPr>
        <w:jc w:val="both"/>
        <w:ind w:left="660" w:hanging="247"/>
        <w:spacing w:after="0" w:line="27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122,817 service-based Units were granted on January 29, 2016, representing the right to receive an equivalent number of shares of the Company's common stock (after deducting shares for minimum required statutory withholdings) if and when the Units vest. The Units will cliff vest in one installment on December 31, 2018,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 As of June 30, 2016, 121,667 of such service-based Units were outstanding.</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2016, the Company had the following additional stock-based compensation awards outstanding:</w:t>
      </w:r>
    </w:p>
    <w:p>
      <w:pPr>
        <w:spacing w:after="0" w:line="225" w:lineRule="exact"/>
        <w:rPr>
          <w:sz w:val="20"/>
          <w:szCs w:val="20"/>
          <w:color w:val="auto"/>
        </w:rPr>
      </w:pPr>
    </w:p>
    <w:p>
      <w:pPr>
        <w:jc w:val="both"/>
        <w:ind w:left="660" w:hanging="247"/>
        <w:spacing w:after="0" w:line="297"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48,289 target amount of performance-based Units were granted on January 30, 2015, representing the right to receive an equivalent number of shares of the Company's common stock (after deducting shares for minimum required statutory withholdings) if and when the Units vest. The performance is based on the Company's TSR, measured over a performance period ending on December 31, 2017, which is the date the awards cliff vest. Vesting will range from 0% to 200% of the target amount of the awards, depending on the Company’s TSR performance relative to the NAREIT All REITs Index (one-half of the target amount of the award) and the Russell 2000 Index (one-half of the target amount of the award)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660"/>
        <w:spacing w:after="0" w:line="301" w:lineRule="auto"/>
        <w:rPr>
          <w:sz w:val="20"/>
          <w:szCs w:val="20"/>
          <w:color w:val="auto"/>
        </w:rPr>
      </w:pPr>
      <w:r>
        <w:rPr>
          <w:rFonts w:ascii="Arial" w:cs="Arial" w:eastAsia="Arial" w:hAnsi="Arial"/>
          <w:sz w:val="18"/>
          <w:szCs w:val="18"/>
          <w:color w:val="auto"/>
        </w:rPr>
        <w:t>during the performance period. The Company, as well as any companies not included in each index at the beginning and end of the performance period, are excluded from calculation of the performance of such index. To the extent Units vest based on the Company's TSR performance, holders will receive an equivalent number of shares of common stock (after deducting shares for minimum required statutory withholdings),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 The fair values of the performance-based Units were determined by utilizing a Monte Carlo model to simulate a range of possible future stock prices for the Company's common stock. The assumptions used to estimate the fair value of these performance-based awards were 0.75% for risk-free interest rate and 28.14% for expected stock price volatility.</w:t>
      </w:r>
    </w:p>
    <w:p>
      <w:pPr>
        <w:spacing w:after="0" w:line="125" w:lineRule="exact"/>
        <w:rPr>
          <w:sz w:val="20"/>
          <w:szCs w:val="20"/>
          <w:color w:val="auto"/>
        </w:rPr>
      </w:pPr>
    </w:p>
    <w:p>
      <w:pPr>
        <w:jc w:val="both"/>
        <w:ind w:left="660" w:hanging="247"/>
        <w:spacing w:after="0" w:line="25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60,637 service-based Units were granted on January 30, 2015, representing the right to receive an equivalent number of shares of the Company's common stock (after deducting shares for minimum required statutory withholdings) if and when the Units vest. The Units will cliff vest in one installment on December 31, 2017,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w:t>
      </w:r>
    </w:p>
    <w:p>
      <w:pPr>
        <w:spacing w:after="0" w:line="147" w:lineRule="exact"/>
        <w:rPr>
          <w:rFonts w:ascii="Arial" w:cs="Arial" w:eastAsia="Arial" w:hAnsi="Arial"/>
          <w:sz w:val="18"/>
          <w:szCs w:val="18"/>
          <w:color w:val="auto"/>
        </w:rPr>
      </w:pPr>
    </w:p>
    <w:p>
      <w:pPr>
        <w:jc w:val="both"/>
        <w:ind w:left="660" w:hanging="247"/>
        <w:spacing w:after="0" w:line="25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49,233 target amount of performance-based Units, granted on January 10, 2014, representing the right to receive an equivalent number of shares of the Company's common stock (after deducting shares for minimum required statutory withholdings) if and when the Units vest based on the Company’s TSR measured over a performance period ending on December 31, 2016, which is the date the awards cliff vest. The other terms of these performance-based Units are identical to the terms described above for the performance-based Units granted in 2015. The fair values of the performance-based Units were determined by utilizing a Monte Carlo model to simulate a range of possible future stock prices for the Company's common stock. The assumptions used to estimate the fair value of these performance-based awards were 0.76% for risk-free interest rate and 44.84% for expected stock price volatility.</w:t>
      </w:r>
    </w:p>
    <w:p>
      <w:pPr>
        <w:spacing w:after="0" w:line="148" w:lineRule="exact"/>
        <w:rPr>
          <w:rFonts w:ascii="Arial" w:cs="Arial" w:eastAsia="Arial" w:hAnsi="Arial"/>
          <w:sz w:val="18"/>
          <w:szCs w:val="18"/>
          <w:color w:val="auto"/>
        </w:rPr>
      </w:pPr>
    </w:p>
    <w:p>
      <w:pPr>
        <w:jc w:val="both"/>
        <w:ind w:left="660" w:hanging="247"/>
        <w:spacing w:after="0" w:line="25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61,857 service-based Units, granted on January 10, 2014, representing the right to receive an equivalent number of shares of the Company's common stock (after deducting shares for minimum required statutory withholdings) if and when the Units vest. The Units will cliff vest in one installment on December 31, 2016, if the employee remains employed by the Company on the vesting date, subject to certain accelerated vesting rights. Dividends will accrue as and when dividends are declared by the Company on shares of its common stock, but will not be paid unless and until the Units vest and are settled.</w:t>
      </w:r>
    </w:p>
    <w:p>
      <w:pPr>
        <w:spacing w:after="0" w:line="147" w:lineRule="exact"/>
        <w:rPr>
          <w:rFonts w:ascii="Arial" w:cs="Arial" w:eastAsia="Arial" w:hAnsi="Arial"/>
          <w:sz w:val="18"/>
          <w:szCs w:val="18"/>
          <w:color w:val="auto"/>
        </w:rPr>
      </w:pPr>
    </w:p>
    <w:p>
      <w:pPr>
        <w:jc w:val="both"/>
        <w:ind w:left="660" w:hanging="247"/>
        <w:spacing w:after="0" w:line="25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4,751 service-based Units granted on various dates, representing the right to receive an equivalent number of shares of the Company's common stock (after deducting shares for minimum required statutory withholdings) if and when the Units vest. The Units have an original vesting term of three years. Upon vesting of these Units, holders will receive shares of the Company's common stock in the amount of the vested Units, net of statutory minimum required tax withholdings. Dividends will accrue as and when dividends are declared by the Company on shares of its common stock, but will not be paid unless and until the Units vest and are settled.</w:t>
      </w:r>
    </w:p>
    <w:p>
      <w:pPr>
        <w:spacing w:after="0" w:line="14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b w:val="1"/>
          <w:bCs w:val="1"/>
          <w:color w:val="auto"/>
        </w:rPr>
        <w:t>Directors' Awards</w:t>
      </w:r>
      <w:r>
        <w:rPr>
          <w:rFonts w:ascii="Arial" w:cs="Arial" w:eastAsia="Arial" w:hAnsi="Arial"/>
          <w:sz w:val="18"/>
          <w:szCs w:val="18"/>
          <w:color w:val="auto"/>
        </w:rPr>
        <w:t>—During the six months ended June 30, 2016, the Company awarded to non-employee Directors 12,953 CSEs and 72,537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at a fair value per share of $9.65 at the time of grant. The CSEs and restricted shares have a vesting term of 7.5 months and one year, respectively. Dividends will accrue as and when dividends are declared by the Company on shares of its common stock, but will not be paid unless and until the CSEs and restricted shares of common stock vest and are settled. As of June 30, 2016, a combined total of 333,384 CSEs and restricted shares of common stock granted to members of the Company's Board of Directors remained outstanding under the Company's Non-Employee Directors Deferral Plan, with an aggregate intrinsic value of $3.2 million.</w:t>
      </w:r>
    </w:p>
    <w:p>
      <w:pPr>
        <w:spacing w:after="0" w:line="188"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401(k) Plan</w:t>
      </w:r>
      <w:r>
        <w:rPr>
          <w:rFonts w:ascii="Arial" w:cs="Arial" w:eastAsia="Arial" w:hAnsi="Arial"/>
          <w:sz w:val="18"/>
          <w:szCs w:val="18"/>
          <w:color w:val="auto"/>
        </w:rPr>
        <w:t>—The Company made gross contributions of $0.2 million and $0.8 million for the three and six months ended June 30, 2016, respectively,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and $0.1 million and $0.8 million for the three and six months ended June 30, 2015,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15—Earnings Per Share</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Earnings per share ("EPS") is calculated using the two-class method, which allocates earnings among common stock and participating securities to calculate EPS when an entity's capital structure includes either two or more classes of common stock or common stock and participating securities. HPU holders were current and former Company employees who purchased high</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performance common stock units under the Company's High Performance Unit Program. These HPU units were treated as a separate class of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of the Company's outstanding HPUs were repurchased and retired on August 13, 2015.</w:t>
      </w:r>
    </w:p>
    <w:p>
      <w:pPr>
        <w:spacing w:after="0" w:line="1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presents a reconciliation of income (loss) from continuing operations used in the basic and diluted EPS calculations ($ in thousands, except for per share data):</w:t>
      </w:r>
    </w:p>
    <w:p>
      <w:pPr>
        <w:spacing w:after="0" w:line="17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250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For the Three Months Ended June 30,</w:t>
            </w:r>
          </w:p>
        </w:tc>
        <w:tc>
          <w:tcPr>
            <w:tcW w:w="180" w:type="dxa"/>
            <w:vAlign w:val="bottom"/>
          </w:tcPr>
          <w:p>
            <w:pPr>
              <w:spacing w:after="0"/>
              <w:rPr>
                <w:sz w:val="16"/>
                <w:szCs w:val="16"/>
                <w:color w:val="auto"/>
              </w:rPr>
            </w:pPr>
          </w:p>
        </w:tc>
        <w:tc>
          <w:tcPr>
            <w:tcW w:w="242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94"/>
              </w:rPr>
              <w:t>For the Six Months Ended June 30,</w:t>
            </w:r>
          </w:p>
        </w:tc>
        <w:tc>
          <w:tcPr>
            <w:tcW w:w="0" w:type="dxa"/>
            <w:vAlign w:val="bottom"/>
          </w:tcPr>
          <w:p>
            <w:pPr>
              <w:spacing w:after="0"/>
              <w:rPr>
                <w:sz w:val="1"/>
                <w:szCs w:val="1"/>
                <w:color w:val="auto"/>
              </w:rPr>
            </w:pPr>
          </w:p>
        </w:tc>
      </w:tr>
      <w:tr>
        <w:trPr>
          <w:trHeight w:val="264"/>
        </w:trPr>
        <w:tc>
          <w:tcPr>
            <w:tcW w:w="62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(71,599)</w:t>
            </w:r>
          </w:p>
        </w:tc>
        <w:tc>
          <w:tcPr>
            <w:tcW w:w="0" w:type="dxa"/>
            <w:vAlign w:val="bottom"/>
          </w:tcPr>
          <w:p>
            <w:pPr>
              <w:spacing w:after="0"/>
              <w:rPr>
                <w:sz w:val="1"/>
                <w:szCs w:val="1"/>
                <w:color w:val="auto"/>
              </w:rPr>
            </w:pP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Income from sales of real estate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43,484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18,355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53,943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39,511</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Preferred dividends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(25,660)</w:t>
            </w:r>
          </w:p>
        </w:tc>
        <w:tc>
          <w:tcPr>
            <w:tcW w:w="0" w:type="dxa"/>
            <w:vAlign w:val="bottom"/>
          </w:tcPr>
          <w:p>
            <w:pPr>
              <w:spacing w:after="0"/>
              <w:rPr>
                <w:sz w:val="1"/>
                <w:szCs w:val="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Income (loss) from continuing operations attributable to iStar Inc. and allocable to</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common shareholders, HPU holders and Participating Security Holders for basic</w:t>
            </w: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38,132</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(31,977)</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16,944</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(55,278)</w:t>
            </w:r>
          </w:p>
        </w:tc>
        <w:tc>
          <w:tcPr>
            <w:tcW w:w="0" w:type="dxa"/>
            <w:vAlign w:val="bottom"/>
          </w:tcPr>
          <w:p>
            <w:pPr>
              <w:spacing w:after="0"/>
              <w:rPr>
                <w:sz w:val="1"/>
                <w:szCs w:val="1"/>
                <w:color w:val="auto"/>
              </w:rPr>
            </w:pPr>
          </w:p>
        </w:tc>
      </w:tr>
      <w:tr>
        <w:trPr>
          <w:trHeight w:val="244"/>
        </w:trPr>
        <w:tc>
          <w:tcPr>
            <w:tcW w:w="6240" w:type="dxa"/>
            <w:vAlign w:val="bottom"/>
            <w:tcBorders>
              <w:bottom w:val="single" w:sz="8" w:color="CCEEFF"/>
            </w:tcBorders>
            <w:shd w:val="clear" w:color="auto" w:fill="CCEEFF"/>
          </w:tcPr>
          <w:p>
            <w:pPr>
              <w:ind w:left="40"/>
              <w:spacing w:after="0" w:line="244" w:lineRule="exact"/>
              <w:rPr>
                <w:sz w:val="20"/>
                <w:szCs w:val="20"/>
                <w:color w:val="auto"/>
              </w:rPr>
            </w:pPr>
            <w:r>
              <w:rPr>
                <w:rFonts w:ascii="Arial" w:cs="Arial" w:eastAsia="Arial" w:hAnsi="Arial"/>
                <w:sz w:val="18"/>
                <w:szCs w:val="18"/>
                <w:color w:val="auto"/>
              </w:rPr>
              <w:t>earnings per common share</w:t>
            </w:r>
            <w:r>
              <w:rPr>
                <w:rFonts w:ascii="Arial" w:cs="Arial" w:eastAsia="Arial" w:hAnsi="Arial"/>
                <w:sz w:val="25"/>
                <w:szCs w:val="25"/>
                <w:color w:val="auto"/>
                <w:vertAlign w:val="superscript"/>
              </w:rPr>
              <w:t>(1)</w:t>
            </w: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40" w:type="dxa"/>
            <w:vAlign w:val="bottom"/>
          </w:tcPr>
          <w:p>
            <w:pPr>
              <w:ind w:left="180"/>
              <w:spacing w:after="0"/>
              <w:rPr>
                <w:sz w:val="20"/>
                <w:szCs w:val="20"/>
                <w:color w:val="auto"/>
              </w:rPr>
            </w:pPr>
            <w:r>
              <w:rPr>
                <w:rFonts w:ascii="Arial" w:cs="Arial" w:eastAsia="Arial" w:hAnsi="Arial"/>
                <w:sz w:val="18"/>
                <w:szCs w:val="18"/>
                <w:color w:val="auto"/>
              </w:rPr>
              <w:t>Add: effect of joint venture shares</w:t>
            </w:r>
          </w:p>
        </w:tc>
        <w:tc>
          <w:tcPr>
            <w:tcW w:w="28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Effect of 1.50% senior convertible unsecured notes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Add: Effect of 3.00% senior convertible unsecured notes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3,562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Effect of Series J convertible perpetual preferred stock</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240" w:type="dxa"/>
            <w:vAlign w:val="bottom"/>
          </w:tcPr>
          <w:p>
            <w:pPr>
              <w:ind w:left="40"/>
              <w:spacing w:after="0"/>
              <w:rPr>
                <w:sz w:val="20"/>
                <w:szCs w:val="20"/>
                <w:color w:val="auto"/>
              </w:rPr>
            </w:pPr>
            <w:r>
              <w:rPr>
                <w:rFonts w:ascii="Arial" w:cs="Arial" w:eastAsia="Arial" w:hAnsi="Arial"/>
                <w:sz w:val="18"/>
                <w:szCs w:val="18"/>
                <w:color w:val="auto"/>
                <w:w w:val="95"/>
              </w:rPr>
              <w:t>Income (loss) from continuing operations attributable to iStar Inc. and allocable to</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40"/>
              <w:spacing w:after="0"/>
              <w:rPr>
                <w:sz w:val="20"/>
                <w:szCs w:val="20"/>
                <w:color w:val="auto"/>
              </w:rPr>
            </w:pPr>
            <w:r>
              <w:rPr>
                <w:rFonts w:ascii="Arial" w:cs="Arial" w:eastAsia="Arial" w:hAnsi="Arial"/>
                <w:sz w:val="18"/>
                <w:szCs w:val="18"/>
                <w:color w:val="auto"/>
                <w:w w:val="95"/>
              </w:rPr>
              <w:t>common shareholders, HPU holders and Participating Security Holders for diluted</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2"/>
              <w:spacing w:after="0"/>
              <w:rPr>
                <w:sz w:val="20"/>
                <w:szCs w:val="20"/>
                <w:color w:val="auto"/>
              </w:rPr>
            </w:pPr>
            <w:r>
              <w:rPr>
                <w:rFonts w:ascii="Arial" w:cs="Arial" w:eastAsia="Arial" w:hAnsi="Arial"/>
                <w:sz w:val="18"/>
                <w:szCs w:val="18"/>
                <w:color w:val="auto"/>
              </w:rPr>
              <w:t>43,307</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(31,977)</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3"/>
              <w:spacing w:after="0"/>
              <w:rPr>
                <w:sz w:val="20"/>
                <w:szCs w:val="20"/>
                <w:color w:val="auto"/>
              </w:rPr>
            </w:pPr>
            <w:r>
              <w:rPr>
                <w:rFonts w:ascii="Arial" w:cs="Arial" w:eastAsia="Arial" w:hAnsi="Arial"/>
                <w:sz w:val="18"/>
                <w:szCs w:val="18"/>
                <w:color w:val="auto"/>
              </w:rPr>
              <w:t>22,785</w:t>
            </w:r>
          </w:p>
        </w:tc>
        <w:tc>
          <w:tcPr>
            <w:tcW w:w="120" w:type="dxa"/>
            <w:vAlign w:val="bottom"/>
          </w:tcPr>
          <w:p>
            <w:pPr>
              <w:spacing w:after="0"/>
              <w:rPr>
                <w:sz w:val="18"/>
                <w:szCs w:val="18"/>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(55,278)</w:t>
            </w:r>
          </w:p>
        </w:tc>
        <w:tc>
          <w:tcPr>
            <w:tcW w:w="0" w:type="dxa"/>
            <w:vAlign w:val="bottom"/>
          </w:tcPr>
          <w:p>
            <w:pPr>
              <w:spacing w:after="0"/>
              <w:rPr>
                <w:sz w:val="1"/>
                <w:szCs w:val="1"/>
                <w:color w:val="auto"/>
              </w:rPr>
            </w:pPr>
          </w:p>
        </w:tc>
      </w:tr>
      <w:tr>
        <w:trPr>
          <w:trHeight w:val="230"/>
        </w:trPr>
        <w:tc>
          <w:tcPr>
            <w:tcW w:w="624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28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8890</wp:posOffset>
            </wp:positionV>
            <wp:extent cx="32327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-98425</wp:posOffset>
            </wp:positionV>
            <wp:extent cx="32327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ind w:left="500" w:hanging="492"/>
        <w:spacing w:after="0" w:line="255" w:lineRule="auto"/>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For the three months ended June 30, 2016, includes income from continuing operations allocable to Participating Security Holders of $20 and $14 on a basic and dilutive basis. For the six months ended June 30, 2016, includes income from continuing operations allocable to Participating Security Holders of $11 on a basic and dilutive basis.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 June 30,</w:t>
            </w:r>
          </w:p>
        </w:tc>
        <w:tc>
          <w:tcPr>
            <w:tcW w:w="180" w:type="dxa"/>
            <w:vAlign w:val="bottom"/>
          </w:tcPr>
          <w:p>
            <w:pPr>
              <w:spacing w:after="0"/>
              <w:rPr>
                <w:sz w:val="16"/>
                <w:szCs w:val="16"/>
                <w:color w:val="auto"/>
              </w:rPr>
            </w:pPr>
          </w:p>
        </w:tc>
        <w:tc>
          <w:tcPr>
            <w:tcW w:w="244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4"/>
              </w:rPr>
              <w:t>For the Six Months Ended June 30,</w:t>
            </w:r>
          </w:p>
        </w:tc>
      </w:tr>
      <w:tr>
        <w:trPr>
          <w:trHeight w:val="264"/>
        </w:trPr>
        <w:tc>
          <w:tcPr>
            <w:tcW w:w="60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allocable to common shares: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Numerator for basic earnings per share: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Income (loss) from continuing operations attributable to iStar Inc. and allocable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 common shareholders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38,112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16,933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(53,502)</w:t>
            </w:r>
          </w:p>
        </w:tc>
      </w:tr>
      <w:tr>
        <w:trPr>
          <w:trHeight w:val="20"/>
        </w:trPr>
        <w:tc>
          <w:tcPr>
            <w:tcW w:w="6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r>
        <w:trPr>
          <w:trHeight w:val="297"/>
        </w:trPr>
        <w:tc>
          <w:tcPr>
            <w:tcW w:w="6200" w:type="dxa"/>
            <w:vAlign w:val="bottom"/>
            <w:gridSpan w:val="2"/>
          </w:tcPr>
          <w:p>
            <w:pPr>
              <w:ind w:left="180"/>
              <w:spacing w:after="0"/>
              <w:rPr>
                <w:sz w:val="20"/>
                <w:szCs w:val="20"/>
                <w:color w:val="auto"/>
              </w:rPr>
            </w:pPr>
            <w:r>
              <w:rPr>
                <w:rFonts w:ascii="Arial" w:cs="Arial" w:eastAsia="Arial" w:hAnsi="Arial"/>
                <w:sz w:val="18"/>
                <w:szCs w:val="18"/>
                <w:color w:val="auto"/>
                <w:w w:val="91"/>
              </w:rPr>
              <w:t>Net income (loss) attributable to iStar Inc. and allocable to common shareholders $</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38,112</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(30,950)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16,933</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(53,502)</w:t>
            </w:r>
          </w:p>
        </w:tc>
      </w:tr>
      <w:tr>
        <w:trPr>
          <w:trHeight w:val="311"/>
        </w:trPr>
        <w:tc>
          <w:tcPr>
            <w:tcW w:w="60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Numerator for diluted earnings per share: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Income (loss) from continuing operations attributable to iStar Inc. and allocable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 common shareholders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43,293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22,774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(53,502)</w:t>
            </w:r>
          </w:p>
        </w:tc>
      </w:tr>
      <w:tr>
        <w:trPr>
          <w:trHeight w:val="20"/>
        </w:trPr>
        <w:tc>
          <w:tcPr>
            <w:tcW w:w="6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r>
        <w:trPr>
          <w:trHeight w:val="297"/>
        </w:trPr>
        <w:tc>
          <w:tcPr>
            <w:tcW w:w="6200" w:type="dxa"/>
            <w:vAlign w:val="bottom"/>
            <w:gridSpan w:val="2"/>
          </w:tcPr>
          <w:p>
            <w:pPr>
              <w:ind w:left="180"/>
              <w:spacing w:after="0"/>
              <w:rPr>
                <w:sz w:val="20"/>
                <w:szCs w:val="20"/>
                <w:color w:val="auto"/>
              </w:rPr>
            </w:pPr>
            <w:r>
              <w:rPr>
                <w:rFonts w:ascii="Arial" w:cs="Arial" w:eastAsia="Arial" w:hAnsi="Arial"/>
                <w:sz w:val="18"/>
                <w:szCs w:val="18"/>
                <w:color w:val="auto"/>
                <w:w w:val="91"/>
              </w:rPr>
              <w:t>Net income (loss) attributable to iStar Inc. and allocable to common shareholders $</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43,293</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(30,950)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22,774</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(53,502)</w:t>
            </w:r>
          </w:p>
        </w:tc>
      </w:tr>
      <w:tr>
        <w:trPr>
          <w:trHeight w:val="311"/>
        </w:trPr>
        <w:tc>
          <w:tcPr>
            <w:tcW w:w="60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Denominator for basic and diluted earnings per share: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Weighted average common shares outstanding for basic earnings per common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73,984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85,541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75,522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85,519</w:t>
            </w: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w w:val="91"/>
              </w:rPr>
              <w:t>Add: Effect of assumed shares issued under treasury stock method for restricted</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stock units</w:t>
            </w:r>
          </w:p>
        </w:tc>
        <w:tc>
          <w:tcPr>
            <w:tcW w:w="14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Effect of joint venture shares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Add: Effect of 1.50% senior convertible unsecured notes</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11,567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11,567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Effect of 3.00% senior convertible unsecured notes</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16,992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16,992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 June 30,</w:t>
            </w:r>
          </w:p>
        </w:tc>
        <w:tc>
          <w:tcPr>
            <w:tcW w:w="180" w:type="dxa"/>
            <w:vAlign w:val="bottom"/>
          </w:tcPr>
          <w:p>
            <w:pPr>
              <w:spacing w:after="0"/>
              <w:rPr>
                <w:sz w:val="16"/>
                <w:szCs w:val="16"/>
                <w:color w:val="auto"/>
              </w:rPr>
            </w:pPr>
          </w:p>
        </w:tc>
        <w:tc>
          <w:tcPr>
            <w:tcW w:w="244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4"/>
              </w:rPr>
              <w:t>For the Six Months Ended June 30,</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Add: Effect of series J convertible perpetual preferred stock</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15,635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Weighted average common shares outstanding for diluted earnings per common</w:t>
            </w: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118,510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85,541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104,431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85,519</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w w:val="93"/>
              </w:rPr>
              <w:t>Income (loss) from continuing operations attributable to iStar Inc. and allocable</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to common 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7"/>
        </w:trPr>
        <w:tc>
          <w:tcPr>
            <w:tcW w:w="620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1"/>
              </w:rPr>
              <w:t>Net income (loss) attributable to iStar Inc. and allocable to common shareholders $</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324"/>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w w:val="93"/>
              </w:rPr>
              <w:t>Income (loss) from continuing operations attributable to iStar Inc. and allocable</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to common shareholders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7"/>
        </w:trPr>
        <w:tc>
          <w:tcPr>
            <w:tcW w:w="620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1"/>
              </w:rPr>
              <w:t>Net income (loss) attributable to iStar Inc. and allocable to common shareholders $</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Earnings allocable to High Performance Units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Numerator for basic and diluted earnings per HPU share: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iStar Inc. and allocable to HPU holders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Denominator for basic and diluted earnings per HPU share: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Weighted average High Performance Units outstanding for basic and diluted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per share</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84"/>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and diluted earnings per HPU share: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income (loss) attributable to iStar Inc. and allocable to HPU holders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(118.40)</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All of the Company's outstanding HPUs were repurchased and retired on August 13, 2015.</w:t>
      </w:r>
    </w:p>
    <w:p>
      <w:pPr>
        <w:spacing w:after="0" w:line="156"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color w:val="auto"/>
        </w:rPr>
        <w:t>For the three and six months ended June 30, 2016 and 2015, the following shares were not included in the diluted EPS calculation because they were anti-dilutive (in thousands)</w:t>
      </w:r>
      <w:r>
        <w:rPr>
          <w:rFonts w:ascii="Arial" w:cs="Arial" w:eastAsia="Arial" w:hAnsi="Arial"/>
          <w:sz w:val="25"/>
          <w:szCs w:val="25"/>
          <w:color w:val="auto"/>
          <w:vertAlign w:val="superscript"/>
        </w:rPr>
        <w:t>(1)(2)</w:t>
      </w:r>
      <w:r>
        <w:rPr>
          <w:rFonts w:ascii="Arial" w:cs="Arial" w:eastAsia="Arial" w:hAnsi="Arial"/>
          <w:sz w:val="18"/>
          <w:szCs w:val="18"/>
          <w:color w:val="auto"/>
        </w:rPr>
        <w: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7"/>
              </w:rPr>
              <w:t>For the Three Months Ended June 30,</w:t>
            </w:r>
          </w:p>
        </w:tc>
        <w:tc>
          <w:tcPr>
            <w:tcW w:w="100" w:type="dxa"/>
            <w:vAlign w:val="bottom"/>
          </w:tcPr>
          <w:p>
            <w:pPr>
              <w:spacing w:after="0"/>
              <w:rPr>
                <w:sz w:val="16"/>
                <w:szCs w:val="16"/>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For the Six Months Ended June 30,</w:t>
            </w:r>
          </w:p>
        </w:tc>
      </w:tr>
      <w:tr>
        <w:trPr>
          <w:trHeight w:val="264"/>
        </w:trPr>
        <w:tc>
          <w:tcPr>
            <w:tcW w:w="44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3.00% convertible senior unsecured notes</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16,992</w:t>
            </w: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Series J convertible perpetual preferred stock</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15,635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15,635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15,635</w:t>
            </w:r>
          </w:p>
        </w:tc>
      </w:tr>
      <w:tr>
        <w:trPr>
          <w:trHeight w:val="27"/>
        </w:trPr>
        <w:tc>
          <w:tcPr>
            <w:tcW w:w="4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1.50% convertible senior unsecured notes</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11,567</w:t>
            </w: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Joint venture shares</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298</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the three and six months ended June 30, 2015, the effect of the Company's unvested Units, performance-based Units, CSEs and restricted stock awards were anti-dilutive.</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the three and six months ended June 30, 2016, the effect of 54 and 103 unvested time and performance-based Units were anti-dilutive, respectively.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Values</w:t>
      </w:r>
    </w:p>
    <w:p>
      <w:pPr>
        <w:spacing w:after="0" w:line="18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Fair value represents the price that would be received to sell an asset or paid to transfer a liability in an orderly transaction between market participants at the measurement date. The following fair value hierarchy prioritizes the inputs to be used in valuation techniques to measure fair value:</w:t>
      </w:r>
    </w:p>
    <w:p>
      <w:pPr>
        <w:spacing w:after="0" w:line="106"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of the Company's assets and liabilities are recorded at fair value either on a recurring or non-recurring basis. Assets required to be marked-to-market and reported at fair value every reporting period are classified as being valued on a recurring basis.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 w:right="2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fair value hierarchy table summarizes the Company's assets and liabilities recorded at fair value on a recurring and non-recurring basis by the above categories ($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Fair Value Using</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Quoted market</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Significant other</w:t>
            </w:r>
          </w:p>
        </w:tc>
        <w:tc>
          <w:tcPr>
            <w:tcW w:w="180" w:type="dxa"/>
            <w:vAlign w:val="bottom"/>
          </w:tcPr>
          <w:p>
            <w:pPr>
              <w:spacing w:after="0"/>
              <w:rPr>
                <w:sz w:val="13"/>
                <w:szCs w:val="13"/>
                <w:color w:val="auto"/>
              </w:rPr>
            </w:pPr>
          </w:p>
        </w:tc>
        <w:tc>
          <w:tcPr>
            <w:tcW w:w="118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prices in</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1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2"/>
                <w:szCs w:val="12"/>
                <w:color w:val="auto"/>
              </w:rPr>
            </w:pPr>
          </w:p>
        </w:tc>
        <w:tc>
          <w:tcPr>
            <w:tcW w:w="11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18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2016</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Recurring basis: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Derivative assets</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line="270" w:lineRule="exact"/>
              <w:rPr>
                <w:sz w:val="20"/>
                <w:szCs w:val="20"/>
                <w:color w:val="auto"/>
              </w:rPr>
            </w:pPr>
            <w:r>
              <w:rPr>
                <w:rFonts w:ascii="Arial" w:cs="Arial" w:eastAsia="Arial" w:hAnsi="Arial"/>
                <w:sz w:val="18"/>
                <w:szCs w:val="18"/>
                <w:color w:val="auto"/>
              </w:rPr>
              <w:t>Derivative liabilities</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Available-for-sale securities</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5,981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5,981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Non-recurring basis: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Impaired loans</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line="270" w:lineRule="exact"/>
              <w:rPr>
                <w:sz w:val="20"/>
                <w:szCs w:val="20"/>
                <w:color w:val="auto"/>
              </w:rPr>
            </w:pPr>
            <w:r>
              <w:rPr>
                <w:rFonts w:ascii="Arial" w:cs="Arial" w:eastAsia="Arial" w:hAnsi="Arial"/>
                <w:sz w:val="18"/>
                <w:szCs w:val="18"/>
                <w:color w:val="auto"/>
              </w:rPr>
              <w:t>Impaired real estate</w:t>
            </w:r>
            <w:r>
              <w:rPr>
                <w:rFonts w:ascii="Arial" w:cs="Arial" w:eastAsia="Arial" w:hAnsi="Arial"/>
                <w:sz w:val="25"/>
                <w:szCs w:val="25"/>
                <w:color w:val="auto"/>
                <w:vertAlign w:val="superscript"/>
              </w:rPr>
              <w:t>(3)</w:t>
            </w:r>
          </w:p>
        </w:tc>
        <w:tc>
          <w:tcPr>
            <w:tcW w:w="32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37,681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37,681</w:t>
            </w:r>
          </w:p>
        </w:tc>
        <w:tc>
          <w:tcPr>
            <w:tcW w:w="0" w:type="dxa"/>
            <w:vAlign w:val="bottom"/>
          </w:tcPr>
          <w:p>
            <w:pPr>
              <w:spacing w:after="0"/>
              <w:rPr>
                <w:sz w:val="1"/>
                <w:szCs w:val="1"/>
                <w:color w:val="auto"/>
              </w:rPr>
            </w:pPr>
          </w:p>
        </w:tc>
      </w:tr>
      <w:tr>
        <w:trPr>
          <w:trHeight w:val="324"/>
        </w:trPr>
        <w:tc>
          <w:tcPr>
            <w:tcW w:w="5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Recurring basis: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line="270" w:lineRule="exact"/>
              <w:rPr>
                <w:sz w:val="20"/>
                <w:szCs w:val="20"/>
                <w:color w:val="auto"/>
              </w:rPr>
            </w:pPr>
            <w:r>
              <w:rPr>
                <w:rFonts w:ascii="Arial" w:cs="Arial" w:eastAsia="Arial" w:hAnsi="Arial"/>
                <w:sz w:val="18"/>
                <w:szCs w:val="18"/>
                <w:color w:val="auto"/>
              </w:rPr>
              <w:t>Derivative assets</w:t>
            </w:r>
            <w:r>
              <w:rPr>
                <w:rFonts w:ascii="Arial" w:cs="Arial" w:eastAsia="Arial" w:hAnsi="Arial"/>
                <w:sz w:val="25"/>
                <w:szCs w:val="25"/>
                <w:color w:val="auto"/>
                <w:vertAlign w:val="superscript"/>
              </w:rPr>
              <w:t>(1)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Derivative liabilities</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line="270" w:lineRule="exact"/>
              <w:rPr>
                <w:sz w:val="20"/>
                <w:szCs w:val="20"/>
                <w:color w:val="auto"/>
              </w:rPr>
            </w:pPr>
            <w:r>
              <w:rPr>
                <w:rFonts w:ascii="Arial" w:cs="Arial" w:eastAsia="Arial" w:hAnsi="Arial"/>
                <w:sz w:val="18"/>
                <w:szCs w:val="18"/>
                <w:color w:val="auto"/>
              </w:rPr>
              <w:t>Available-for-sale securities</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Non-recurring basis: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620" w:type="dxa"/>
            <w:vAlign w:val="bottom"/>
          </w:tcPr>
          <w:p>
            <w:pPr>
              <w:ind w:left="180"/>
              <w:spacing w:after="0" w:line="251" w:lineRule="exact"/>
              <w:rPr>
                <w:sz w:val="20"/>
                <w:szCs w:val="20"/>
                <w:color w:val="auto"/>
              </w:rPr>
            </w:pPr>
            <w:r>
              <w:rPr>
                <w:rFonts w:ascii="Arial" w:cs="Arial" w:eastAsia="Arial" w:hAnsi="Arial"/>
                <w:sz w:val="18"/>
                <w:szCs w:val="18"/>
                <w:color w:val="auto"/>
              </w:rPr>
              <w:t>Impaired loans</w:t>
            </w:r>
            <w:r>
              <w:rPr>
                <w:rFonts w:ascii="Arial" w:cs="Arial" w:eastAsia="Arial" w:hAnsi="Arial"/>
                <w:sz w:val="25"/>
                <w:szCs w:val="25"/>
                <w:color w:val="auto"/>
                <w:vertAlign w:val="superscript"/>
              </w:rPr>
              <w:t>(4)</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174"/>
        </w:trPr>
        <w:tc>
          <w:tcPr>
            <w:tcW w:w="5620" w:type="dxa"/>
            <w:vAlign w:val="bottom"/>
          </w:tcPr>
          <w:p>
            <w:pPr>
              <w:spacing w:after="0"/>
              <w:rPr>
                <w:sz w:val="20"/>
                <w:szCs w:val="20"/>
                <w:color w:val="auto"/>
              </w:rPr>
            </w:pPr>
            <w:r>
              <w:rPr>
                <w:rFonts w:ascii="Arial" w:cs="Arial" w:eastAsia="Arial" w:hAnsi="Arial"/>
                <w:sz w:val="14"/>
                <w:szCs w:val="14"/>
                <w:color w:val="auto"/>
              </w:rPr>
              <w:t>____________________________________________________________</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500" w:hanging="492"/>
        <w:spacing w:after="0" w:line="241"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fair value of the Company's derivatives are based upon widely accepted valuation techniques utilized by a third-party specialist using observable inputs such as interest rates and contractual cash flow and are classified as Level 2. The fair value of the Company's available-for-sale securities are based upon third-party broker quotes and are classified as Level 3. During the six months ended June 30, 2016, the Company acquired $4.4 million of available for sale securities. There were no other material changes in Level 3 assets and there were no transfers into/out of Level 3 for the six months ended June 30, 2016.</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Company recorded a provision for loan losses on one loan with a fair value of $5.2 million using an appraisal based on market comparable sales.</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Company recorded impairment on one real estate asset with a fair value of $37.7 million based on a discount rate of 11% using discounted cash flows over a two year sellout period.</w:t>
      </w:r>
    </w:p>
    <w:p>
      <w:pPr>
        <w:spacing w:after="0" w:line="12" w:lineRule="exact"/>
        <w:rPr>
          <w:rFonts w:ascii="Arial" w:cs="Arial" w:eastAsia="Arial" w:hAnsi="Arial"/>
          <w:sz w:val="13"/>
          <w:szCs w:val="13"/>
          <w:color w:val="auto"/>
        </w:rPr>
      </w:pPr>
    </w:p>
    <w:p>
      <w:pPr>
        <w:ind w:left="500" w:hanging="492"/>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Company recorded a provision for loan losses on one loan with a fair value of $3.2 million based on a discounted cash flow analysis using a discount rate of 14.3%.</w:t>
      </w:r>
    </w:p>
    <w:p>
      <w:pPr>
        <w:spacing w:after="0" w:line="152"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b w:val="1"/>
          <w:bCs w:val="1"/>
          <w:color w:val="auto"/>
        </w:rPr>
        <w:t>Fair values of financial instruments—</w:t>
      </w:r>
      <w:r>
        <w:rPr>
          <w:rFonts w:ascii="Arial" w:cs="Arial" w:eastAsia="Arial" w:hAnsi="Arial"/>
          <w:sz w:val="16"/>
          <w:szCs w:val="16"/>
          <w:color w:val="auto"/>
        </w:rPr>
        <w:t>The Company's estimated fair values of its loans receivable and other lending investments and outstanding debt</w:t>
      </w:r>
      <w:r>
        <w:rPr>
          <w:rFonts w:ascii="Arial" w:cs="Arial" w:eastAsia="Arial" w:hAnsi="Arial"/>
          <w:sz w:val="16"/>
          <w:szCs w:val="16"/>
          <w:b w:val="1"/>
          <w:bCs w:val="1"/>
          <w:color w:val="auto"/>
        </w:rPr>
        <w:t xml:space="preserve"> </w:t>
      </w:r>
      <w:r>
        <w:rPr>
          <w:rFonts w:ascii="Arial" w:cs="Arial" w:eastAsia="Arial" w:hAnsi="Arial"/>
          <w:sz w:val="16"/>
          <w:szCs w:val="16"/>
          <w:color w:val="auto"/>
        </w:rPr>
        <w:t>was $1.6 billion and $3.9 billion, respectively, as of June 30, 2016 and $1.6 billion and $4.3 billion, respectively, as of December 31, 2015. The Company determined that the significant inputs used to value its loans receivable and other lending investments and debt obligations fall within Level 3 of the fair value hierarchy. The carrying value of other financial instruments including cash and cash equivalents, restricted cash, accrued interest receivable and accounts payable, approximate the fair values of the instruments. Cash and cash equivalents and restricted cash values are considered Level 1 on the fair value hierarchy. The fair value of other financial instruments, including derivative assets and liabilities, are included in the fair value hierarchy table above.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17—Segment Reporting</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has determined that it has four reportable segments based on how management reviews and manages its business. These reportable segments include: Real Estate Finance, Net Lease, Operating Properties and Land and Development. The Real Estate Finance segment includes all of the Company's activities related to senior and mezzanine real estate loans and real estate related securities. The Net Lease segment includes the Company's activities and operations related to the ownership of properties generally leased to single corporate tenants. The Operating Properties segment includes the Company's activities and operations related to its commercial and residential properties. The Land and Development segment includes the Company's activities related to its developable land portfolio.</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evaluates performance based on the following financial measures for each segment. The Company's segment information is as follows ($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Lease</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Land and</w:t>
            </w:r>
          </w:p>
        </w:tc>
        <w:tc>
          <w:tcPr>
            <w:tcW w:w="13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w:t>
            </w:r>
            <w:r>
              <w:rPr>
                <w:rFonts w:ascii="Arial" w:cs="Arial" w:eastAsia="Arial" w:hAnsi="Arial"/>
                <w:sz w:val="8"/>
                <w:szCs w:val="8"/>
                <w:b w:val="1"/>
                <w:bCs w:val="1"/>
                <w:color w:val="auto"/>
              </w:rPr>
              <w:t>(1)</w:t>
            </w:r>
          </w:p>
        </w:tc>
        <w:tc>
          <w:tcPr>
            <w:tcW w:w="120" w:type="dxa"/>
            <w:vAlign w:val="bottom"/>
          </w:tcPr>
          <w:p>
            <w:pPr>
              <w:spacing w:after="0"/>
              <w:rPr>
                <w:sz w:val="14"/>
                <w:szCs w:val="14"/>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Company Total</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Development</w:t>
            </w:r>
          </w:p>
        </w:tc>
        <w:tc>
          <w:tcPr>
            <w:tcW w:w="136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 2016:</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36,585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17,828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54,518</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34,400</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7,213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961</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10,097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development revenue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27,888</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w w:val="96"/>
              </w:rPr>
              <w:t>Earnings (loss) from equity method investments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31,076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4,739</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39,447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real estate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39,146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43,484</w:t>
            </w: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8"/>
                <w:szCs w:val="18"/>
                <w:color w:val="auto"/>
              </w:rPr>
              <w:t>Total revenue and other earnings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34,723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42,300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95,263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31,848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5,700</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209,834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(35,438)</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Land development cost of sales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(17,262)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Allocated interest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(10,435)</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(56,047)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Allocated general and administrative</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40" w:type="dxa"/>
            <w:vAlign w:val="bottom"/>
            <w:tcBorders>
              <w:right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(18,032)</w:t>
            </w:r>
          </w:p>
        </w:tc>
        <w:tc>
          <w:tcPr>
            <w:tcW w:w="0" w:type="dxa"/>
            <w:vAlign w:val="bottom"/>
          </w:tcPr>
          <w:p>
            <w:pPr>
              <w:spacing w:after="0"/>
              <w:rPr>
                <w:sz w:val="1"/>
                <w:szCs w:val="1"/>
                <w:color w:val="auto"/>
              </w:rPr>
            </w:pPr>
          </w:p>
        </w:tc>
      </w:tr>
      <w:tr>
        <w:trPr>
          <w:trHeight w:val="304"/>
        </w:trPr>
        <w:tc>
          <w:tcPr>
            <w:tcW w:w="3740" w:type="dxa"/>
            <w:vAlign w:val="bottom"/>
            <w:tcBorders>
              <w:bottom w:val="single" w:sz="8" w:color="CCEEFF"/>
            </w:tcBorders>
          </w:tcPr>
          <w:p>
            <w:pPr>
              <w:ind w:left="500"/>
              <w:spacing w:after="0" w:line="264" w:lineRule="exact"/>
              <w:rPr>
                <w:sz w:val="20"/>
                <w:szCs w:val="20"/>
                <w:color w:val="auto"/>
              </w:rPr>
            </w:pPr>
            <w:r>
              <w:rPr>
                <w:rFonts w:ascii="Arial" w:cs="Arial" w:eastAsia="Arial" w:hAnsi="Arial"/>
                <w:sz w:val="18"/>
                <w:szCs w:val="18"/>
                <w:b w:val="1"/>
                <w:bCs w:val="1"/>
                <w:color w:val="auto"/>
              </w:rPr>
              <w:t>Segment profit (loss)</w:t>
            </w:r>
            <w:r>
              <w:rPr>
                <w:rFonts w:ascii="Arial" w:cs="Arial" w:eastAsia="Arial" w:hAnsi="Arial"/>
                <w:sz w:val="25"/>
                <w:szCs w:val="25"/>
                <w:b w:val="1"/>
                <w:bCs w:val="1"/>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15,381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16,795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66,980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(11,960)</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79,873</w:t>
            </w:r>
          </w:p>
        </w:tc>
        <w:tc>
          <w:tcPr>
            <w:tcW w:w="0" w:type="dxa"/>
            <w:vAlign w:val="bottom"/>
          </w:tcPr>
          <w:p>
            <w:pPr>
              <w:spacing w:after="0"/>
              <w:rPr>
                <w:sz w:val="1"/>
                <w:szCs w:val="1"/>
                <w:color w:val="auto"/>
              </w:rPr>
            </w:pPr>
          </w:p>
        </w:tc>
      </w:tr>
      <w:tr>
        <w:trPr>
          <w:trHeight w:val="231"/>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significant items: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00"/>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Impairment of assets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43"/>
        </w:trPr>
        <w:tc>
          <w:tcPr>
            <w:tcW w:w="37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8,778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274</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14,474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Capitalized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46,077</w:t>
            </w:r>
          </w:p>
        </w:tc>
        <w:tc>
          <w:tcPr>
            <w:tcW w:w="0" w:type="dxa"/>
            <w:vAlign w:val="bottom"/>
          </w:tcPr>
          <w:p>
            <w:pPr>
              <w:spacing w:after="0"/>
              <w:rPr>
                <w:sz w:val="1"/>
                <w:szCs w:val="1"/>
                <w:color w:val="auto"/>
              </w:rPr>
            </w:pPr>
          </w:p>
        </w:tc>
      </w:tr>
      <w:tr>
        <w:trPr>
          <w:trHeight w:val="297"/>
        </w:trPr>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 2015</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Operating lease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37,781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18,116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56,152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33,729</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10,591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1,097</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12,761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development revenue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w w:val="96"/>
              </w:rPr>
              <w:t>Earnings (loss) from equity method investments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2,358</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8,785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sales of real estate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18,355</w:t>
            </w: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8"/>
                <w:szCs w:val="18"/>
                <w:color w:val="auto"/>
              </w:rPr>
              <w:t>Total revenue and other earnings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34,527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44,695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42,233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11,415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3,455</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136,325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expense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(36,355)</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Land development cost of sales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(5,252)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Allocated interest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(9,395)</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(55,824)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Allocated general and administrative</w:t>
            </w:r>
            <w:r>
              <w:rPr>
                <w:rFonts w:ascii="Arial" w:cs="Arial" w:eastAsia="Arial" w:hAnsi="Arial"/>
                <w:sz w:val="25"/>
                <w:szCs w:val="25"/>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140" w:type="dxa"/>
            <w:vAlign w:val="bottom"/>
            <w:tcBorders>
              <w:right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(16,639)</w:t>
            </w:r>
          </w:p>
        </w:tc>
        <w:tc>
          <w:tcPr>
            <w:tcW w:w="0" w:type="dxa"/>
            <w:vAlign w:val="bottom"/>
          </w:tcPr>
          <w:p>
            <w:pPr>
              <w:spacing w:after="0"/>
              <w:rPr>
                <w:sz w:val="1"/>
                <w:szCs w:val="1"/>
                <w:color w:val="auto"/>
              </w:rPr>
            </w:pPr>
          </w:p>
        </w:tc>
      </w:tr>
      <w:tr>
        <w:trPr>
          <w:trHeight w:val="304"/>
        </w:trPr>
        <w:tc>
          <w:tcPr>
            <w:tcW w:w="3740" w:type="dxa"/>
            <w:vAlign w:val="bottom"/>
            <w:tcBorders>
              <w:bottom w:val="single" w:sz="8" w:color="CCEEFF"/>
            </w:tcBorders>
          </w:tcPr>
          <w:p>
            <w:pPr>
              <w:ind w:left="500"/>
              <w:spacing w:after="0" w:line="264" w:lineRule="exact"/>
              <w:rPr>
                <w:sz w:val="20"/>
                <w:szCs w:val="20"/>
                <w:color w:val="auto"/>
              </w:rPr>
            </w:pPr>
            <w:r>
              <w:rPr>
                <w:rFonts w:ascii="Arial" w:cs="Arial" w:eastAsia="Arial" w:hAnsi="Arial"/>
                <w:sz w:val="18"/>
                <w:szCs w:val="18"/>
                <w:b w:val="1"/>
                <w:bCs w:val="1"/>
                <w:color w:val="auto"/>
              </w:rPr>
              <w:t>Segment profit (loss)</w:t>
            </w:r>
            <w:r>
              <w:rPr>
                <w:rFonts w:ascii="Arial" w:cs="Arial" w:eastAsia="Arial" w:hAnsi="Arial"/>
                <w:sz w:val="25"/>
                <w:szCs w:val="25"/>
                <w:b w:val="1"/>
                <w:bCs w:val="1"/>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16,614</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18,564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9,607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(12,079)</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21,367</w:t>
            </w:r>
          </w:p>
        </w:tc>
        <w:tc>
          <w:tcPr>
            <w:tcW w:w="0" w:type="dxa"/>
            <w:vAlign w:val="bottom"/>
          </w:tcPr>
          <w:p>
            <w:pPr>
              <w:spacing w:after="0"/>
              <w:rPr>
                <w:sz w:val="1"/>
                <w:szCs w:val="1"/>
                <w:color w:val="auto"/>
              </w:rPr>
            </w:pPr>
          </w:p>
        </w:tc>
      </w:tr>
      <w:tr>
        <w:trPr>
          <w:trHeight w:val="231"/>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significant items: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200"/>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19,151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19,151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Impairment of assets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43"/>
        </w:trPr>
        <w:tc>
          <w:tcPr>
            <w:tcW w:w="37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9,409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5,446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15,516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expenditures</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21,749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27,465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50,983</w:t>
            </w:r>
          </w:p>
        </w:tc>
        <w:tc>
          <w:tcPr>
            <w:tcW w:w="0" w:type="dxa"/>
            <w:vAlign w:val="bottom"/>
          </w:tcPr>
          <w:p>
            <w:pPr>
              <w:spacing w:after="0"/>
              <w:rPr>
                <w:sz w:val="1"/>
                <w:szCs w:val="1"/>
                <w:color w:val="auto"/>
              </w:rPr>
            </w:pPr>
          </w:p>
        </w:tc>
      </w:tr>
      <w:tr>
        <w:trPr>
          <w:trHeight w:val="27"/>
        </w:trPr>
        <w:tc>
          <w:tcPr>
            <w:tcW w:w="3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Lease</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Land and</w:t>
            </w:r>
          </w:p>
        </w:tc>
        <w:tc>
          <w:tcPr>
            <w:tcW w:w="13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w:t>
            </w:r>
            <w:r>
              <w:rPr>
                <w:rFonts w:ascii="Arial" w:cs="Arial" w:eastAsia="Arial" w:hAnsi="Arial"/>
                <w:sz w:val="8"/>
                <w:szCs w:val="8"/>
                <w:b w:val="1"/>
                <w:bCs w:val="1"/>
                <w:color w:val="auto"/>
              </w:rPr>
              <w:t>(1)</w:t>
            </w:r>
          </w:p>
        </w:tc>
        <w:tc>
          <w:tcPr>
            <w:tcW w:w="120" w:type="dxa"/>
            <w:vAlign w:val="bottom"/>
          </w:tcPr>
          <w:p>
            <w:pPr>
              <w:spacing w:after="0"/>
              <w:rPr>
                <w:sz w:val="14"/>
                <w:szCs w:val="14"/>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Company Total</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Development</w:t>
            </w:r>
          </w:p>
        </w:tc>
        <w:tc>
          <w:tcPr>
            <w:tcW w:w="136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Six Months Ended June 30, 2016:</w:t>
            </w: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72,335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109,455</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67,620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67,620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21,637</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Land development revenue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42,835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42,835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Earnings (loss) from equity method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47,714</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Income from sales of real estate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9,267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44,676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53,943</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 and other earnings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127,076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343,204</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Real estate expense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(41,916)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(69,743)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development cost of sales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(28,838)</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(3,083)</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Allocated 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(21,539)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(113,068)</w:t>
            </w:r>
          </w:p>
        </w:tc>
        <w:tc>
          <w:tcPr>
            <w:tcW w:w="0" w:type="dxa"/>
            <w:vAlign w:val="bottom"/>
          </w:tcPr>
          <w:p>
            <w:pPr>
              <w:spacing w:after="0"/>
              <w:rPr>
                <w:sz w:val="1"/>
                <w:szCs w:val="1"/>
                <w:color w:val="auto"/>
              </w:rPr>
            </w:pPr>
          </w:p>
        </w:tc>
      </w:tr>
      <w:tr>
        <w:trPr>
          <w:trHeight w:val="270"/>
        </w:trPr>
        <w:tc>
          <w:tcPr>
            <w:tcW w:w="37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Allocated general and administrative</w:t>
            </w:r>
            <w:r>
              <w:rPr>
                <w:rFonts w:ascii="Arial" w:cs="Arial" w:eastAsia="Arial" w:hAnsi="Arial"/>
                <w:sz w:val="25"/>
                <w:szCs w:val="25"/>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(6,597)</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(10,226)</w:t>
            </w:r>
          </w:p>
        </w:tc>
        <w:tc>
          <w:tcPr>
            <w:tcW w:w="140" w:type="dxa"/>
            <w:vAlign w:val="bottom"/>
            <w:tcBorders>
              <w:bottom w:val="single" w:sz="8" w:color="CCEEFF"/>
              <w:right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(36,557)</w:t>
            </w:r>
          </w:p>
        </w:tc>
        <w:tc>
          <w:tcPr>
            <w:tcW w:w="0" w:type="dxa"/>
            <w:vAlign w:val="bottom"/>
          </w:tcPr>
          <w:p>
            <w:pPr>
              <w:spacing w:after="0"/>
              <w:rPr>
                <w:sz w:val="1"/>
                <w:szCs w:val="1"/>
                <w:color w:val="auto"/>
              </w:rPr>
            </w:pPr>
          </w:p>
        </w:tc>
      </w:tr>
      <w:tr>
        <w:trPr>
          <w:trHeight w:val="264"/>
        </w:trPr>
        <w:tc>
          <w:tcPr>
            <w:tcW w:w="3740" w:type="dxa"/>
            <w:vAlign w:val="bottom"/>
            <w:tcBorders>
              <w:bottom w:val="single" w:sz="8" w:color="CCEEFF"/>
            </w:tcBorders>
            <w:shd w:val="clear" w:color="auto" w:fill="CCEEFF"/>
          </w:tcPr>
          <w:p>
            <w:pPr>
              <w:ind w:left="500"/>
              <w:spacing w:after="0" w:line="264" w:lineRule="exact"/>
              <w:rPr>
                <w:sz w:val="20"/>
                <w:szCs w:val="20"/>
                <w:color w:val="auto"/>
              </w:rPr>
            </w:pPr>
            <w:r>
              <w:rPr>
                <w:rFonts w:ascii="Arial" w:cs="Arial" w:eastAsia="Arial" w:hAnsi="Arial"/>
                <w:sz w:val="18"/>
                <w:szCs w:val="18"/>
                <w:b w:val="1"/>
                <w:bCs w:val="1"/>
                <w:color w:val="auto"/>
              </w:rPr>
              <w:t>Segment profit (loss)</w:t>
            </w:r>
            <w:r>
              <w:rPr>
                <w:rFonts w:ascii="Arial" w:cs="Arial" w:eastAsia="Arial" w:hAnsi="Arial"/>
                <w:sz w:val="25"/>
                <w:szCs w:val="25"/>
                <w:b w:val="1"/>
                <w:bCs w:val="1"/>
                <w:color w:val="auto"/>
                <w:vertAlign w:val="superscript"/>
              </w:rPr>
              <w:t>(3)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31,451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69,183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(26,591)</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91,076</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40"/>
              <w:spacing w:after="0"/>
              <w:rPr>
                <w:sz w:val="20"/>
                <w:szCs w:val="20"/>
                <w:color w:val="auto"/>
              </w:rPr>
            </w:pPr>
            <w:r>
              <w:rPr>
                <w:rFonts w:ascii="Arial" w:cs="Arial" w:eastAsia="Arial" w:hAnsi="Arial"/>
                <w:sz w:val="18"/>
                <w:szCs w:val="18"/>
                <w:color w:val="auto"/>
              </w:rPr>
              <w:t>Other significant non-cash items: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for (recovery of) loan losses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43"/>
        </w:trPr>
        <w:tc>
          <w:tcPr>
            <w:tcW w:w="3740" w:type="dxa"/>
            <w:vAlign w:val="bottom"/>
          </w:tcPr>
          <w:p>
            <w:pPr>
              <w:ind w:left="200"/>
              <w:spacing w:after="0"/>
              <w:rPr>
                <w:sz w:val="20"/>
                <w:szCs w:val="20"/>
                <w:color w:val="auto"/>
              </w:rPr>
            </w:pPr>
            <w:r>
              <w:rPr>
                <w:rFonts w:ascii="Arial" w:cs="Arial" w:eastAsia="Arial" w:hAnsi="Arial"/>
                <w:sz w:val="18"/>
                <w:szCs w:val="18"/>
                <w:color w:val="auto"/>
              </w:rPr>
              <w:t>Impairment of assets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29,182</w:t>
            </w:r>
          </w:p>
        </w:tc>
        <w:tc>
          <w:tcPr>
            <w:tcW w:w="0" w:type="dxa"/>
            <w:vAlign w:val="bottom"/>
          </w:tcPr>
          <w:p>
            <w:pPr>
              <w:spacing w:after="0"/>
              <w:rPr>
                <w:sz w:val="1"/>
                <w:szCs w:val="1"/>
                <w:color w:val="auto"/>
              </w:rPr>
            </w:pPr>
          </w:p>
        </w:tc>
      </w:tr>
      <w:tr>
        <w:trPr>
          <w:trHeight w:val="243"/>
        </w:trPr>
        <w:tc>
          <w:tcPr>
            <w:tcW w:w="3740" w:type="dxa"/>
            <w:vAlign w:val="bottom"/>
          </w:tcPr>
          <w:p>
            <w:pPr>
              <w:ind w:left="200"/>
              <w:spacing w:after="0"/>
              <w:rPr>
                <w:sz w:val="20"/>
                <w:szCs w:val="20"/>
                <w:color w:val="auto"/>
              </w:rPr>
            </w:pPr>
            <w:r>
              <w:rPr>
                <w:rFonts w:ascii="Arial" w:cs="Arial" w:eastAsia="Arial" w:hAnsi="Arial"/>
                <w:sz w:val="18"/>
                <w:szCs w:val="18"/>
                <w:color w:val="auto"/>
              </w:rPr>
              <w:t>Capitalized expenditures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66,274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96,993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Six Months Ended June 30, 2015:</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115,291</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68,625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68,625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23,325</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Land development revenue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14,801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14,801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Earnings (loss) from equity method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15,332</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Income from sales of real estate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8,654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30,857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39,511</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 and other earnings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86,197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91,887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276,885</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Real estate expense</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(51,364)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(75,989)</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development cost of sales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(12,142)</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(2,791)</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Allocated 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(110,456)</w:t>
            </w:r>
          </w:p>
        </w:tc>
        <w:tc>
          <w:tcPr>
            <w:tcW w:w="0" w:type="dxa"/>
            <w:vAlign w:val="bottom"/>
          </w:tcPr>
          <w:p>
            <w:pPr>
              <w:spacing w:after="0"/>
              <w:rPr>
                <w:sz w:val="1"/>
                <w:szCs w:val="1"/>
                <w:color w:val="auto"/>
              </w:rPr>
            </w:pPr>
          </w:p>
        </w:tc>
      </w:tr>
      <w:tr>
        <w:trPr>
          <w:trHeight w:val="270"/>
        </w:trPr>
        <w:tc>
          <w:tcPr>
            <w:tcW w:w="37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Allocated general and administrative</w:t>
            </w:r>
            <w:r>
              <w:rPr>
                <w:rFonts w:ascii="Arial" w:cs="Arial" w:eastAsia="Arial" w:hAnsi="Arial"/>
                <w:sz w:val="25"/>
                <w:szCs w:val="25"/>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(11,511)</w:t>
            </w:r>
          </w:p>
        </w:tc>
        <w:tc>
          <w:tcPr>
            <w:tcW w:w="140" w:type="dxa"/>
            <w:vAlign w:val="bottom"/>
            <w:tcBorders>
              <w:bottom w:val="single" w:sz="8" w:color="CCEEFF"/>
              <w:right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(34,154)</w:t>
            </w:r>
          </w:p>
        </w:tc>
        <w:tc>
          <w:tcPr>
            <w:tcW w:w="0" w:type="dxa"/>
            <w:vAlign w:val="bottom"/>
          </w:tcPr>
          <w:p>
            <w:pPr>
              <w:spacing w:after="0"/>
              <w:rPr>
                <w:sz w:val="1"/>
                <w:szCs w:val="1"/>
                <w:color w:val="auto"/>
              </w:rPr>
            </w:pPr>
          </w:p>
        </w:tc>
      </w:tr>
      <w:tr>
        <w:trPr>
          <w:trHeight w:val="264"/>
        </w:trPr>
        <w:tc>
          <w:tcPr>
            <w:tcW w:w="3740" w:type="dxa"/>
            <w:vAlign w:val="bottom"/>
            <w:tcBorders>
              <w:bottom w:val="single" w:sz="8" w:color="CCEEFF"/>
            </w:tcBorders>
            <w:shd w:val="clear" w:color="auto" w:fill="CCEEFF"/>
          </w:tcPr>
          <w:p>
            <w:pPr>
              <w:ind w:left="500"/>
              <w:spacing w:after="0" w:line="264" w:lineRule="exact"/>
              <w:rPr>
                <w:sz w:val="20"/>
                <w:szCs w:val="20"/>
                <w:color w:val="auto"/>
              </w:rPr>
            </w:pPr>
            <w:r>
              <w:rPr>
                <w:rFonts w:ascii="Arial" w:cs="Arial" w:eastAsia="Arial" w:hAnsi="Arial"/>
                <w:sz w:val="18"/>
                <w:szCs w:val="18"/>
                <w:b w:val="1"/>
                <w:bCs w:val="1"/>
                <w:color w:val="auto"/>
              </w:rPr>
              <w:t>Segment profit (loss)</w:t>
            </w:r>
            <w:r>
              <w:rPr>
                <w:rFonts w:ascii="Arial" w:cs="Arial" w:eastAsia="Arial" w:hAnsi="Arial"/>
                <w:sz w:val="25"/>
                <w:szCs w:val="25"/>
                <w:b w:val="1"/>
                <w:bCs w:val="1"/>
                <w:color w:val="auto"/>
                <w:vertAlign w:val="superscript"/>
              </w:rPr>
              <w:t>(3)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34,230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34,200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22,341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41,133</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40"/>
              <w:spacing w:after="0"/>
              <w:rPr>
                <w:sz w:val="20"/>
                <w:szCs w:val="20"/>
                <w:color w:val="auto"/>
              </w:rPr>
            </w:pPr>
            <w:r>
              <w:rPr>
                <w:rFonts w:ascii="Arial" w:cs="Arial" w:eastAsia="Arial" w:hAnsi="Arial"/>
                <w:sz w:val="18"/>
                <w:szCs w:val="18"/>
                <w:color w:val="auto"/>
              </w:rPr>
              <w:t>Other significant non-cash items: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for (recovery of) loan losses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23,444</w:t>
            </w:r>
          </w:p>
        </w:tc>
        <w:tc>
          <w:tcPr>
            <w:tcW w:w="0" w:type="dxa"/>
            <w:vAlign w:val="bottom"/>
          </w:tcPr>
          <w:p>
            <w:pPr>
              <w:spacing w:after="0"/>
              <w:rPr>
                <w:sz w:val="1"/>
                <w:szCs w:val="1"/>
                <w:color w:val="auto"/>
              </w:rPr>
            </w:pPr>
          </w:p>
        </w:tc>
      </w:tr>
      <w:tr>
        <w:trPr>
          <w:trHeight w:val="243"/>
        </w:trPr>
        <w:tc>
          <w:tcPr>
            <w:tcW w:w="3740" w:type="dxa"/>
            <w:vAlign w:val="bottom"/>
          </w:tcPr>
          <w:p>
            <w:pPr>
              <w:ind w:left="200"/>
              <w:spacing w:after="0"/>
              <w:rPr>
                <w:sz w:val="20"/>
                <w:szCs w:val="20"/>
                <w:color w:val="auto"/>
              </w:rPr>
            </w:pPr>
            <w:r>
              <w:rPr>
                <w:rFonts w:ascii="Arial" w:cs="Arial" w:eastAsia="Arial" w:hAnsi="Arial"/>
                <w:sz w:val="18"/>
                <w:szCs w:val="18"/>
                <w:color w:val="auto"/>
              </w:rPr>
              <w:t>Impairment of assets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34,017</w:t>
            </w:r>
          </w:p>
        </w:tc>
        <w:tc>
          <w:tcPr>
            <w:tcW w:w="0" w:type="dxa"/>
            <w:vAlign w:val="bottom"/>
          </w:tcPr>
          <w:p>
            <w:pPr>
              <w:spacing w:after="0"/>
              <w:rPr>
                <w:sz w:val="1"/>
                <w:szCs w:val="1"/>
                <w:color w:val="auto"/>
              </w:rPr>
            </w:pPr>
          </w:p>
        </w:tc>
      </w:tr>
      <w:tr>
        <w:trPr>
          <w:trHeight w:val="270"/>
        </w:trPr>
        <w:tc>
          <w:tcPr>
            <w:tcW w:w="3740" w:type="dxa"/>
            <w:vAlign w:val="bottom"/>
          </w:tcPr>
          <w:p>
            <w:pPr>
              <w:ind w:left="200"/>
              <w:spacing w:after="0"/>
              <w:rPr>
                <w:sz w:val="20"/>
                <w:szCs w:val="20"/>
                <w:color w:val="auto"/>
              </w:rPr>
            </w:pPr>
            <w:r>
              <w:rPr>
                <w:rFonts w:ascii="Arial" w:cs="Arial" w:eastAsia="Arial" w:hAnsi="Arial"/>
                <w:sz w:val="18"/>
                <w:szCs w:val="18"/>
                <w:color w:val="auto"/>
              </w:rPr>
              <w:t>Capitalized expenditures</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31,843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49,845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83,802</w:t>
            </w:r>
          </w:p>
        </w:tc>
        <w:tc>
          <w:tcPr>
            <w:tcW w:w="0" w:type="dxa"/>
            <w:vAlign w:val="bottom"/>
          </w:tcPr>
          <w:p>
            <w:pPr>
              <w:spacing w:after="0"/>
              <w:rPr>
                <w:sz w:val="1"/>
                <w:szCs w:val="1"/>
                <w:color w:val="auto"/>
              </w:rPr>
            </w:pPr>
          </w:p>
        </w:tc>
      </w:tr>
      <w:tr>
        <w:trPr>
          <w:trHeight w:val="459"/>
        </w:trPr>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EE"/>
        </w:rPr>
        <w:t>Table of Contents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Lease</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Land and</w:t>
            </w:r>
          </w:p>
        </w:tc>
        <w:tc>
          <w:tcPr>
            <w:tcW w:w="13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Corporate/Other</w:t>
            </w:r>
            <w:r>
              <w:rPr>
                <w:rFonts w:ascii="Arial" w:cs="Arial" w:eastAsia="Arial" w:hAnsi="Arial"/>
                <w:sz w:val="8"/>
                <w:szCs w:val="8"/>
                <w:b w:val="1"/>
                <w:bCs w:val="1"/>
                <w:color w:val="auto"/>
              </w:rPr>
              <w:t>(1)</w:t>
            </w:r>
          </w:p>
        </w:tc>
        <w:tc>
          <w:tcPr>
            <w:tcW w:w="120" w:type="dxa"/>
            <w:vAlign w:val="bottom"/>
          </w:tcPr>
          <w:p>
            <w:pPr>
              <w:spacing w:after="0"/>
              <w:rPr>
                <w:sz w:val="14"/>
                <w:szCs w:val="14"/>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Company Total</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Finance</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Properties</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Development</w:t>
            </w:r>
          </w:p>
        </w:tc>
        <w:tc>
          <w:tcPr>
            <w:tcW w:w="1360" w:type="dxa"/>
            <w:vAlign w:val="bottom"/>
            <w:tcBorders>
              <w:right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7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right w:val="single" w:sz="8" w:color="auto"/>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As of June 30, 2016</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color w:val="auto"/>
              </w:rPr>
              <w:t>Real estate,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1,081,825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354,095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1,435,920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available and held for sale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126,070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126,070</w:t>
            </w: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8"/>
                <w:szCs w:val="18"/>
                <w:color w:val="auto"/>
              </w:rPr>
              <w:t>Total real estate</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1,081,825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480,165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1,561,990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1,046,013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1,046,013</w:t>
            </w:r>
          </w:p>
        </w:tc>
        <w:tc>
          <w:tcPr>
            <w:tcW w:w="0" w:type="dxa"/>
            <w:vAlign w:val="bottom"/>
          </w:tcPr>
          <w:p>
            <w:pPr>
              <w:spacing w:after="0"/>
              <w:rPr>
                <w:sz w:val="1"/>
                <w:szCs w:val="1"/>
                <w:color w:val="auto"/>
              </w:rPr>
            </w:pPr>
          </w:p>
        </w:tc>
      </w:tr>
      <w:tr>
        <w:trPr>
          <w:trHeight w:val="229"/>
        </w:trPr>
        <w:tc>
          <w:tcPr>
            <w:tcW w:w="3740" w:type="dxa"/>
            <w:vAlign w:val="bottom"/>
          </w:tcPr>
          <w:p>
            <w:pPr>
              <w:ind w:left="40"/>
              <w:spacing w:after="0"/>
              <w:rPr>
                <w:sz w:val="20"/>
                <w:szCs w:val="20"/>
                <w:color w:val="auto"/>
              </w:rPr>
            </w:pPr>
            <w:r>
              <w:rPr>
                <w:rFonts w:ascii="Arial" w:cs="Arial" w:eastAsia="Arial" w:hAnsi="Arial"/>
                <w:sz w:val="18"/>
                <w:szCs w:val="18"/>
                <w:color w:val="auto"/>
                <w:w w:val="95"/>
              </w:rPr>
              <w:t>Loans receivable and other lending 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4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1,568,439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1,568,439</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67,895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88,874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58,922</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228,756</w:t>
            </w:r>
          </w:p>
        </w:tc>
        <w:tc>
          <w:tcPr>
            <w:tcW w:w="0" w:type="dxa"/>
            <w:vAlign w:val="bottom"/>
          </w:tcPr>
          <w:p>
            <w:pPr>
              <w:spacing w:after="0"/>
              <w:rPr>
                <w:sz w:val="1"/>
                <w:szCs w:val="1"/>
                <w:color w:val="auto"/>
              </w:rPr>
            </w:pPr>
          </w:p>
        </w:tc>
      </w:tr>
      <w:tr>
        <w:trPr>
          <w:trHeight w:val="297"/>
        </w:trPr>
        <w:tc>
          <w:tcPr>
            <w:tcW w:w="3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portfolio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1,568,439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1,149,720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493,230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1,134,887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58,922</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112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4,405,198</w:t>
            </w:r>
          </w:p>
        </w:tc>
        <w:tc>
          <w:tcPr>
            <w:tcW w:w="0" w:type="dxa"/>
            <w:vAlign w:val="bottom"/>
          </w:tcPr>
          <w:p>
            <w:pPr>
              <w:spacing w:after="0"/>
              <w:rPr>
                <w:sz w:val="1"/>
                <w:szCs w:val="1"/>
                <w:color w:val="auto"/>
              </w:rPr>
            </w:pPr>
          </w:p>
        </w:tc>
      </w:tr>
      <w:tr>
        <w:trPr>
          <w:trHeight w:val="25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804,199</w:t>
            </w:r>
          </w:p>
        </w:tc>
        <w:tc>
          <w:tcPr>
            <w:tcW w:w="0" w:type="dxa"/>
            <w:vAlign w:val="bottom"/>
          </w:tcPr>
          <w:p>
            <w:pPr>
              <w:spacing w:after="0"/>
              <w:rPr>
                <w:sz w:val="1"/>
                <w:szCs w:val="1"/>
                <w:color w:val="auto"/>
              </w:rPr>
            </w:pPr>
          </w:p>
        </w:tc>
      </w:tr>
      <w:tr>
        <w:trPr>
          <w:trHeight w:val="297"/>
        </w:trPr>
        <w:tc>
          <w:tcPr>
            <w:tcW w:w="3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5,209,397</w:t>
            </w:r>
          </w:p>
        </w:tc>
        <w:tc>
          <w:tcPr>
            <w:tcW w:w="0" w:type="dxa"/>
            <w:vAlign w:val="bottom"/>
          </w:tcPr>
          <w:p>
            <w:pPr>
              <w:spacing w:after="0"/>
              <w:rPr>
                <w:sz w:val="1"/>
                <w:szCs w:val="1"/>
                <w:color w:val="auto"/>
              </w:rPr>
            </w:pPr>
          </w:p>
        </w:tc>
      </w:tr>
      <w:tr>
        <w:trPr>
          <w:trHeight w:val="284"/>
        </w:trPr>
        <w:tc>
          <w:tcPr>
            <w:tcW w:w="3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120"/>
              <w:spacing w:after="0"/>
              <w:rPr>
                <w:sz w:val="20"/>
                <w:szCs w:val="20"/>
                <w:color w:val="auto"/>
              </w:rPr>
            </w:pPr>
            <w:r>
              <w:rPr>
                <w:rFonts w:ascii="Arial" w:cs="Arial" w:eastAsia="Arial" w:hAnsi="Arial"/>
                <w:sz w:val="18"/>
                <w:szCs w:val="18"/>
                <w:color w:val="auto"/>
              </w:rPr>
              <w:t>Real estate,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1,112,479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481,504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1,593,983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Real estate available and held for sale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137,274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137,274</w:t>
            </w:r>
          </w:p>
        </w:tc>
        <w:tc>
          <w:tcPr>
            <w:tcW w:w="0" w:type="dxa"/>
            <w:vAlign w:val="bottom"/>
          </w:tcPr>
          <w:p>
            <w:pPr>
              <w:spacing w:after="0"/>
              <w:rPr>
                <w:sz w:val="1"/>
                <w:szCs w:val="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8"/>
                <w:szCs w:val="18"/>
                <w:color w:val="auto"/>
              </w:rPr>
              <w:t>Total real estate</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1,112,479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618,778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1,731,257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1,001,963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1,001,963</w:t>
            </w:r>
          </w:p>
        </w:tc>
        <w:tc>
          <w:tcPr>
            <w:tcW w:w="0" w:type="dxa"/>
            <w:vAlign w:val="bottom"/>
          </w:tcPr>
          <w:p>
            <w:pPr>
              <w:spacing w:after="0"/>
              <w:rPr>
                <w:sz w:val="1"/>
                <w:szCs w:val="1"/>
                <w:color w:val="auto"/>
              </w:rPr>
            </w:pPr>
          </w:p>
        </w:tc>
      </w:tr>
      <w:tr>
        <w:trPr>
          <w:trHeight w:val="229"/>
        </w:trPr>
        <w:tc>
          <w:tcPr>
            <w:tcW w:w="3740" w:type="dxa"/>
            <w:vAlign w:val="bottom"/>
          </w:tcPr>
          <w:p>
            <w:pPr>
              <w:ind w:left="40"/>
              <w:spacing w:after="0"/>
              <w:rPr>
                <w:sz w:val="20"/>
                <w:szCs w:val="20"/>
                <w:color w:val="auto"/>
              </w:rPr>
            </w:pPr>
            <w:r>
              <w:rPr>
                <w:rFonts w:ascii="Arial" w:cs="Arial" w:eastAsia="Arial" w:hAnsi="Arial"/>
                <w:sz w:val="18"/>
                <w:szCs w:val="18"/>
                <w:color w:val="auto"/>
                <w:w w:val="95"/>
              </w:rPr>
              <w:t>Loans receivable and other lending investments,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4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1,601,985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1,601,985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69,096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100,419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73,533</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254,172</w:t>
            </w:r>
          </w:p>
        </w:tc>
        <w:tc>
          <w:tcPr>
            <w:tcW w:w="0" w:type="dxa"/>
            <w:vAlign w:val="bottom"/>
          </w:tcPr>
          <w:p>
            <w:pPr>
              <w:spacing w:after="0"/>
              <w:rPr>
                <w:sz w:val="1"/>
                <w:szCs w:val="1"/>
                <w:color w:val="auto"/>
              </w:rPr>
            </w:pPr>
          </w:p>
        </w:tc>
      </w:tr>
      <w:tr>
        <w:trPr>
          <w:trHeight w:val="297"/>
        </w:trPr>
        <w:tc>
          <w:tcPr>
            <w:tcW w:w="3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portfolio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1,601,985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1,181,575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629,902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1,102,382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73,533</w:t>
            </w:r>
          </w:p>
        </w:tc>
        <w:tc>
          <w:tcPr>
            <w:tcW w:w="140" w:type="dxa"/>
            <w:vAlign w:val="bottom"/>
            <w:tcBorders>
              <w:bottom w:val="single" w:sz="8" w:color="CCEEFF"/>
              <w:right w:val="single" w:sz="8" w:color="auto"/>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112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4,589,377</w:t>
            </w:r>
          </w:p>
        </w:tc>
        <w:tc>
          <w:tcPr>
            <w:tcW w:w="0" w:type="dxa"/>
            <w:vAlign w:val="bottom"/>
          </w:tcPr>
          <w:p>
            <w:pPr>
              <w:spacing w:after="0"/>
              <w:rPr>
                <w:sz w:val="1"/>
                <w:szCs w:val="1"/>
                <w:color w:val="auto"/>
              </w:rPr>
            </w:pPr>
          </w:p>
        </w:tc>
      </w:tr>
      <w:tr>
        <w:trPr>
          <w:trHeight w:val="25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1,008,415</w:t>
            </w:r>
          </w:p>
        </w:tc>
        <w:tc>
          <w:tcPr>
            <w:tcW w:w="0" w:type="dxa"/>
            <w:vAlign w:val="bottom"/>
          </w:tcPr>
          <w:p>
            <w:pPr>
              <w:spacing w:after="0"/>
              <w:rPr>
                <w:sz w:val="1"/>
                <w:szCs w:val="1"/>
                <w:color w:val="auto"/>
              </w:rPr>
            </w:pPr>
          </w:p>
        </w:tc>
      </w:tr>
      <w:tr>
        <w:trPr>
          <w:trHeight w:val="257"/>
        </w:trPr>
        <w:tc>
          <w:tcPr>
            <w:tcW w:w="374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5,597,792</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6445250</wp:posOffset>
            </wp:positionH>
            <wp:positionV relativeFrom="paragraph">
              <wp:posOffset>-98425</wp:posOffset>
            </wp:positionV>
            <wp:extent cx="8058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ind w:left="500" w:hanging="492"/>
        <w:spacing w:after="0" w:line="241" w:lineRule="auto"/>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Corporate/Other represents all corporate level and unallocated items including any intercompany eliminations necessary to reconcile to consolidated Company totals. This caption also includes the Company's joint venture investments and strategic investments that are not included in the other reportable segments above.</w:t>
      </w:r>
    </w:p>
    <w:p>
      <w:pPr>
        <w:ind w:left="500" w:right="20" w:hanging="492"/>
        <w:spacing w:after="0" w:line="241" w:lineRule="auto"/>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General and administrative excludes stock-based compensation expense of $1.6 million and $6.2 million for the three and six months ended June 30, 2016, respectively, and $3.9 million and $7.2 million for the three and six months ended June 30, 2015, respectively.</w:t>
      </w:r>
    </w:p>
    <w:p>
      <w:pPr>
        <w:ind w:left="500" w:hanging="492"/>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following is a reconciliation of segment profit to net income (loss) ($ in thousands):</w:t>
      </w:r>
    </w:p>
    <w:p>
      <w:pPr>
        <w:spacing w:after="0" w:line="215"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5"/>
          </w:tcPr>
          <w:p>
            <w:pPr>
              <w:spacing w:after="0"/>
              <w:rPr>
                <w:sz w:val="20"/>
                <w:szCs w:val="20"/>
                <w:color w:val="auto"/>
              </w:rPr>
            </w:pPr>
            <w:r>
              <w:rPr>
                <w:rFonts w:ascii="Arial" w:cs="Arial" w:eastAsia="Arial" w:hAnsi="Arial"/>
                <w:sz w:val="14"/>
                <w:szCs w:val="14"/>
                <w:b w:val="1"/>
                <w:bCs w:val="1"/>
                <w:color w:val="auto"/>
              </w:rPr>
              <w:t>For the Three Months Ended June 30,</w:t>
            </w:r>
          </w:p>
        </w:tc>
        <w:tc>
          <w:tcPr>
            <w:tcW w:w="140" w:type="dxa"/>
            <w:vAlign w:val="bottom"/>
          </w:tcPr>
          <w:p>
            <w:pPr>
              <w:spacing w:after="0"/>
              <w:rPr>
                <w:sz w:val="16"/>
                <w:szCs w:val="16"/>
                <w:color w:val="auto"/>
              </w:rPr>
            </w:pPr>
          </w:p>
        </w:tc>
        <w:tc>
          <w:tcPr>
            <w:tcW w:w="238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w w:val="94"/>
              </w:rPr>
              <w:t>For the Six Months Ended June 30,</w:t>
            </w:r>
          </w:p>
        </w:tc>
      </w:tr>
      <w:tr>
        <w:trPr>
          <w:trHeight w:val="264"/>
        </w:trPr>
        <w:tc>
          <w:tcPr>
            <w:tcW w:w="41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r>
      <w:tr>
        <w:trPr>
          <w:trHeight w:val="25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79,873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91,076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41,133</w:t>
            </w:r>
          </w:p>
        </w:tc>
      </w:tr>
      <w:tr>
        <w:trPr>
          <w:trHeight w:val="264"/>
        </w:trPr>
        <w:tc>
          <w:tcPr>
            <w:tcW w:w="4160" w:type="dxa"/>
            <w:vAlign w:val="bottom"/>
          </w:tcPr>
          <w:p>
            <w:pPr>
              <w:ind w:left="20"/>
              <w:spacing w:after="0"/>
              <w:rPr>
                <w:sz w:val="20"/>
                <w:szCs w:val="20"/>
                <w:color w:val="auto"/>
              </w:rPr>
            </w:pPr>
            <w:r>
              <w:rPr>
                <w:rFonts w:ascii="Arial" w:cs="Arial" w:eastAsia="Arial" w:hAnsi="Arial"/>
                <w:sz w:val="14"/>
                <w:szCs w:val="14"/>
                <w:color w:val="auto"/>
              </w:rPr>
              <w:t>Less: (Provision for) loan losses</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(19,151)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(2,206)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(23,444)</w:t>
            </w:r>
          </w:p>
        </w:tc>
      </w:tr>
      <w:tr>
        <w:trPr>
          <w:trHeight w:val="27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Impairment of assets</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w:t>
            </w:r>
          </w:p>
        </w:tc>
      </w:tr>
      <w:tr>
        <w:trPr>
          <w:trHeight w:val="264"/>
        </w:trPr>
        <w:tc>
          <w:tcPr>
            <w:tcW w:w="4160" w:type="dxa"/>
            <w:vAlign w:val="bottom"/>
          </w:tcPr>
          <w:p>
            <w:pPr>
              <w:ind w:left="20"/>
              <w:spacing w:after="0"/>
              <w:rPr>
                <w:sz w:val="20"/>
                <w:szCs w:val="20"/>
                <w:color w:val="auto"/>
              </w:rPr>
            </w:pPr>
            <w:r>
              <w:rPr>
                <w:rFonts w:ascii="Arial" w:cs="Arial" w:eastAsia="Arial" w:hAnsi="Arial"/>
                <w:sz w:val="14"/>
                <w:szCs w:val="14"/>
                <w:color w:val="auto"/>
              </w:rPr>
              <w:t>Less: Stock-based compensation expense</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(1,633)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(6,211)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(7,186)</w:t>
            </w:r>
          </w:p>
        </w:tc>
      </w:tr>
      <w:tr>
        <w:trPr>
          <w:trHeight w:val="276"/>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Depreciation and amortization</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(14,474)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(29,182)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(34,017)</w:t>
            </w:r>
          </w:p>
        </w:tc>
      </w:tr>
      <w:tr>
        <w:trPr>
          <w:trHeight w:val="264"/>
        </w:trPr>
        <w:tc>
          <w:tcPr>
            <w:tcW w:w="4160" w:type="dxa"/>
            <w:vAlign w:val="bottom"/>
          </w:tcPr>
          <w:p>
            <w:pPr>
              <w:ind w:left="20"/>
              <w:spacing w:after="0"/>
              <w:rPr>
                <w:sz w:val="20"/>
                <w:szCs w:val="20"/>
                <w:color w:val="auto"/>
              </w:rPr>
            </w:pPr>
            <w:r>
              <w:rPr>
                <w:rFonts w:ascii="Arial" w:cs="Arial" w:eastAsia="Arial" w:hAnsi="Arial"/>
                <w:sz w:val="14"/>
                <w:szCs w:val="14"/>
                <w:color w:val="auto"/>
              </w:rPr>
              <w:t>Less: Income tax benefit (expense)</w:t>
            </w:r>
          </w:p>
        </w:tc>
        <w:tc>
          <w:tcPr>
            <w:tcW w:w="10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1,190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1,604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(6,688)</w:t>
            </w:r>
          </w:p>
        </w:tc>
      </w:tr>
      <w:tr>
        <w:trPr>
          <w:trHeight w:val="270"/>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 on early extinguishment of debt, net</w:t>
            </w:r>
          </w:p>
        </w:tc>
        <w:tc>
          <w:tcPr>
            <w:tcW w:w="1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r>
      <w:tr>
        <w:trPr>
          <w:trHeight w:val="243"/>
        </w:trPr>
        <w:tc>
          <w:tcPr>
            <w:tcW w:w="41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59,787</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(19,776)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50,487</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(32,088)</w:t>
            </w:r>
          </w:p>
        </w:tc>
      </w:tr>
      <w:tr>
        <w:trPr>
          <w:trHeight w:val="20"/>
        </w:trPr>
        <w:tc>
          <w:tcPr>
            <w:tcW w:w="4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iStar Inc.'s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10-Q and the uncertainties and risks described in Item 1A—"Risk Factors" in our 2015 Annual Report, all of which could affect our future results of operations, financial condition and liquidity. For purposes of Management's Discussion and Analysis of Financial Condition and Results of Operations, the terms "we," "our" and "us" refer to iStar Inc. and its consolidated subsidiaries, unless the context indicates otherwise.</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discussion below should be read in conjunction with our consolidated financial statements and related notes in this quarterly report on Form 10-Q and our 2015 Annual Report. These historical financial statements may not be indicative of our future performance. We have reclassified certain items in our consolidated financial statements of prior periods to conform to our current financial statements presentation.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iStar Inc., doing business as "iStar," finances, invests in and develops real estate and real estate related projects as part of its fully-integrated investment platform. We have invested more than $35 billion over the past two decades and are structured as a real estate investment trust ("REIT") with a diversified portfolio focused on larger assets located in major metropolitan markets. Our primary business segments are real estate finance, land and development, net lease and operating properties.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continued to originate investments within our core business segments of real estate finance and net lease, which we anticipate should drive future revenue growth. In addition, we have made significant investments within our operating property and land and development portfolios in order to maximize asset value and better position assets for sale. Through strategic ventures, we have partnered with other providers of capital within our net lease segment and with developers with residential building expertise within our land and development segment. We expect these partnerships to have a positive impact on our business.</w:t>
      </w:r>
    </w:p>
    <w:p>
      <w:pPr>
        <w:spacing w:after="0" w:line="14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Access to the capital markets has allowed us to extend our debt maturity profile and remain primarily an unsecured borrower. In June 2016, we entered into a senior secured credit facility of $450.0 million. Proceeds from this credit facility were primarily used to repay in full the $323.2 million 2012 Secured Tranche A-2 Facility (see "Liquidity and Capital Resources") and pay down the 2015 Secured Revolving Credit Facility (see "Liquidity and Capital Resources"). In March 2016, we repaid our $261.4 million 5.875% senior unsecured notes at maturity using available cash and we issued $275.0 million principal amount of 6.50% senior unsecured notes due July 2021. Proceeds from the offering were primarily used to repay in full the $265.0 million principal amount of senior unsecured notes due July 2016 and repay $5.0 million of the 2015 Secured Revolving Credit Facility. As of June 30, 2016, we had $521.4 million of cash, which we expect to use primarily to repay debt and fund future investment activities.</w:t>
      </w:r>
    </w:p>
    <w:p>
      <w:pPr>
        <w:spacing w:after="0" w:line="13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During the three months ended June 30, 2016, three of our four business segments, including real estate finance, net lease and operating properties, contributed positively to our earnings. We continue to work on repositioning or redeveloping our transitional operating properties and progressing on the entitlement and development of our land assets in order to maximize their value. We intend to continue these efforts, with the objective of having these assets contribute positively to earnings in the future. For the three months ended June 30, 2016, we recorded net income allocable to common shareholders of $38.1 million, compared to a net loss of $31.0 million during the same period in the prior year. Adjusted income allocable to common shareholders for the three months ended June 30, 2016 was $61.1 million, compared to $9.1 million during the same period in the prior year.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2016 compared to the Three Months Ended June 30, 2015</w:t>
      </w:r>
    </w:p>
    <w:p>
      <w:pPr>
        <w:spacing w:after="0" w:line="342"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Three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4"/>
        </w:trPr>
        <w:tc>
          <w:tcPr>
            <w:tcW w:w="47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56,152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34,400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33,729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671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Land development revenue</w:t>
            </w:r>
          </w:p>
        </w:tc>
        <w:tc>
          <w:tcPr>
            <w:tcW w:w="28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27,888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6,543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21,345</w:t>
            </w:r>
          </w:p>
        </w:tc>
        <w:tc>
          <w:tcPr>
            <w:tcW w:w="1680" w:type="dxa"/>
            <w:vAlign w:val="bottom"/>
            <w:gridSpan w:val="2"/>
          </w:tcPr>
          <w:p>
            <w:pPr>
              <w:jc w:val="right"/>
              <w:ind w:right="159"/>
              <w:spacing w:after="0"/>
              <w:rPr>
                <w:sz w:val="20"/>
                <w:szCs w:val="20"/>
                <w:color w:val="auto"/>
              </w:rPr>
            </w:pPr>
            <w:r>
              <w:rPr>
                <w:rFonts w:ascii="Arial" w:cs="Arial" w:eastAsia="Arial" w:hAnsi="Arial"/>
                <w:sz w:val="18"/>
                <w:szCs w:val="18"/>
                <w:color w:val="auto"/>
              </w:rPr>
              <w:t>&gt;100%</w:t>
            </w:r>
          </w:p>
        </w:tc>
      </w:tr>
      <w:tr>
        <w:trPr>
          <w:trHeight w:val="27"/>
        </w:trPr>
        <w:tc>
          <w:tcPr>
            <w:tcW w:w="4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64"/>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126,903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109,185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17,718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56,047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55,824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36,355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Land development cost of sales</w:t>
            </w:r>
          </w:p>
        </w:tc>
        <w:tc>
          <w:tcPr>
            <w:tcW w:w="28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17,262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5,252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12,010</w:t>
            </w:r>
          </w:p>
        </w:tc>
        <w:tc>
          <w:tcPr>
            <w:tcW w:w="1680" w:type="dxa"/>
            <w:vAlign w:val="bottom"/>
            <w:gridSpan w:val="2"/>
          </w:tcPr>
          <w:p>
            <w:pPr>
              <w:jc w:val="right"/>
              <w:ind w:right="159"/>
              <w:spacing w:after="0"/>
              <w:rPr>
                <w:sz w:val="20"/>
                <w:szCs w:val="20"/>
                <w:color w:val="auto"/>
              </w:rPr>
            </w:pPr>
            <w:r>
              <w:rPr>
                <w:rFonts w:ascii="Arial" w:cs="Arial" w:eastAsia="Arial" w:hAnsi="Arial"/>
                <w:sz w:val="18"/>
                <w:szCs w:val="18"/>
                <w:color w:val="auto"/>
              </w:rPr>
              <w:t>&gt;100%</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19,665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20,586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loan losses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(18,451)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Impairment of assets</w:t>
            </w:r>
          </w:p>
        </w:tc>
        <w:tc>
          <w:tcPr>
            <w:tcW w:w="28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3,012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1,338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80 %</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2,294</w:t>
            </w:r>
          </w:p>
        </w:tc>
        <w:tc>
          <w:tcPr>
            <w:tcW w:w="16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&gt;100%</w:t>
            </w:r>
          </w:p>
        </w:tc>
      </w:tr>
      <w:tr>
        <w:trPr>
          <w:trHeight w:val="237"/>
        </w:trPr>
        <w:tc>
          <w:tcPr>
            <w:tcW w:w="476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149,780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155,246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 net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6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&gt;(100%)</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Earnings from equity method investments</w:t>
            </w:r>
          </w:p>
        </w:tc>
        <w:tc>
          <w:tcPr>
            <w:tcW w:w="28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39,447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8,785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30,662</w:t>
            </w:r>
          </w:p>
        </w:tc>
        <w:tc>
          <w:tcPr>
            <w:tcW w:w="1680" w:type="dxa"/>
            <w:vAlign w:val="bottom"/>
            <w:gridSpan w:val="2"/>
          </w:tcPr>
          <w:p>
            <w:pPr>
              <w:jc w:val="right"/>
              <w:ind w:right="159"/>
              <w:spacing w:after="0"/>
              <w:rPr>
                <w:sz w:val="20"/>
                <w:szCs w:val="20"/>
                <w:color w:val="auto"/>
              </w:rPr>
            </w:pPr>
            <w:r>
              <w:rPr>
                <w:rFonts w:ascii="Arial" w:cs="Arial" w:eastAsia="Arial" w:hAnsi="Arial"/>
                <w:sz w:val="18"/>
                <w:szCs w:val="18"/>
                <w:color w:val="auto"/>
              </w:rPr>
              <w:t>&gt;100%</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2,001</w:t>
            </w:r>
          </w:p>
        </w:tc>
        <w:tc>
          <w:tcPr>
            <w:tcW w:w="16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&gt;(100%)</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Income from sales of real estate</w:t>
            </w:r>
          </w:p>
        </w:tc>
        <w:tc>
          <w:tcPr>
            <w:tcW w:w="28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43,484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18,355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25,129</w:t>
            </w:r>
          </w:p>
        </w:tc>
        <w:tc>
          <w:tcPr>
            <w:tcW w:w="1680" w:type="dxa"/>
            <w:vAlign w:val="bottom"/>
            <w:gridSpan w:val="2"/>
          </w:tcPr>
          <w:p>
            <w:pPr>
              <w:jc w:val="right"/>
              <w:ind w:right="159"/>
              <w:spacing w:after="0"/>
              <w:rPr>
                <w:sz w:val="20"/>
                <w:szCs w:val="20"/>
                <w:color w:val="auto"/>
              </w:rPr>
            </w:pPr>
            <w:r>
              <w:rPr>
                <w:rFonts w:ascii="Arial" w:cs="Arial" w:eastAsia="Arial" w:hAnsi="Arial"/>
                <w:sz w:val="18"/>
                <w:szCs w:val="18"/>
                <w:color w:val="auto"/>
              </w:rPr>
              <w:t>&gt;100%</w:t>
            </w:r>
          </w:p>
        </w:tc>
      </w:tr>
      <w:tr>
        <w:trPr>
          <w:trHeight w:val="27"/>
        </w:trPr>
        <w:tc>
          <w:tcPr>
            <w:tcW w:w="4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59,787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79,563</w:t>
            </w:r>
          </w:p>
        </w:tc>
        <w:tc>
          <w:tcPr>
            <w:tcW w:w="16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&gt;100%</w:t>
            </w:r>
          </w:p>
        </w:tc>
      </w:tr>
      <w:tr>
        <w:trPr>
          <w:trHeight w:val="20"/>
        </w:trPr>
        <w:tc>
          <w:tcPr>
            <w:tcW w:w="4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—Operating lease income, which primarily includes income from net lease assets and commercial operating properties, decreased to $54.5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June 30, 2016 from $56.2 million for the same period in 2015.</w:t>
      </w:r>
    </w:p>
    <w:p>
      <w:pPr>
        <w:spacing w:after="0" w:line="17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Operating lease income from net lease assets decreased to $36.6 million during the three months ended June 30, 2016 from $37.8 million for the same period in 2015. The decrease was primarily due to the sale of net lease assets in 2015 and 2016, partially offset by the execution of new leases. Operating lease income from same store net lease assets, defined as net lease assets we owned on or prior to April 1, 2015 and were in service through June 30, 2016, increased to $36.3 million during the three months ended June 30, 2016 from $35.5 million for the same period in 2015, an increase of 2.3%. This increase was primarily due to an increase in rent per occupied square foot to $10.24 for the three months ended June 30, 2016 from $10.04 for the same period in 2015, and an increase in the occupancy rate, which was 98.0% as of June 30, 2016 and 97.7% as of June 30, 2015.</w:t>
      </w:r>
    </w:p>
    <w:p>
      <w:pPr>
        <w:spacing w:after="0" w:line="17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Operating lease income from commercial operating properties decreased to $17.8 million during the three months ended June 30, 2016 from $18.1 million for the same period in 2015. The decrease was primarily due to commercial operating property sales in 2015 and 2016 partially offset by the execution of new leases. Operating lease income from same store commercial operating properties, defined as commercial operating properties, excluding hotels and marinas, which we owned on or prior to April 1, 2015 and were in service through June 30, 2016, increased to $12.3 million during the three months ended June 30, 2016 from $11.7 million for the same period in 2015, due primarily to an increase in occupancy rates, which was 71.9% as of June 30, 2016 and 71.3% as of June 30, 2015, and an increase in rent per occupied square foot to $24.57 for the three months ended June 30, 2016 from $23.49 for the same period in 2015. Ancillary operating lease income for residential operating properties and land and development assets decreased slightly for the three months ended June 30, 2016 to $0.1 million from $0.3 million for the same period in 2015.</w:t>
      </w:r>
    </w:p>
    <w:p>
      <w:pPr>
        <w:spacing w:after="0" w:line="1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Interest income increased to $34.4 million during the three months ended June 30, 2016 from $33.7 million for the same period in 2015. The increase was due primarily to an increase in the average balance of our performing loans, which increased to $1.62 billion in 2016 from $1.55 billion in 2015. The weighted average yield on our performing loans decreased to 8.4% for the three months ended June 30, 2016 from 8.7% for the same period in 2015, due primarily to the repayment of loans with higher interest rates.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income decreased to $10.1 million during the three months ended June 30, 2016 from $12.8 million for the same period in 2015. The decrease was primarily due to a guarantor settlement on an operating property recognized in 2015 partially offset by revenue from operations at one of our hotel properties that commenced operations in the second quarter of 2016.</w:t>
      </w:r>
    </w:p>
    <w:p>
      <w:pPr>
        <w:spacing w:after="0" w:line="14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i w:val="1"/>
          <w:iCs w:val="1"/>
          <w:color w:val="auto"/>
        </w:rPr>
        <w:t>Land development revenue and cost of sales</w:t>
      </w:r>
      <w:r>
        <w:rPr>
          <w:rFonts w:ascii="Arial" w:cs="Arial" w:eastAsia="Arial" w:hAnsi="Arial"/>
          <w:sz w:val="17"/>
          <w:szCs w:val="17"/>
          <w:color w:val="auto"/>
        </w:rPr>
        <w:t>—During the three months ended June 30, 2016, we sold residential lots and units and recognized land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revenue of $27.9 million which had associated cost of sales of $17.3 million. We also recognized earnings from equity method investments of $2.7 million from unconsolidated land and development investments, resulting in total gross margin from our land and development portfolio of $13.3 million. During the three months ended June 30, 2015, we sold residential lots and units and recognized land development revenue of $6.5 million which had associated cost of sales of $5.3 million. We also recognized earnings from equity method investments of $4.5 million from unconsolidated land and development investments, resulting in total gross margin from our land and development portfolio of $5.7 million. The increase in 2016 from the same period in 2015 was primarily due to the progression of our land and development projects.</w:t>
      </w:r>
    </w:p>
    <w:p>
      <w:pPr>
        <w:spacing w:after="0" w:line="13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b w:val="1"/>
          <w:bCs w:val="1"/>
          <w:i w:val="1"/>
          <w:iCs w:val="1"/>
          <w:color w:val="auto"/>
        </w:rPr>
        <w:t>Costs and expenses</w:t>
      </w:r>
      <w:r>
        <w:rPr>
          <w:rFonts w:ascii="Arial" w:cs="Arial" w:eastAsia="Arial" w:hAnsi="Arial"/>
          <w:sz w:val="17"/>
          <w:szCs w:val="17"/>
          <w:color w:val="auto"/>
        </w:rPr>
        <w:t>—Interest expense increased to $56.0 million during the three months ended June 30, 2016 from $55.8 million for the same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2015 due to an increase in our weighted average cost of debt. Our weighted average effective cost of debt was 5.6% and 5.4% for the three months ended June 30, 2016 and 2015, respectively. The increase in interest expense was partially offset by the average balance of our outstanding debt, which decreased to $4.08 billion for the three months ended June 30, 2016 from $4.13 billion for the same period in 2015.</w:t>
      </w:r>
    </w:p>
    <w:p>
      <w:pPr>
        <w:spacing w:after="0" w:line="13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Real estate expenses decreased to $35.4 million during the three months ended June 30, 2016 from $36.4 million for the same period in 2015. The decrease was due primarily to expenses for commercial operating properties which decreased to $18.6 million during the three months ended June 30, 2016 from $20.1 million for the same period in 2015. This decrease was primarily due to operating property sales during 2015 and 2016. Expenses from same store commercial operating properties, excluding hotels and marinas, increased to $8.6 million from $8.1 million for the same period in 2015. Expenses associated with residential units decreased to $2.2 million during the three months ended June 30, 2016 from $3.8 million for the same period in 2015 due to the sale of residential units since June 30, 2015. Expenses for net lease assets decreased to $4.7 million during the three months ended June 30, 2016 from $5.6 million for the same period in 2015 due primarily to the sale of net lease assets in 2015 and 2016. Expenses from same store net lease assets decreased to $4.4 million from $4.7 million for the same period in 2015. These decreases were offset by an increase in carry costs and other expenses on our land assets, which increased to $9.9 million during the three months ended June 30, 2016 from $6.9 million for the same period in 2015, primarily due to an increase in costs incurred on certain land assets prior to development.</w:t>
      </w:r>
    </w:p>
    <w:p>
      <w:pPr>
        <w:spacing w:after="0" w:line="1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Depreciation and amortization decreased to $14.5 million during the three months ended June 30, 2016 from $15.5 million for the same period in 2015, primarily due to the sale of net lease and commercial operating properties in 2015 and 2016.</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General and administrative expenses decreased to $19.7 million during the three months ended June 30, 2016 from $20.6 million for the same period in 2015, primarily due to a decrease in compensation expense related to our iPIP plans.</w:t>
      </w:r>
    </w:p>
    <w:p>
      <w:pPr>
        <w:spacing w:after="0" w:line="13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net provision for loan losses was $0.7 million during the three months ended June 30, 2016 as compared to $19.2 million for the same period in 2015. Included in the net provision for the three months ended June 30, 2016 were provisions of $0.3 million in the specific reserve due to one non-performing loan and $0.4 million in the general reserve primarily due to new investment originations and additional fundings and a weakening of risk ratings on certain performing loans, which were offset by payoffs and loans being classified to non-performing status to evaluate for asset-specific reserves. Included in the net provision for the three months ended June 30, 2015 were specific reserves of $30.0 million due primarily to a new non-performing loan, offset by a decrease of $10.8 million in the general reserve due to an overall improvement in the risk ratings of our loan portfolio.</w:t>
      </w:r>
    </w:p>
    <w:p>
      <w:pPr>
        <w:spacing w:after="0" w:line="13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months ended June 30, 2016, we recorded recorded an impairment of $3.0 million on a residential operating property resulting from a slowdown in the local condominium real estate market. During the three months ended June 30, 2015, we recorded an impairment on a commercial operating property totaling $1.7 million resulting from a change in business strategy.</w:t>
      </w:r>
    </w:p>
    <w:p>
      <w:pPr>
        <w:spacing w:after="0" w:line="14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expense increased to $3.2 million during the three months ended June 30, 2016 from $0.9 million for the same period in 2015. The increase was primarily the result of $1.8 million of third party expenses incurred in connection with the refinancing of our 2012 Secured Tranche A-2 Facility with our 2016 Senior Secured Credit Facility (see "Liquidity and Capital Resources").</w:t>
      </w:r>
    </w:p>
    <w:p>
      <w:pPr>
        <w:spacing w:after="0" w:line="14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Loss on early extinguishment of debt, net—</w:t>
      </w:r>
      <w:r>
        <w:rPr>
          <w:rFonts w:ascii="Arial" w:cs="Arial" w:eastAsia="Arial" w:hAnsi="Arial"/>
          <w:sz w:val="18"/>
          <w:szCs w:val="18"/>
          <w:color w:val="auto"/>
        </w:rPr>
        <w:t>During the three months ended June 30, 2016, we incurred $1.5 million of losses on early extinguishment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debt resulting from repayments of the 2012 Secured Tranche A-2 Facility and unsecured notes prior to maturity. During the three months ended June 30, 2015, we incurred $0.1 million of losses on the early extinguishment of debt primarily related to accelerated amortization of discounts and fees in connection with amortization payments on our credit facilities.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b w:val="1"/>
          <w:bCs w:val="1"/>
          <w:i w:val="1"/>
          <w:iCs w:val="1"/>
          <w:color w:val="auto"/>
        </w:rPr>
        <w:t>Earnings from equity method investments</w:t>
      </w:r>
      <w:r>
        <w:rPr>
          <w:rFonts w:ascii="Arial" w:cs="Arial" w:eastAsia="Arial" w:hAnsi="Arial"/>
          <w:sz w:val="16"/>
          <w:szCs w:val="16"/>
          <w:color w:val="auto"/>
        </w:rPr>
        <w:t>—Earnings from equity method investments increased to $39.4 million during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2016 from $8.8 million for the same period in 2015. During the three months ended June 30, 2016, we recognized $31.9 million primarily from the sale of an equity method investment in a commercial operating property, $5.2 million related to sales activity on a land development venture, $0.9 million related to leasing operations at our Net Lease Venture and $1.4 million was aggregate income from our remaining equity method investments. For the three months ended June 30, 2015, we recognized $8.8 million of earnings from equity method investments due primarily to $5.1 million related to sales activity on a land development venture and $1.7 million related to earnings from additional properties held within our Net Lease Venture.</w:t>
      </w:r>
    </w:p>
    <w:p>
      <w:pPr>
        <w:spacing w:after="0" w:line="12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b w:val="1"/>
          <w:bCs w:val="1"/>
          <w:i w:val="1"/>
          <w:iCs w:val="1"/>
          <w:color w:val="auto"/>
        </w:rPr>
        <w:t>Income tax benefit (expense)</w:t>
      </w:r>
      <w:r>
        <w:rPr>
          <w:rFonts w:ascii="Arial" w:cs="Arial" w:eastAsia="Arial" w:hAnsi="Arial"/>
          <w:sz w:val="17"/>
          <w:szCs w:val="17"/>
          <w:color w:val="auto"/>
        </w:rPr>
        <w:t>—Income taxes are primarily generated by assets held by our taxable REIT subsidiaries ("TRSs"). An income tax benefit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$1.2 million was recorded during the three months ended June 30, 2016 as compared to income tax expense of $0.8 million for the same period in 2015. The income tax benefit for the three months ended June 30, 2016 primarily related to taxable losses generated from our TRS properties. The income tax expense for the three months ended June 30, 2015 primarily related to taxable income generated from the sales of TRS properties.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Income from sales of real estate</w:t>
      </w:r>
      <w:r>
        <w:rPr>
          <w:rFonts w:ascii="Arial" w:cs="Arial" w:eastAsia="Arial" w:hAnsi="Arial"/>
          <w:sz w:val="18"/>
          <w:szCs w:val="18"/>
          <w:color w:val="auto"/>
        </w:rPr>
        <w:t>—Income from sales of real estate increased to $43.5 million during the three months ended June 30, 2016 from $18.4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same period in 2015. During the three months ended June 30, 2016, we sold commercial operating properties resulting in gains of $25.1 million. During the three months ended June 30, 2016 and 2015, we sold residential condominiums that resulted in income of $14.0 million and $13.2 million, respectively. During the three months ended June 30, 2016 and 2015, we sold net lease assets resulting in gains of $4.4 million and $5.1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June 30, 2016 compared to the Six Months Ended June 30, 2015</w:t>
      </w:r>
    </w:p>
    <w:p>
      <w:pPr>
        <w:spacing w:after="0" w:line="342"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360"/>
              <w:spacing w:after="0"/>
              <w:rPr>
                <w:sz w:val="20"/>
                <w:szCs w:val="20"/>
                <w:color w:val="auto"/>
              </w:rPr>
            </w:pPr>
            <w:r>
              <w:rPr>
                <w:rFonts w:ascii="Arial" w:cs="Arial" w:eastAsia="Arial" w:hAnsi="Arial"/>
                <w:sz w:val="14"/>
                <w:szCs w:val="14"/>
                <w:b w:val="1"/>
                <w:bCs w:val="1"/>
                <w:color w:val="auto"/>
              </w:rPr>
              <w:t>For the Six Months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4"/>
        </w:trPr>
        <w:tc>
          <w:tcPr>
            <w:tcW w:w="476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109,455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115,291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67,620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68,625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Land development revenue</w:t>
            </w:r>
          </w:p>
        </w:tc>
        <w:tc>
          <w:tcPr>
            <w:tcW w:w="3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42,835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14,801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28,034</w:t>
            </w:r>
          </w:p>
        </w:tc>
        <w:tc>
          <w:tcPr>
            <w:tcW w:w="1680" w:type="dxa"/>
            <w:vAlign w:val="bottom"/>
            <w:gridSpan w:val="2"/>
          </w:tcPr>
          <w:p>
            <w:pPr>
              <w:jc w:val="right"/>
              <w:ind w:right="168"/>
              <w:spacing w:after="0"/>
              <w:rPr>
                <w:sz w:val="20"/>
                <w:szCs w:val="20"/>
                <w:color w:val="auto"/>
              </w:rPr>
            </w:pPr>
            <w:r>
              <w:rPr>
                <w:rFonts w:ascii="Arial" w:cs="Arial" w:eastAsia="Arial" w:hAnsi="Arial"/>
                <w:sz w:val="18"/>
                <w:szCs w:val="18"/>
                <w:color w:val="auto"/>
              </w:rPr>
              <w:t>&gt;100%</w:t>
            </w:r>
          </w:p>
        </w:tc>
      </w:tr>
      <w:tr>
        <w:trPr>
          <w:trHeight w:val="27"/>
        </w:trPr>
        <w:tc>
          <w:tcPr>
            <w:tcW w:w="4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64"/>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241,547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222,042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19,505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113,068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110,456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2,612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4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Land development cost of sales</w:t>
            </w:r>
          </w:p>
        </w:tc>
        <w:tc>
          <w:tcPr>
            <w:tcW w:w="3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28,838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12,142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16,696</w:t>
            </w:r>
          </w:p>
        </w:tc>
        <w:tc>
          <w:tcPr>
            <w:tcW w:w="1680" w:type="dxa"/>
            <w:vAlign w:val="bottom"/>
            <w:gridSpan w:val="2"/>
          </w:tcPr>
          <w:p>
            <w:pPr>
              <w:jc w:val="right"/>
              <w:ind w:right="168"/>
              <w:spacing w:after="0"/>
              <w:rPr>
                <w:sz w:val="20"/>
                <w:szCs w:val="20"/>
                <w:color w:val="auto"/>
              </w:rPr>
            </w:pPr>
            <w:r>
              <w:rPr>
                <w:rFonts w:ascii="Arial" w:cs="Arial" w:eastAsia="Arial" w:hAnsi="Arial"/>
                <w:sz w:val="18"/>
                <w:szCs w:val="18"/>
                <w:color w:val="auto"/>
              </w:rPr>
              <w:t>&gt;100%</w:t>
            </w:r>
          </w:p>
        </w:tc>
      </w:tr>
      <w:tr>
        <w:trPr>
          <w:trHeight w:val="27"/>
        </w:trPr>
        <w:tc>
          <w:tcPr>
            <w:tcW w:w="4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34,017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42,768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41,340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1,428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4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loan losses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(21,238)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Impairment of assets</w:t>
            </w:r>
          </w:p>
        </w:tc>
        <w:tc>
          <w:tcPr>
            <w:tcW w:w="3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1,338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80 %</w:t>
            </w:r>
          </w:p>
        </w:tc>
      </w:tr>
      <w:tr>
        <w:trPr>
          <w:trHeight w:val="27"/>
        </w:trPr>
        <w:tc>
          <w:tcPr>
            <w:tcW w:w="4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911</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37"/>
        </w:trPr>
        <w:tc>
          <w:tcPr>
            <w:tcW w:w="476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292,739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302,073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 net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6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Earnings from equity method investments</w:t>
            </w:r>
          </w:p>
        </w:tc>
        <w:tc>
          <w:tcPr>
            <w:tcW w:w="3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47,714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15,332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32,382</w:t>
            </w:r>
          </w:p>
        </w:tc>
        <w:tc>
          <w:tcPr>
            <w:tcW w:w="1680" w:type="dxa"/>
            <w:vAlign w:val="bottom"/>
            <w:gridSpan w:val="2"/>
          </w:tcPr>
          <w:p>
            <w:pPr>
              <w:jc w:val="right"/>
              <w:ind w:right="168"/>
              <w:spacing w:after="0"/>
              <w:rPr>
                <w:sz w:val="20"/>
                <w:szCs w:val="20"/>
                <w:color w:val="auto"/>
              </w:rPr>
            </w:pPr>
            <w:r>
              <w:rPr>
                <w:rFonts w:ascii="Arial" w:cs="Arial" w:eastAsia="Arial" w:hAnsi="Arial"/>
                <w:sz w:val="18"/>
                <w:szCs w:val="18"/>
                <w:color w:val="auto"/>
              </w:rPr>
              <w:t>&gt;100%</w:t>
            </w:r>
          </w:p>
        </w:tc>
      </w:tr>
      <w:tr>
        <w:trPr>
          <w:trHeight w:val="27"/>
        </w:trPr>
        <w:tc>
          <w:tcPr>
            <w:tcW w:w="4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8,292</w:t>
            </w:r>
          </w:p>
        </w:tc>
        <w:tc>
          <w:tcPr>
            <w:tcW w:w="16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Income from sales of real estate</w:t>
            </w:r>
          </w:p>
        </w:tc>
        <w:tc>
          <w:tcPr>
            <w:tcW w:w="3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53,943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39,511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14,432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37 %</w:t>
            </w:r>
          </w:p>
        </w:tc>
      </w:tr>
      <w:tr>
        <w:trPr>
          <w:trHeight w:val="27"/>
        </w:trPr>
        <w:tc>
          <w:tcPr>
            <w:tcW w:w="4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50,487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82,575</w:t>
            </w:r>
          </w:p>
        </w:tc>
        <w:tc>
          <w:tcPr>
            <w:tcW w:w="16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&gt;100%</w:t>
            </w:r>
          </w:p>
        </w:tc>
      </w:tr>
      <w:tr>
        <w:trPr>
          <w:trHeight w:val="20"/>
        </w:trPr>
        <w:tc>
          <w:tcPr>
            <w:tcW w:w="4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—Operating lease income, which primarily includes income from net lease assets and commercial operating properties, decreased to $109.5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six months ended June 30, 2016 from $115.3 million for the same period in 2015.</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Operating lease income from net lease assets decreased to $72.4 million during the six months ended June 30, 2016 from $74.1 million for the same period in 2015. The decrease was primarily due to the sale of net lease assets in 2015 and 2016 partially offset by new leasing activity. Operating lease income from same store net lease assets, defined as net lease assets we owned 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prior to January 1, 2015 and were in service through June 30, 2016, increased slightly to $69.1 million during the six months ended June 30, 2016 from $68.2 million for the same period in 2015. This increase was primarily due to an increase in rent per occupied square foot to $9.75 for the six months ended June 30, 2016 from $9.65 for the same period in 2015, and an increase in the occupancy rate, which was 98.0% as of June 30, 2016 and 97.7% as of June 30, 2015.</w:t>
      </w:r>
    </w:p>
    <w:p>
      <w:pPr>
        <w:spacing w:after="0" w:line="18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Operating lease income from commercial operating properties decreased to $36.9 million during the six months ended June 30, 2016 from $40.7 million for the same period in 2015. The decrease was primarily due to commercial operating property sales in 2015. This decrease was partially offset by an increase in operating lease income from same store commercial operating properties, defined as commercial operating properties, excluding hotels and marinas, which we owned on or prior to January 1, 2015 and were in service through June 30, 2016. Operating lease income from same store commercial operating properties increased to $25.5 million during the six months ended June 30, 2016 from $24.0 million for the same period in 2015, due primarily to an increase in occupancy rates, which was 71.9% as of June 30, 2016 and 71.3% as of June 30, 2015, and an increase in rent per occupied square foot to $25.46 for the six months ended June 30, 2016 from $24.15 for the same period in 2015. Ancillary operating lease income for residential operating properties and land and development assets decreased slightly for the six months ended June 30, 2016 to $0.2 million from $0.5 million for the same period in 2015.</w:t>
      </w:r>
    </w:p>
    <w:p>
      <w:pPr>
        <w:spacing w:after="0" w:line="16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Interest income decreased to $67.6 million during the six months ended June 30, 2016 from $68.6 million for the same period in 2015. The decrease was due primarily to the weighted average yield on our performing loans, which decreased to 8.4% for the six months ended June 30, 2016 from 9.1% for the same period in 2015, due primarily to the repayment of loans with higher interest rates. This decrease was partially offset by new investment originations and additional fundings on existing loans, which increased our average balance of performing loans to $1.59 billion during the six months ended June 30, 2016 from $1.52 billion for the same period in 2015.</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income decreased to $21.6 million during the six months ended June 30, 2016 from $23.3 million for the same period in 2015. The decrease was primarily due a decrease in ancillary income on operating properties and a guarantor settlement on an operating property received in 2015, partially offset by an increase in loan prepayment fees, property tax refunds and hotel income.</w:t>
      </w:r>
    </w:p>
    <w:p>
      <w:pPr>
        <w:spacing w:after="0" w:line="14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i w:val="1"/>
          <w:iCs w:val="1"/>
          <w:color w:val="auto"/>
        </w:rPr>
        <w:t>Land development revenue and cost of sales</w:t>
      </w:r>
      <w:r>
        <w:rPr>
          <w:rFonts w:ascii="Arial" w:cs="Arial" w:eastAsia="Arial" w:hAnsi="Arial"/>
          <w:sz w:val="17"/>
          <w:szCs w:val="17"/>
          <w:color w:val="auto"/>
        </w:rPr>
        <w:t>—During the six months ended June 30, 2016, we sold residential lots and units and recognized land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revenue of $42.8 million which had associated cost of sales of $28.8 million. We also recognized earnings from equity method investments of $9.3 million from unconsolidated land and development investments, resulting in total gross margin from our land and development portfolio of $23.3 million. During the six months ended June 30, 2015, we sold residential lots and units and recognized land development revenue of $14.8 million which had associated cost of sales of $12.1 million. We also recognized earnings from equity method investments of $7.1 million from unconsolidated land and development investments, resulting in total gross margin from our land and development portfolio of $9.8 million. The increase in 2016 from the same period in 2015 was primarily due to the progression of our land and development projects.</w:t>
      </w:r>
    </w:p>
    <w:p>
      <w:pPr>
        <w:spacing w:after="0" w:line="13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b w:val="1"/>
          <w:bCs w:val="1"/>
          <w:i w:val="1"/>
          <w:iCs w:val="1"/>
          <w:color w:val="auto"/>
        </w:rPr>
        <w:t>Costs and expenses</w:t>
      </w:r>
      <w:r>
        <w:rPr>
          <w:rFonts w:ascii="Arial" w:cs="Arial" w:eastAsia="Arial" w:hAnsi="Arial"/>
          <w:sz w:val="16"/>
          <w:szCs w:val="16"/>
          <w:color w:val="auto"/>
        </w:rPr>
        <w:t>—Interest expense increased to $113.1 million during the six months ended June 30, 2016 from $110.5 million for the same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2015 due to an increase in our outstanding debt. The average balance of our outstanding debt increased to $4.16 billion for the six months ended June 30, 2016 from $4.08 billion for the same period in 2015. Our weighted average effective cost of debt was 5.5% for the six months ended June 30, 2016 and 2015.</w:t>
      </w:r>
    </w:p>
    <w:p>
      <w:pPr>
        <w:spacing w:after="0" w:line="10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Real estate expenses decreased to $69.7 million during the six months ended June 30, 2016 from $76.0 million for the same period in 2015. The decrease was due primarily to a reduction in expenses for commercial operating properties which decreased to $37.1 million during the six months ended June 30, 2016 from $42.7 million for the same period in 2015. This decrease was primarily due to operating property sales during 2015 and 2016. Expenses from same store commercial operating properties, excluding hotels and marinas, increased to $17.0 million from $16.2 million for the same period in 2015. Expenses associated with residential units also decreased to $4.8 million during the six months ended June 30, 2016 from $8.7 million for the same period in 2015 due to the sale of residential units since June 30, 2015. Expenses for net lease assets decreased to $9.2 million during the six months ended June 30, 2016 from $10.8 million for the same period in 2015 due primarily to the sale of net lease assets in 2015 and 2016. Expenses from same store net lease assets decreased to $8.7 million from $9.3 million for the same period in 2015. These decreases were offset by an increase in carry costs and other expenses on our land assets, which increased to $18.6 million during the six months ended June 30, 2016 from $13.8 million for the same period in 2015, primarily due to an increase in costs incurred on certain land assets prior to development.</w:t>
      </w:r>
    </w:p>
    <w:p>
      <w:pPr>
        <w:spacing w:after="0" w:line="1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Depreciation and amortization decreased to $29.2 million during the six months ended June 30, 2016 from $34.0 million for the same period in 2015, primarily due to the sale of net lease and commercial operating properties in 2015 and 2016.</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General and administrative expenses increased to $42.8 million during the six months ended June 30, 2016 from $41.3 million for the same period in 2015, primarily due to the timing of expense recognition for our performance based compensation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program and the vesting of previously issued compensation awards, partially offset by a decrease in compensation related to our iPIP plans.</w:t>
      </w:r>
    </w:p>
    <w:p>
      <w:pPr>
        <w:spacing w:after="0" w:line="18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net provision for loan losses was $2.2 million during the six months ended June 30, 2016 as compared to $23.4 million for the same period in 2015. Included in the net provision for the six months ended June 30, 2016 were provisions of $1.2 million in the specific reserve due to one non-performing loan and $1.0 million in the general reserve primarily due to new investment originations and additional fundings and a weakening of risk ratings on certain performing loans, which were offset by payoffs and loans being classified to non-performing status to evaluate for asset-specific reserves. Included in the net provision for the six months ended June 30, 2015 were provisions for specific reserves of $29.8 million due primarily to a new non-performing loan, offset by a decrease of $6.4 million in the general reserve due to an overall improvement in the risk ratings of our loan portfolio.</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six months ended June 30, 2016, we recorded an impairment of $3.0 million on a residential property resulting from a slowdown in the local condominium real estate market. During the six months ended June 30, 2015, we recorded an impairment on a commercial operating property totaling $1.7 million resulting from a change in business strategy.</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expense increased to $3.9 million during the six months ended June 30, 2016 from $3.0 million for the same period in 2015. The increase was primarily the result of $1.8 million of third party expenses incurred in connection with the refinancing of our 2012 Secured Tranche A-2 Facility with our 2016 Senior Secured Credit Facility (see "Liquidity and Capital Resources") partially offset by the change in the fair value of an interest rate cap that was not designated as a cash flow hedge.</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Loss on early extinguishment of debt, net—</w:t>
      </w:r>
      <w:r>
        <w:rPr>
          <w:rFonts w:ascii="Arial" w:cs="Arial" w:eastAsia="Arial" w:hAnsi="Arial"/>
          <w:sz w:val="18"/>
          <w:szCs w:val="18"/>
          <w:color w:val="auto"/>
        </w:rPr>
        <w:t>During the six months ended June 30, 2016, we incurred $1.6 million of losses on early extinguishment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resulting from repayments of the 2012 Secured Tranche A-2 Facility and unsecured notes prior to maturity. During the six months ended June 30, 2015, we incurred $0.2 million of losses on the early extinguishment of debt primarily related to accelerated amortization of discounts and fees in connection with amortization payments on our credit facilities.</w:t>
      </w:r>
    </w:p>
    <w:p>
      <w:pPr>
        <w:spacing w:after="0" w:line="14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b w:val="1"/>
          <w:bCs w:val="1"/>
          <w:i w:val="1"/>
          <w:iCs w:val="1"/>
          <w:color w:val="auto"/>
        </w:rPr>
        <w:t>Earnings from equity method investments</w:t>
      </w:r>
      <w:r>
        <w:rPr>
          <w:rFonts w:ascii="Arial" w:cs="Arial" w:eastAsia="Arial" w:hAnsi="Arial"/>
          <w:sz w:val="17"/>
          <w:szCs w:val="17"/>
          <w:color w:val="auto"/>
        </w:rPr>
        <w:t>—Earnings from equity method investments increased to $47.7 million during the six months ended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2016 from $15.3 million for the same period in 2015. During the six months ended June 30, 2016, we recognized $32.3 million primarily from the sale of an equity method investment in a commercial operating property, $13.4 million related to sales activity on a land development venture, $1.9 million related to leasing operations at our Net Lease Venture and $0.1 million was aggregate income from our remaining equity method investments. For the six months ended June 30, 2015, $9.6 million related to sales activity on a land development venture, $3.3 million related to leasing operations at our Net Lease Venture and $2.4 million was aggregate income from our remaining equity method investments.</w:t>
      </w:r>
    </w:p>
    <w:p>
      <w:pPr>
        <w:spacing w:after="0" w:line="17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b w:val="1"/>
          <w:bCs w:val="1"/>
          <w:i w:val="1"/>
          <w:iCs w:val="1"/>
          <w:color w:val="auto"/>
        </w:rPr>
        <w:t>Income tax benefit (expense)</w:t>
      </w:r>
      <w:r>
        <w:rPr>
          <w:rFonts w:ascii="Arial" w:cs="Arial" w:eastAsia="Arial" w:hAnsi="Arial"/>
          <w:sz w:val="17"/>
          <w:szCs w:val="17"/>
          <w:color w:val="auto"/>
        </w:rPr>
        <w:t>—Income taxes are primarily generated by assets held by our taxable REIT subsidiaries ("TRS's"). An income tax benefit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$1.6 million was recorded during the six months ended June 30, 2016 as compared to income tax expense of $6.7 million for the same period in 2015. The income tax benefit for the six months ended June 30, 2016 primarily related to taxable losses generated from our TRS properties. The income tax expense for the six months ended June 30, 2015 primarily related to taxable income generated from the sales of TRS properties.</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b w:val="1"/>
          <w:bCs w:val="1"/>
          <w:i w:val="1"/>
          <w:iCs w:val="1"/>
          <w:color w:val="auto"/>
        </w:rPr>
        <w:t>Income from sales of real estate</w:t>
      </w:r>
      <w:r>
        <w:rPr>
          <w:rFonts w:ascii="Arial" w:cs="Arial" w:eastAsia="Arial" w:hAnsi="Arial"/>
          <w:sz w:val="17"/>
          <w:szCs w:val="17"/>
          <w:color w:val="auto"/>
        </w:rPr>
        <w:t>—Income from sales of real estate increased to $53.9 million during the six months ended June 30, 2016 from $39.5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same period in 2015. During the six months ended June 30, 2016, we sold commercial operating properties resulting in gains of $25.9 million. During the six months ended June 30, 2016 and 2015, we sold residential condominiums that resulted in income of $18.8 million and $30.9 million, respectively. The decrease was due primarily to our decreasing inventory of residential condominiums. During the six months ended June 30, 2016 and 2015, we sold net lease assets resulting in gains of $9.2 million and $8.6 million,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Income</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addition to net income (loss) prepared in conformity with generally accepted accounting principles in the United States of America ("GAAP"), we use adjusted income, a non-GAAP financial measure, to measure our operating performance. Adjusted income represents net income (loss) allocable to common shareholders, prior to the effect of depreciation and amortization, provision for (recovery of) loan losses, impairment of assets, stock-based compensation expense, the non-cash portion of gain (loss) on early extinguishment of debt and adjusted for losses on charge-offs and dispositions ("Adjusted Income").</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believe Adjusted Income is a useful measure to consider, in addition to net income (loss), as it may help investors evaluate our operating performance prior to certain non-cash items.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Adjusted Income should be examined in conjunction with net income (loss) as shown in our consolidated statements of operations. Adjusted Income should not be considered as an alternative to net income (loss) (determined in accordance with GAAP), as an indicator of our performance, or to cash flows from operating activities (determined in accordance with GAAP), as a measure of our liquidity, nor is Adjusted Income indicative of funds available to fund our cash needs or available for distribution to shareholders. Rather, Adjusted Income is an additional measure for us to use to analyze how our business is performing. It should be noted that our manner of calculating Adjusted Income may differ from the calculations of similarly-titled measures by other companies. Effective in the second quarter 2016, we modified our presentation of Adjusted Income to reflect the effect of losses on charge-offs and dispositions to provide a more informative metric for investors to help evaluate our operating performance.</w:t>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 June 30,</w:t>
            </w:r>
          </w:p>
        </w:tc>
        <w:tc>
          <w:tcPr>
            <w:tcW w:w="180" w:type="dxa"/>
            <w:vAlign w:val="bottom"/>
          </w:tcPr>
          <w:p>
            <w:pPr>
              <w:spacing w:after="0"/>
              <w:rPr>
                <w:sz w:val="16"/>
                <w:szCs w:val="16"/>
                <w:color w:val="auto"/>
              </w:rPr>
            </w:pPr>
          </w:p>
        </w:tc>
        <w:tc>
          <w:tcPr>
            <w:tcW w:w="242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94"/>
              </w:rPr>
              <w:t>For the Six Months Ended June 30,</w:t>
            </w:r>
          </w:p>
        </w:tc>
      </w:tr>
      <w:tr>
        <w:trPr>
          <w:trHeight w:val="264"/>
        </w:trPr>
        <w:tc>
          <w:tcPr>
            <w:tcW w:w="598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5"/>
          </w:tcPr>
          <w:p>
            <w:pPr>
              <w:ind w:left="58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Income</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Net income (loss) allocable to common shareholders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38,112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(30,950)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16,933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(53,502)</w:t>
            </w: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9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Add: Depreciation and amortization</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17,335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17,293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34,508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37,365</w:t>
            </w: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Add: Provision for loan losses</w:t>
            </w: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19,151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23,444</w:t>
            </w: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9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Add: Impairment of assets</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3,012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3,927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6,011</w:t>
            </w: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Add: Stock-based compensation expense</w:t>
            </w:r>
          </w:p>
        </w:tc>
        <w:tc>
          <w:tcPr>
            <w:tcW w:w="12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3,947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6,211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7,186</w:t>
            </w: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Loss on early extinguishment of debt, net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w:t>
            </w: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Less: Losses on charge-offs and dispositions</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(3,196)</w:t>
            </w:r>
          </w:p>
        </w:tc>
      </w:tr>
      <w:tr>
        <w:trPr>
          <w:trHeight w:val="27"/>
        </w:trPr>
        <w:tc>
          <w:tcPr>
            <w:tcW w:w="5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HPU/Participating Security allocation</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r>
      <w:tr>
        <w:trPr>
          <w:trHeight w:val="297"/>
        </w:trPr>
        <w:tc>
          <w:tcPr>
            <w:tcW w:w="5980" w:type="dxa"/>
            <w:vAlign w:val="bottom"/>
          </w:tcPr>
          <w:p>
            <w:pPr>
              <w:ind w:left="20"/>
              <w:spacing w:after="0"/>
              <w:rPr>
                <w:sz w:val="20"/>
                <w:szCs w:val="20"/>
                <w:color w:val="auto"/>
              </w:rPr>
            </w:pPr>
            <w:r>
              <w:rPr>
                <w:rFonts w:ascii="Arial" w:cs="Arial" w:eastAsia="Arial" w:hAnsi="Arial"/>
                <w:sz w:val="18"/>
                <w:szCs w:val="18"/>
                <w:color w:val="auto"/>
              </w:rPr>
              <w:t>Adjusted income allocable to common shareholders</w:t>
            </w:r>
            <w:r>
              <w:rPr>
                <w:rFonts w:ascii="Arial" w:cs="Arial" w:eastAsia="Arial" w:hAnsi="Arial"/>
                <w:sz w:val="25"/>
                <w:szCs w:val="25"/>
                <w:color w:val="auto"/>
                <w:vertAlign w:val="superscript"/>
              </w:rPr>
              <w:t>(3)</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61,089</w:t>
            </w:r>
          </w:p>
        </w:tc>
        <w:tc>
          <w:tcPr>
            <w:tcW w:w="100" w:type="dxa"/>
            <w:vAlign w:val="bottom"/>
          </w:tcPr>
          <w:p>
            <w:pPr>
              <w:spacing w:after="0"/>
              <w:rPr>
                <w:sz w:val="24"/>
                <w:szCs w:val="24"/>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9,140</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60,776</w:t>
            </w:r>
          </w:p>
        </w:tc>
        <w:tc>
          <w:tcPr>
            <w:tcW w:w="100" w:type="dxa"/>
            <w:vAlign w:val="bottom"/>
          </w:tcPr>
          <w:p>
            <w:pPr>
              <w:spacing w:after="0"/>
              <w:rPr>
                <w:sz w:val="24"/>
                <w:szCs w:val="24"/>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15,237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-20955</wp:posOffset>
            </wp:positionV>
            <wp:extent cx="336169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1690" cy="2603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w:t>
      </w:r>
    </w:p>
    <w:p>
      <w:pPr>
        <w:spacing w:after="0" w:line="1" w:lineRule="exact"/>
        <w:rPr>
          <w:sz w:val="20"/>
          <w:szCs w:val="20"/>
          <w:color w:val="auto"/>
        </w:rPr>
      </w:pPr>
    </w:p>
    <w:p>
      <w:pPr>
        <w:ind w:left="500" w:hanging="492"/>
        <w:spacing w:after="0" w:line="241" w:lineRule="auto"/>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Depreciation and amortization also includes our proportionate share of depreciation and amortization expense for equity method investments and excludes the portion of depreciation and amortization expense allocable to noncontrolling interests.</w:t>
      </w:r>
    </w:p>
    <w:p>
      <w:pPr>
        <w:ind w:left="500" w:hanging="492"/>
        <w:spacing w:after="0" w:line="241" w:lineRule="auto"/>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For the six months ended June 30, 2016 and 2015, impairment of assets includes impairments on cost and equity method investments recorded in "Other income" and "Earnings from equity method investments," respectively, in our consolidated statements of operations.</w:t>
      </w:r>
    </w:p>
    <w:p>
      <w:pPr>
        <w:ind w:left="500" w:hanging="492"/>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For the three and six months ended June 30, 2015, Adjusted Income under the previous presentation was $9.8 million and $18.3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Loan Credit Statistics</w:t>
      </w:r>
      <w:r>
        <w:rPr>
          <w:rFonts w:ascii="Arial" w:cs="Arial" w:eastAsia="Arial" w:hAnsi="Arial"/>
          <w:sz w:val="18"/>
          <w:szCs w:val="18"/>
          <w:color w:val="auto"/>
        </w:rPr>
        <w:t>—The table below summarizes our non-performing loans and the reserves for loan losses associated with our loans ($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2016</w:t>
            </w:r>
          </w:p>
        </w:tc>
        <w:tc>
          <w:tcPr>
            <w:tcW w:w="200" w:type="dxa"/>
            <w:vAlign w:val="bottom"/>
          </w:tcPr>
          <w:p>
            <w:pPr>
              <w:spacing w:after="0"/>
              <w:rPr>
                <w:sz w:val="22"/>
                <w:szCs w:val="22"/>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2015</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Non-performing loans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7780" w:type="dxa"/>
            <w:vAlign w:val="bottom"/>
          </w:tcPr>
          <w:p>
            <w:pPr>
              <w:ind w:left="40"/>
              <w:spacing w:after="0" w:line="270" w:lineRule="exact"/>
              <w:rPr>
                <w:sz w:val="20"/>
                <w:szCs w:val="20"/>
                <w:color w:val="auto"/>
              </w:rPr>
            </w:pPr>
            <w:r>
              <w:rPr>
                <w:rFonts w:ascii="Arial" w:cs="Arial" w:eastAsia="Arial" w:hAnsi="Arial"/>
                <w:sz w:val="18"/>
                <w:szCs w:val="18"/>
                <w:color w:val="auto"/>
              </w:rPr>
              <w:t>Carrying value</w:t>
            </w:r>
            <w:r>
              <w:rPr>
                <w:rFonts w:ascii="Arial" w:cs="Arial" w:eastAsia="Arial" w:hAnsi="Arial"/>
                <w:sz w:val="25"/>
                <w:szCs w:val="25"/>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79,484</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60,327</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a percentage of total carrying value of loans</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Reserve for loan losses</w:t>
            </w: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Asset-specific reserves for loan losses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73,371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72,165</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As a percentage of gross carrying value of impaired loans</w:t>
            </w: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reserve for loan losses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110,371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108,165</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As a percentage of total loans before loan loss reserves</w:t>
            </w: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182"/>
        </w:trPr>
        <w:tc>
          <w:tcPr>
            <w:tcW w:w="7780" w:type="dxa"/>
            <w:vAlign w:val="bottom"/>
          </w:tcPr>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ind w:left="500" w:hanging="492"/>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 of June 30, 2016 and December 31, 2015, carrying values of non-performing loans are net of asset-specific reserves for loan losses.</w:t>
      </w:r>
    </w:p>
    <w:p>
      <w:pPr>
        <w:spacing w:after="0" w:line="15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b w:val="1"/>
          <w:bCs w:val="1"/>
          <w:i w:val="1"/>
          <w:iCs w:val="1"/>
          <w:color w:val="auto"/>
        </w:rPr>
        <w:t>Non-Performing Loans</w:t>
      </w:r>
      <w:r>
        <w:rPr>
          <w:rFonts w:ascii="Arial" w:cs="Arial" w:eastAsia="Arial" w:hAnsi="Arial"/>
          <w:sz w:val="17"/>
          <w:szCs w:val="17"/>
          <w:color w:val="auto"/>
        </w:rPr>
        <w:t>—We designate loans as non-performing at such time as: (1) the loan becomes 90 days delinquent; (2) the loan has a maturity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default; or (3) management determines it is probable that we will be unable to collect all amounts due according to the contractual terms of the loan. All non-performing loans are placed on non-accrual status and income is only recognized in certain cases upon actual cash receipt. As of June 30, 2016, we had non-performing loans with an aggregate carrying value of $79.5 million compared to non-performing loans with an aggregate carrying value of $60.3 million as of December 31, 2015. We expect that our level of non-performing loans will fluctuate from period to period.</w:t>
      </w:r>
    </w:p>
    <w:p>
      <w:pPr>
        <w:spacing w:after="0" w:line="1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Reserve for Loan Losses</w:t>
      </w:r>
      <w:r>
        <w:rPr>
          <w:rFonts w:ascii="Arial" w:cs="Arial" w:eastAsia="Arial" w:hAnsi="Arial"/>
          <w:sz w:val="18"/>
          <w:szCs w:val="18"/>
          <w:color w:val="auto"/>
        </w:rPr>
        <w:t>—The reserve for loan losses was $110.4 million as of June 30, 2016, or 6.8% of total loans, compared to $108.2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6.6% as of December 31, 2015. For the six months ended June 30, 2016, the provision for loan losses includes specific reserves of $1.2 million due to one non-performing loan and $1.0 million of general reserves due primarily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new investment originations and additional fundings and a weakening of risk ratings on certain performing loans, which were offset by payoffs and loans being classified to non-performing status. We expect that our level of reserve for loan losses will fluctuate from period to period. Due to the volatility of the commercial real estate market, the process of estimating collateral values and reserves requires the use of significant judgment. We currently believe there are adequate collateral and reserves to support the carrying values of the loans.</w:t>
      </w:r>
    </w:p>
    <w:p>
      <w:pPr>
        <w:spacing w:after="0" w:line="18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reserve for loan losses includes an asset-specific component and a formula-based component. An asset-specific reserve is established for an impaired loan when the estimated fair value of the loan's collateral less costs to sell is lower than the carrying value of the loan. As of June 30, 2016, asset-specific reserves increased to $73.4 million compared to $72.2 million as of December 31, 2015, due primarily to a new non-performing loan.</w:t>
      </w:r>
    </w:p>
    <w:p>
      <w:pPr>
        <w:spacing w:after="0" w:line="166"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formula-based general reserve is derived from estimated principal default probabilities and loss severities applied to groups of performing loans based upon risk ratings assigned to loans with similar risk characteristics during our quarterly loan portfolio assessment. During this assessment, we perform a comprehensive analysis of our loan portfolio and assign risk ratings to loans that incorporate management's current judgments about their credit quality based on all known and relevant factors that may affect collectability. We consider,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general reserve increased to $37.0 million or 2.5% of performing loans as of June 30, 2016, compared to $36.0 million or 2.4% of performing loans as of December 31, 2015. This increase was primarily attributable to an increase in the balance of performing loans, which was driven by new investment originations and additional fundings and a weakening of risk ratings on certain performing loans, which were offset by payoffs and loans being classified to non-performing status to evaluate for asset-specific reserves.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i w:val="1"/>
          <w:iCs w:val="1"/>
          <w:color w:val="auto"/>
        </w:rPr>
        <w:t>Risk concentrations</w:t>
      </w:r>
      <w:r>
        <w:rPr>
          <w:rFonts w:ascii="Arial" w:cs="Arial" w:eastAsia="Arial" w:hAnsi="Arial"/>
          <w:sz w:val="18"/>
          <w:szCs w:val="18"/>
          <w:color w:val="auto"/>
        </w:rPr>
        <w:t>—As of June 30, 2016, based on current gross carrying values, the Company's total investment portfolio has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characteristics ($ in thousands)</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Property/Collateral Types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200" w:type="dxa"/>
            <w:vAlign w:val="bottom"/>
          </w:tcPr>
          <w:p>
            <w:pPr>
              <w:spacing w:after="0"/>
              <w:rPr>
                <w:sz w:val="14"/>
                <w:szCs w:val="14"/>
                <w:color w:val="auto"/>
              </w:rPr>
            </w:pPr>
          </w:p>
        </w:tc>
        <w:tc>
          <w:tcPr>
            <w:tcW w:w="10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Net Lease</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Land &amp;</w:t>
            </w:r>
          </w:p>
        </w:tc>
        <w:tc>
          <w:tcPr>
            <w:tcW w:w="260" w:type="dxa"/>
            <w:vAlign w:val="bottom"/>
          </w:tcPr>
          <w:p>
            <w:pPr>
              <w:spacing w:after="0"/>
              <w:rPr>
                <w:sz w:val="14"/>
                <w:szCs w:val="14"/>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1280" w:type="dxa"/>
            <w:vAlign w:val="bottom"/>
          </w:tcPr>
          <w:p>
            <w:pPr>
              <w:ind w:left="4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0"/>
              </w:rPr>
              <w:t>Finance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3"/>
              </w:rPr>
              <w:t>Development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1,141,619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1,187,638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Office / Industrial</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161,425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827,882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50,380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1,039,687</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Mixed Use / Mixed Collateral</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457,974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192,414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650,388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Hotel</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350,112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136,080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57,008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543,200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Entertainment / Leisure</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497,625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497,625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Condominium</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295,935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109,980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405,915</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Retail</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65,952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57,348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127,297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250,597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Other Property Types</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228,022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13,398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241,420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Strategic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58,922</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1,605,439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1,532,333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537,079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1,141,619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4,875,392</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3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Geographic Region</w:t>
            </w:r>
          </w:p>
        </w:tc>
        <w:tc>
          <w:tcPr>
            <w:tcW w:w="1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Real Estate</w:t>
            </w:r>
          </w:p>
        </w:tc>
        <w:tc>
          <w:tcPr>
            <w:tcW w:w="200" w:type="dxa"/>
            <w:vAlign w:val="bottom"/>
          </w:tcPr>
          <w:p>
            <w:pPr>
              <w:spacing w:after="0"/>
              <w:rPr>
                <w:sz w:val="24"/>
                <w:szCs w:val="24"/>
                <w:color w:val="auto"/>
              </w:rPr>
            </w:pPr>
          </w:p>
        </w:tc>
        <w:tc>
          <w:tcPr>
            <w:tcW w:w="10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Net Lease</w:t>
            </w:r>
          </w:p>
        </w:tc>
        <w:tc>
          <w:tcPr>
            <w:tcW w:w="1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Operating</w:t>
            </w:r>
          </w:p>
        </w:tc>
        <w:tc>
          <w:tcPr>
            <w:tcW w:w="16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Land &amp;</w:t>
            </w:r>
          </w:p>
        </w:tc>
        <w:tc>
          <w:tcPr>
            <w:tcW w:w="260" w:type="dxa"/>
            <w:vAlign w:val="bottom"/>
          </w:tcPr>
          <w:p>
            <w:pPr>
              <w:spacing w:after="0"/>
              <w:rPr>
                <w:sz w:val="24"/>
                <w:szCs w:val="24"/>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24"/>
                <w:szCs w:val="24"/>
                <w:color w:val="auto"/>
              </w:rPr>
            </w:pPr>
          </w:p>
        </w:tc>
        <w:tc>
          <w:tcPr>
            <w:tcW w:w="1280" w:type="dxa"/>
            <w:vAlign w:val="bottom"/>
          </w:tcPr>
          <w:p>
            <w:pPr>
              <w:ind w:left="4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0"/>
              </w:rPr>
              <w:t>Finance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3"/>
              </w:rPr>
              <w:t>Development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Northeast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906,680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382,304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269,677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1,559,146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West</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95,849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392,915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48,471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355,905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893,140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3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Southeast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135,696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236,805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203,706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153,918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730,125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Mid-Atlantic</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172,794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138,632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72,765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206,799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590,990</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3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Southwest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52,927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160,086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137,736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147,688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498,437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3120" w:type="dxa"/>
            <w:vAlign w:val="bottom"/>
            <w:gridSpan w:val="2"/>
          </w:tcPr>
          <w:p>
            <w:pPr>
              <w:ind w:left="40"/>
              <w:spacing w:after="0"/>
              <w:rPr>
                <w:sz w:val="20"/>
                <w:szCs w:val="20"/>
                <w:color w:val="auto"/>
              </w:rPr>
            </w:pPr>
            <w:r>
              <w:rPr>
                <w:rFonts w:ascii="Arial" w:cs="Arial" w:eastAsia="Arial" w:hAnsi="Arial"/>
                <w:sz w:val="18"/>
                <w:szCs w:val="18"/>
                <w:color w:val="auto"/>
              </w:rPr>
              <w:t>Central</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178,040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79,721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60,131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320,036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Various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63,453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141,870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13,785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5,488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224,596</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0"/>
        </w:trPr>
        <w:tc>
          <w:tcPr>
            <w:tcW w:w="3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Strategic Investments</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58,922</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3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1,605,439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1,532,333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537,079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1,141,619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4,875,392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-98425</wp:posOffset>
            </wp:positionV>
            <wp:extent cx="50171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17135" cy="8890"/>
                    </a:xfrm>
                    <a:prstGeom prst="rect">
                      <a:avLst/>
                    </a:prstGeom>
                    <a:noFill/>
                  </pic:spPr>
                </pic:pic>
              </a:graphicData>
            </a:graphic>
          </wp:anchor>
        </w:drawing>
      </w:r>
    </w:p>
    <w:p>
      <w:pPr>
        <w:ind w:left="500" w:hanging="49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the carrying value of our total investment portfolio gross of accumulated depreciation and general loan loss reserves.</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Combined, strategic investments and the various category include $19.6 million of international assets.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During the three months ended June 30, 2016, we funded a total of $118.0 million associated with new investments, prior financing commitments as well as ongoing development during the quarter. Total fundings included $63.9 million in lending and other investments, $30.8 million to develop our land and development assets and $23.3 million of capital to reposition or redevelop our operating properties and invest in net lease assets. Also during the three months ended June 30, 2016, we generated $461.0 million of proceeds from loan repayments and asset sales within our portfolio, comprised of $183.1 million from real estate finance, $231.9 million from operating properties, $20.3 million from net lease assets, $25.1 million from land and development assets and $0.6 million from other investments. These amounts are inclusive of fundings and proceeds from both consolidated investments and our pro rata share from equity method investments. As of June 30, 2016, we had unrestricted cash of $521.4 million.</w:t>
      </w:r>
    </w:p>
    <w:p>
      <w:pPr>
        <w:spacing w:after="0" w:line="1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outlines our capital expenditures on real estate and land and development assets as reflected in our consolidated statements of cash flows for the six months ended June 30, 2016 and 2015, by segment ($ in thousands):</w:t>
      </w:r>
    </w:p>
    <w:p>
      <w:pPr>
        <w:spacing w:after="0" w:line="284"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Six Months Ended June 30,</w:t>
            </w:r>
          </w:p>
        </w:tc>
        <w:tc>
          <w:tcPr>
            <w:tcW w:w="660" w:type="dxa"/>
            <w:vAlign w:val="bottom"/>
            <w:tcBorders>
              <w:bottom w:val="single" w:sz="8" w:color="auto"/>
            </w:tcBorders>
          </w:tcPr>
          <w:p>
            <w:pPr>
              <w:spacing w:after="0"/>
              <w:rPr>
                <w:sz w:val="16"/>
                <w:szCs w:val="16"/>
                <w:color w:val="auto"/>
              </w:rPr>
            </w:pPr>
          </w:p>
        </w:tc>
      </w:tr>
      <w:tr>
        <w:trPr>
          <w:trHeight w:val="264"/>
        </w:trPr>
        <w:tc>
          <w:tcPr>
            <w:tcW w:w="56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Properties</w:t>
            </w: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33,367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30,404</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Net Lease</w:t>
            </w: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2,307</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2,806</w:t>
            </w:r>
          </w:p>
        </w:tc>
      </w:tr>
      <w:tr>
        <w:trPr>
          <w:trHeight w:val="27"/>
        </w:trPr>
        <w:tc>
          <w:tcPr>
            <w:tcW w:w="56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capital expenditures on real estate assets</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35,674</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33,210</w:t>
            </w:r>
          </w:p>
        </w:tc>
      </w:tr>
      <w:tr>
        <w:trPr>
          <w:trHeight w:val="20"/>
        </w:trPr>
        <w:tc>
          <w:tcPr>
            <w:tcW w:w="5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11"/>
        </w:trPr>
        <w:tc>
          <w:tcPr>
            <w:tcW w:w="5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Development</w:t>
            </w: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58,961</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42,050</w:t>
            </w:r>
          </w:p>
        </w:tc>
      </w:tr>
      <w:tr>
        <w:trPr>
          <w:trHeight w:val="257"/>
        </w:trPr>
        <w:tc>
          <w:tcPr>
            <w:tcW w:w="5600" w:type="dxa"/>
            <w:vAlign w:val="bottom"/>
          </w:tcPr>
          <w:p>
            <w:pPr>
              <w:ind w:left="160"/>
              <w:spacing w:after="0"/>
              <w:rPr>
                <w:sz w:val="20"/>
                <w:szCs w:val="20"/>
                <w:color w:val="auto"/>
              </w:rPr>
            </w:pPr>
            <w:r>
              <w:rPr>
                <w:rFonts w:ascii="Arial" w:cs="Arial" w:eastAsia="Arial" w:hAnsi="Arial"/>
                <w:sz w:val="18"/>
                <w:szCs w:val="18"/>
                <w:color w:val="auto"/>
              </w:rPr>
              <w:t>Total capital expenditures on land and development assets</w:t>
            </w: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58,961</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42,050</w:t>
            </w:r>
          </w:p>
        </w:tc>
      </w:tr>
      <w:tr>
        <w:trPr>
          <w:trHeight w:val="20"/>
        </w:trPr>
        <w:tc>
          <w:tcPr>
            <w:tcW w:w="5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2" w:right="2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primary cash uses over the next 12 months are expected to be funding of investments, repayment of debt, capital expenditures and funding ongoing business operations. During the six months ended June 30, 2016, we repaid in full the $323.2 million 2012 Secured Tranche A-2 Facility (as defined below), the $265.0 million principal amount of senior unsecured notes due July 2016 and the $261.4 million principal amount of senior unsecured notes due March 2016. We have other debt maturities of $774.7 million due before June 30, 2017. Over the next 12 months, we currently expect to fund in the range of approximately $175 million to $250 million of capital expenditures within our portfolio. The majority of these amounts relate to our land and development and operating properties business segments and include multifamily and residential development activities which are expected to include approximately $85 million in vertical construction. The amount spent will depend on the pace of our development activities as well as the extent to which we strategically partner with others to complete these projects. As of June 30, 2016, we also had approximately $537 million of maximum unfunded commitments associated with our investments of which we expect to fund the majority over the next two years, assuming borrowers and tenants meet all milestones and performance hurdles and all other conditions to fundings are met (see "Unfunded Commitments" below). Our capital sources to meet cash uses through the next 12 months and beyond will primarily be expected to include cash on hand, income from our portfolio, loan repayments from borrowers, proceeds from asset sales, borrowings available under our 2015 Secured Revolving Credit Facility and capital raised through debt and/or equity capital raising transactions.</w:t>
      </w:r>
    </w:p>
    <w:p>
      <w:pPr>
        <w:spacing w:after="0" w:line="12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cannot predict with certainty the specific transactions we will undertake to generate sufficient liquidity to meet our obligations as they come due. We will adjust our plans as appropriate in response to changes in our expectations and changes in market conditions. While economic trends have stabilized, it is not possible for us to predict whether these trends will continue or to quantify the impact of these or other trends on our financial results.</w:t>
      </w:r>
    </w:p>
    <w:p>
      <w:pPr>
        <w:spacing w:after="0" w:line="1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b w:val="1"/>
          <w:bCs w:val="1"/>
          <w:i w:val="1"/>
          <w:iCs w:val="1"/>
          <w:color w:val="auto"/>
        </w:rPr>
        <w:t>Contractual Obligations</w:t>
      </w:r>
      <w:r>
        <w:rPr>
          <w:rFonts w:ascii="Arial" w:cs="Arial" w:eastAsia="Arial" w:hAnsi="Arial"/>
          <w:sz w:val="18"/>
          <w:szCs w:val="18"/>
          <w:color w:val="auto"/>
        </w:rPr>
        <w:t>—The following table outlines the contractual obligations related to our long-term debt obligations, loan participations payable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operating lease obligations as of June 30, 2016 (refer to Note 10 to the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Amounts Due By Period</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Less Than 1</w:t>
            </w:r>
          </w:p>
        </w:tc>
        <w:tc>
          <w:tcPr>
            <w:tcW w:w="220" w:type="dxa"/>
            <w:vAlign w:val="bottom"/>
          </w:tcPr>
          <w:p>
            <w:pPr>
              <w:spacing w:after="0"/>
              <w:rPr>
                <w:sz w:val="13"/>
                <w:szCs w:val="13"/>
                <w:color w:val="auto"/>
              </w:rPr>
            </w:pPr>
          </w:p>
        </w:tc>
        <w:tc>
          <w:tcPr>
            <w:tcW w:w="92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1 - 3</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ind w:right="473"/>
              <w:spacing w:after="0" w:line="153" w:lineRule="exact"/>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5 - 10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After 10</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 Obligations</w:t>
            </w: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Unsecured notes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2,969,722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774,722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w w:val="99"/>
              </w:rPr>
              <w:t>1,150,000</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770,000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credit facilities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450,000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8,855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437,778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Revolving credit facility</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term loans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235,016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25,857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38,854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debt obligations</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principal maturities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3,804,738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787,562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1,234,712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1,246,632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435,205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100,627</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Interest Payable</w:t>
            </w:r>
            <w:r>
              <w:rPr>
                <w:rFonts w:ascii="Arial" w:cs="Arial" w:eastAsia="Arial" w:hAnsi="Arial"/>
                <w:sz w:val="25"/>
                <w:szCs w:val="25"/>
                <w:b w:val="1"/>
                <w:bCs w:val="1"/>
                <w:color w:val="auto"/>
                <w:vertAlign w:val="superscript"/>
              </w:rPr>
              <w:t>(1)</w:t>
            </w:r>
          </w:p>
        </w:tc>
        <w:tc>
          <w:tcPr>
            <w:tcW w:w="340" w:type="dxa"/>
            <w:vAlign w:val="bottom"/>
          </w:tcPr>
          <w:p>
            <w:pPr>
              <w:spacing w:after="0"/>
              <w:rPr>
                <w:sz w:val="23"/>
                <w:szCs w:val="23"/>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607,386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197,736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257,842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107,033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24,168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20,607</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Loan Participations Payable</w:t>
            </w:r>
            <w:r>
              <w:rPr>
                <w:rFonts w:ascii="Arial" w:cs="Arial" w:eastAsia="Arial" w:hAnsi="Arial"/>
                <w:sz w:val="25"/>
                <w:szCs w:val="25"/>
                <w:b w:val="1"/>
                <w:bCs w:val="1"/>
                <w:color w:val="auto"/>
                <w:vertAlign w:val="superscript"/>
              </w:rPr>
              <w:t>(2)</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188,112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128,444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59,668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Operating Lease Obligations</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23,745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5,609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8,470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3,643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180"/>
              <w:spacing w:after="0" w:line="264" w:lineRule="exact"/>
              <w:rPr>
                <w:sz w:val="20"/>
                <w:szCs w:val="20"/>
                <w:color w:val="auto"/>
              </w:rPr>
            </w:pPr>
            <w:r>
              <w:rPr>
                <w:rFonts w:ascii="Arial" w:cs="Arial" w:eastAsia="Arial" w:hAnsi="Arial"/>
                <w:sz w:val="18"/>
                <w:szCs w:val="18"/>
                <w:b w:val="1"/>
                <w:bCs w:val="1"/>
                <w:color w:val="auto"/>
              </w:rPr>
              <w:t>Total</w:t>
            </w:r>
            <w:r>
              <w:rPr>
                <w:rFonts w:ascii="Arial" w:cs="Arial" w:eastAsia="Arial" w:hAnsi="Arial"/>
                <w:sz w:val="25"/>
                <w:szCs w:val="25"/>
                <w:b w:val="1"/>
                <w:bCs w:val="1"/>
                <w:color w:val="auto"/>
                <w:vertAlign w:val="superscript"/>
              </w:rPr>
              <w:t>(3)</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4,623,981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990,907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1,629,468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1,419,356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463,016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121,234</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-98425</wp:posOffset>
            </wp:positionV>
            <wp:extent cx="49999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ind w:left="500" w:hanging="49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Variable-rate debt assumes 1-month LIBOR of 0.46% and 3-month LIBOR of 0.65% that were in effect as of June 30, 2016.</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Refer to Note 9 to the consolidated financial statements.</w:t>
      </w:r>
    </w:p>
    <w:p>
      <w:pPr>
        <w:spacing w:after="0" w:line="1" w:lineRule="exact"/>
        <w:rPr>
          <w:rFonts w:ascii="Arial" w:cs="Arial" w:eastAsia="Arial" w:hAnsi="Arial"/>
          <w:sz w:val="14"/>
          <w:szCs w:val="14"/>
          <w:color w:val="auto"/>
        </w:rPr>
      </w:pPr>
    </w:p>
    <w:p>
      <w:pPr>
        <w:ind w:left="500" w:right="20" w:hanging="492"/>
        <w:spacing w:after="0" w:line="255"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also have issued letters of credit totaling $2.2 million in connection with our investments. See "Unfunded Commitments" below for a discussion of certain unfunded commitments related to our lending and net lease businesses.</w:t>
      </w:r>
    </w:p>
    <w:p>
      <w:pPr>
        <w:spacing w:after="0" w:line="132"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6"/>
          <w:szCs w:val="16"/>
          <w:b w:val="1"/>
          <w:bCs w:val="1"/>
          <w:color w:val="auto"/>
        </w:rPr>
        <w:t>2016 Senior Secured Credit Facility</w:t>
      </w:r>
      <w:r>
        <w:rPr>
          <w:rFonts w:ascii="Arial" w:cs="Arial" w:eastAsia="Arial" w:hAnsi="Arial"/>
          <w:sz w:val="16"/>
          <w:szCs w:val="16"/>
          <w:color w:val="auto"/>
        </w:rPr>
        <w:t>—In June 2016, we entered into a senior secured credit facility of $450.0 million (the "2016 Senior Secured Credit</w:t>
      </w:r>
      <w:r>
        <w:rPr>
          <w:rFonts w:ascii="Arial" w:cs="Arial" w:eastAsia="Arial" w:hAnsi="Arial"/>
          <w:sz w:val="16"/>
          <w:szCs w:val="16"/>
          <w:b w:val="1"/>
          <w:bCs w:val="1"/>
          <w:color w:val="auto"/>
        </w:rPr>
        <w:t xml:space="preserve"> </w:t>
      </w:r>
      <w:r>
        <w:rPr>
          <w:rFonts w:ascii="Arial" w:cs="Arial" w:eastAsia="Arial" w:hAnsi="Arial"/>
          <w:sz w:val="16"/>
          <w:szCs w:val="16"/>
          <w:color w:val="auto"/>
        </w:rPr>
        <w:t>Facility"). The 2016 Senior Secured Credit Facility was issued at 99% of par and bears interest at a floating rate of LIBOR plus 4.50% with a 1.00% LIBOR floor. The 2016 Senior Secured Credit Facility is collateralized 1.25x by a first lien on a fixed pool of assets. Proceeds from principal repayments and sales of collateral are applied to amortize the 2016 Secured Credit Facility. Proceeds received for interest, rent, lease payments and fee income are retained by us. We may also make optional prepayments, subject to prepayment fees, and are required to repay 0.25% of the principal amount outstanding on the first business day of each quarter beginning on October 3, 2016. Proceeds from the 2016 Senior Secured Credit Facility were primarily used to repay in full the $323.2 million 2012 Secured Tranche A-2 Facility (as defined below) and pay down the 2015 Secured Revolving Credit Facility (as defined below).</w:t>
      </w:r>
    </w:p>
    <w:p>
      <w:pPr>
        <w:spacing w:after="0" w:line="121"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2015 Secured Revolving Credit Facility</w:t>
      </w:r>
      <w:r>
        <w:rPr>
          <w:rFonts w:ascii="Arial" w:cs="Arial" w:eastAsia="Arial" w:hAnsi="Arial"/>
          <w:sz w:val="18"/>
          <w:szCs w:val="18"/>
          <w:color w:val="auto"/>
        </w:rPr>
        <w:t>—In March 2015, we entered into a secured revolving credit facility with a maximum capacity of $250.0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(the "2015 Secured Revolving Credit Facility"). Borrowings under this credit facility bear interest at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floating rate indexed to one of several base rates plus a margin which adjusts upward or downward based upon our corporate credit rating. An undrawn credit facility commitment fee ranges from 0.375% to 0.50%, based on average utilization each quarter. During the three months ended June 30, 2016, the weighted average cost of the credit facility was 3.21%. Commitments under the revolving facility mature in March 2018. At maturity, we may convert outstanding borrowings to a one-year term loan which matures in quarterly installments through March 2019.</w:t>
      </w:r>
    </w:p>
    <w:p>
      <w:pPr>
        <w:spacing w:after="0" w:line="142"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color w:val="auto"/>
        </w:rPr>
        <w:t>2012 Secured Credit Facilities</w:t>
      </w:r>
      <w:r>
        <w:rPr>
          <w:rFonts w:ascii="Arial" w:cs="Arial" w:eastAsia="Arial" w:hAnsi="Arial"/>
          <w:sz w:val="18"/>
          <w:szCs w:val="18"/>
          <w:color w:val="auto"/>
        </w:rPr>
        <w:t>—In March 2012, we entered into an $880.0 million senior secured credit agreement providing for two tranches of term</w:t>
      </w:r>
      <w:r>
        <w:rPr>
          <w:rFonts w:ascii="Arial" w:cs="Arial" w:eastAsia="Arial" w:hAnsi="Arial"/>
          <w:sz w:val="18"/>
          <w:szCs w:val="18"/>
          <w:b w:val="1"/>
          <w:bCs w:val="1"/>
          <w:color w:val="auto"/>
        </w:rPr>
        <w:t xml:space="preserve"> </w:t>
      </w:r>
      <w:r>
        <w:rPr>
          <w:rFonts w:ascii="Arial" w:cs="Arial" w:eastAsia="Arial" w:hAnsi="Arial"/>
          <w:sz w:val="18"/>
          <w:szCs w:val="18"/>
          <w:color w:val="auto"/>
        </w:rPr>
        <w:t>loans: a $410.0 million 2012 A-1 tranche due March 2016, which accrued interest at a rate of LIBOR + 4.00% (the "2012 Secured Tranche A-1 Facility"), and a $470.0 million 2012 A-2 tranche due March 2017, which accrued interest at a rate of LIBOR + 5.75% (the "2012 Secured Tranche A-2 Facility," together the "2012 Secured Credit Facilities"). The 2012 A-1 and A-2 tranches were issued at 98.0% of par and 98.5% of par, respectively, and both tranches included a LIBOR floor of 1.25%.</w:t>
      </w:r>
    </w:p>
    <w:p>
      <w:pPr>
        <w:spacing w:after="0" w:line="14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2012 Secured Tranche A-1 Facility was fully repaid in August 2013. In June 2016, proceeds from the 2016 Senior Secured Credit Facility were used to repay in full the 2012 Secured Tranche A-2 Facility. During the three and six months ended June 30, 2016 , repayments of the 2012 Secured Tranche A-2 Facility prior to maturity resulted in losses on early extinguishment of debt of $1.1 million and $1.2 million, respectively, related to the accelerated amortization of discounts and unamortized deferred financing fees on the portion of the facility that was repaid. During the three and six months ended June 30, 2015, repayments of the 2012 Secured Tranche A-2 Facility prior to maturity resulted in losses on early extinguishment of debt of $0.1 million and $0.2 million, respectively.These amounts are included in "Loss on early extinguishment of debt, net" in our consolidated statements of operations.</w:t>
      </w:r>
    </w:p>
    <w:p>
      <w:pPr>
        <w:spacing w:after="0" w:line="161"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6"/>
          <w:szCs w:val="16"/>
          <w:b w:val="1"/>
          <w:bCs w:val="1"/>
          <w:color w:val="auto"/>
        </w:rPr>
        <w:t>Unsecured Notes</w:t>
      </w:r>
      <w:r>
        <w:rPr>
          <w:rFonts w:ascii="Arial" w:cs="Arial" w:eastAsia="Arial" w:hAnsi="Arial"/>
          <w:sz w:val="16"/>
          <w:szCs w:val="16"/>
          <w:color w:val="auto"/>
        </w:rPr>
        <w:t>—In March 2016, we repaid our $261.4 million principal amount of 5.875% senior unsecured notes at maturity using available cash.</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we issued $275.0 million principal amount of 6.50% senior unsecured notes due July 2021. Proceeds from the offering were primarily used to repay in full the $265.0 million principal amount of senior unsecured notes due July 2016 and repay $5.0 million of the 2015 Secured Revolving Credit Facility. During the three and six months ended June 30, 2016, repayments of unsecured notes prior to maturity resulted in losses on early extinguishment of debt of $0.4 million. This amount is included in "Loss on early extinguishment of debt, net" in the Company's consolidated statements of operations.</w:t>
      </w:r>
    </w:p>
    <w:p>
      <w:pPr>
        <w:spacing w:after="0" w:line="154"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b w:val="1"/>
          <w:bCs w:val="1"/>
          <w:color w:val="auto"/>
        </w:rPr>
        <w:t>Encumbered/Unencumbered Assets</w:t>
      </w:r>
      <w:r>
        <w:rPr>
          <w:rFonts w:ascii="Arial" w:cs="Arial" w:eastAsia="Arial" w:hAnsi="Arial"/>
          <w:sz w:val="18"/>
          <w:szCs w:val="18"/>
          <w:color w:val="auto"/>
        </w:rPr>
        <w:t>—As of June 30, 2016 and December 31, 2015, the carrying value of our encumbered and unencumbered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by asset type are as follows ($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w w:val="85"/>
              </w:rPr>
              <w:t>As of</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June 30, 2016</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Encumbered Assets</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Unencumbered</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903,185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532,735</w:t>
            </w:r>
          </w:p>
        </w:tc>
        <w:tc>
          <w:tcPr>
            <w:tcW w:w="56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816,721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777,262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available and held for sale</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126,070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10,593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126,681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1,023,649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984,249</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Loans receivable and other lending investments, net</w:t>
            </w:r>
            <w:r>
              <w:rPr>
                <w:rFonts w:ascii="Arial" w:cs="Arial" w:eastAsia="Arial" w:hAnsi="Arial"/>
                <w:sz w:val="25"/>
                <w:szCs w:val="25"/>
                <w:color w:val="auto"/>
                <w:vertAlign w:val="superscript"/>
              </w:rPr>
              <w:t>(1)(2)</w:t>
            </w:r>
          </w:p>
        </w:tc>
        <w:tc>
          <w:tcPr>
            <w:tcW w:w="3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169,117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1,249,698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170,162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1,314,823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231,820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and other assets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804,199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1,008,415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1,094,666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3,965,107</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1,037,542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4,443,250</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-98425</wp:posOffset>
            </wp:positionV>
            <wp:extent cx="36874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ind w:left="500" w:hanging="492"/>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of June 30, 2016 and December 31, 2015, the amounts presented exclude general reserves for loan losses of $37.0 million and $36.0 million, respectively.</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of June 30, 2016 and December 31, 2015, the amounts presented exclude loan participations of $186.6 million and $153.0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8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outstanding unsecured debt securities contain corporate level covenants that include a covenant to maintain a ratio of unencumbered assets to unsecured indebtedness of at least 1.2x and a covenant not to incur additional indebtedness (except for incurrences of permitted debt), if on a pro forma basis, our consolidated fixed charge coverage ratio, determined in accordance with the indentures governing our debt securities, is 1.5x or lower. If any of our covenants are breached and not cured within applicable cure periods, the breach could result in acceleration of our debt securities unless a waiver or modification is agreed upon with the requisite percentage of the bondholders. While our ability to incur additional indebtedness under the fixed charge coverage ratio is currently limited, we are permitted to incur indebtedness for the purpose of refinancing existing indebtedness and for other permitted purposes under the indentures.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2016 Senior Secured Credit Facility and the 2015 Secured Revolving Credit Facility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2016 Senior Secured Credit Facility requires us to maintain collateral coverage of at least 1.25x outstanding borrowings on the facility. The 2015 Secured Revolving Credit Facility is secured by a borrowing base of assets and requires us to maintain both collateral coverage of at least 1.5x outstanding borrowings on the facility and a consolidated ratio of cash flow to fixed charges of at least 1.5x. The 2015 Secured Revolving Credit Facility does not require that proceeds from the borrowing base be used to pay down outstanding borrowings provided the collateral coverage remains at least 1.5x outstanding borrowings on the facility. To satisfy this covenant, we have the option to pay down outstanding borrowings or substitute assets in the borrowing base. In addition, for so long as we maintain our qualification as a REIT, the 2016 Senior Secured Credit Facility and the 2015 Secured Revolving Credit Facility permit us to distribute 100% of our REIT taxable income on an annual basis (prior to deducting certain cumulative NOL carryforwards). We may not pay common dividends if we cease to qualify as a REIT.</w:t>
      </w:r>
    </w:p>
    <w:p>
      <w:pPr>
        <w:spacing w:after="0" w:line="17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2016 Senior Secured Credit Facility and the 2015 Secured Revolving Credit Facility contain cross default provisions that would allow the lenders to declare an event of default and accelerate our indebtedness to them if we fail to pay amounts due in respect of our other recourse indebtedness in excess of specified thresholds or if the lenders under such other indebtedness are otherwise permitted to accelerate such indebtedness for any reason. The indentures governing our unsecured public debt securities permit the bondholders to declare an event of default and accelerate our indebtedness to them if our other recourse indebtedness in excess of specified thresholds is not paid at final maturity or if such indebtedness is accelerated.</w:t>
      </w:r>
    </w:p>
    <w:p>
      <w:pPr>
        <w:spacing w:after="0" w:line="114"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b w:val="1"/>
          <w:bCs w:val="1"/>
          <w:color w:val="auto"/>
        </w:rPr>
        <w:t>Derivatives</w:t>
      </w:r>
      <w:r>
        <w:rPr>
          <w:rFonts w:ascii="Arial" w:cs="Arial" w:eastAsia="Arial" w:hAnsi="Arial"/>
          <w:sz w:val="18"/>
          <w:szCs w:val="18"/>
          <w:color w:val="auto"/>
        </w:rPr>
        <w:t>—Our use of derivative financial instruments is primarily limited to the utilization of interest rate swaps, interest rate caps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to manage interest rate risk exposure and foreign exchange contracts to manage our risk to changes in foreign currencies. Refer to Note 12 to the consolidated financial statements.</w:t>
      </w:r>
    </w:p>
    <w:p>
      <w:pPr>
        <w:spacing w:after="0" w:line="176" w:lineRule="exact"/>
        <w:rPr>
          <w:sz w:val="20"/>
          <w:szCs w:val="20"/>
          <w:color w:val="auto"/>
        </w:rPr>
      </w:pPr>
    </w:p>
    <w:p>
      <w:pPr>
        <w:jc w:val="both"/>
        <w:ind w:firstLine="432"/>
        <w:spacing w:after="0" w:line="314" w:lineRule="auto"/>
        <w:rPr>
          <w:sz w:val="20"/>
          <w:szCs w:val="20"/>
          <w:color w:val="auto"/>
        </w:rPr>
      </w:pPr>
      <w:r>
        <w:rPr>
          <w:rFonts w:ascii="Arial" w:cs="Arial" w:eastAsia="Arial" w:hAnsi="Arial"/>
          <w:sz w:val="16"/>
          <w:szCs w:val="16"/>
          <w:b w:val="1"/>
          <w:bCs w:val="1"/>
          <w:color w:val="auto"/>
        </w:rPr>
        <w:t>Off-Balance Sheet Arrangements</w:t>
      </w:r>
      <w:r>
        <w:rPr>
          <w:rFonts w:ascii="Arial" w:cs="Arial" w:eastAsia="Arial" w:hAnsi="Arial"/>
          <w:sz w:val="16"/>
          <w:szCs w:val="16"/>
          <w:color w:val="auto"/>
        </w:rPr>
        <w:t>—We are not dependent on the use of any off-balance sheet financing arrangements for liquidity. We have made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in various unconsolidated ventures. Refer to Note 7 to the consolidated financial statements for further details of our unconsolidated investments. Our maximum exposure to loss from these investments is limited to the carrying value of our investments and any unfunded commitments (see below).</w:t>
      </w:r>
    </w:p>
    <w:p>
      <w:pPr>
        <w:spacing w:after="0" w:line="14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b w:val="1"/>
          <w:bCs w:val="1"/>
          <w:color w:val="auto"/>
        </w:rPr>
        <w:t>Unfunded Commitments</w:t>
      </w:r>
      <w:r>
        <w:rPr>
          <w:rFonts w:ascii="Arial" w:cs="Arial" w:eastAsia="Arial" w:hAnsi="Arial"/>
          <w:sz w:val="17"/>
          <w:szCs w:val="17"/>
          <w:color w:val="auto"/>
        </w:rPr>
        <w:t>—We generally fund construction and development loans and build-outs of space in real estate assets over a period of time if</w:t>
      </w:r>
      <w:r>
        <w:rPr>
          <w:rFonts w:ascii="Arial" w:cs="Arial" w:eastAsia="Arial" w:hAnsi="Arial"/>
          <w:sz w:val="17"/>
          <w:szCs w:val="17"/>
          <w:b w:val="1"/>
          <w:bCs w:val="1"/>
          <w:color w:val="auto"/>
        </w:rPr>
        <w:t xml:space="preserve"> </w:t>
      </w:r>
      <w:r>
        <w:rPr>
          <w:rFonts w:ascii="Arial" w:cs="Arial" w:eastAsia="Arial" w:hAnsi="Arial"/>
          <w:sz w:val="17"/>
          <w:szCs w:val="17"/>
          <w:color w:val="auto"/>
        </w:rPr>
        <w:t>and when the borrowers and tenants meet established milestones and other performance criteria. We refer to these arrangements as Performance-Based Commitments. In addition, we sometimes establish a maximum amount of additional funding which we will make available to a borrower or tenant for an expansion or addition to a project if we approve of the expansion or addition in our sole discretion. We refer to these arrangements as Discretionary Fundings. Finally, we have committed to invest capital in several real estate funds and other ventures. These arrangements are referred to as Strategic Investments. As of June 30, 2016, the maximum amounts of the fundings we may make under each category, assuming all performance hurdles and milestones are met under the Performance-Based Commitments, that we approve all Discretionary Fundings and that 100% of our capital committed to Strategic Investments is drawn down, are as follows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Loans and Other Lending</w:t>
            </w: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Real Estate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Other</w:t>
            </w:r>
          </w:p>
        </w:tc>
        <w:tc>
          <w:tcPr>
            <w:tcW w:w="460" w:type="dxa"/>
            <w:vAlign w:val="bottom"/>
          </w:tcPr>
          <w:p>
            <w:pPr>
              <w:spacing w:after="0"/>
              <w:rPr>
                <w:sz w:val="14"/>
                <w:szCs w:val="14"/>
                <w:color w:val="auto"/>
              </w:rPr>
            </w:pPr>
          </w:p>
        </w:tc>
        <w:tc>
          <w:tcPr>
            <w:tcW w:w="1460" w:type="dxa"/>
            <w:vAlign w:val="bottom"/>
            <w:vMerge w:val="restart"/>
          </w:tcPr>
          <w:p>
            <w:pPr>
              <w:jc w:val="right"/>
              <w:ind w:right="7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Investments</w:t>
            </w:r>
            <w:r>
              <w:rPr>
                <w:rFonts w:ascii="Arial" w:cs="Arial" w:eastAsia="Arial" w:hAnsi="Arial"/>
                <w:sz w:val="8"/>
                <w:szCs w:val="8"/>
                <w:b w:val="1"/>
                <w:bCs w:val="1"/>
                <w:color w:val="auto"/>
                <w:w w:val="91"/>
              </w:rPr>
              <w:t>(1)</w:t>
            </w:r>
          </w:p>
        </w:tc>
        <w:tc>
          <w:tcPr>
            <w:tcW w:w="132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Investments</w:t>
            </w:r>
          </w:p>
        </w:tc>
        <w:tc>
          <w:tcPr>
            <w:tcW w:w="4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Commitments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452,314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14,458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20,363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487,135</w:t>
            </w:r>
          </w:p>
        </w:tc>
        <w:tc>
          <w:tcPr>
            <w:tcW w:w="0" w:type="dxa"/>
            <w:vAlign w:val="bottom"/>
          </w:tcPr>
          <w:p>
            <w:pPr>
              <w:spacing w:after="0"/>
              <w:rPr>
                <w:sz w:val="1"/>
                <w:szCs w:val="1"/>
                <w:color w:val="auto"/>
              </w:rPr>
            </w:pP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Strategic Investments</w:t>
            </w:r>
          </w:p>
        </w:tc>
        <w:tc>
          <w:tcPr>
            <w:tcW w:w="140" w:type="dxa"/>
            <w:vAlign w:val="bottom"/>
          </w:tcPr>
          <w:p>
            <w:pPr>
              <w:spacing w:after="0"/>
              <w:rPr>
                <w:sz w:val="21"/>
                <w:szCs w:val="21"/>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45,902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45,902</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Discretionary Fundings</w:t>
            </w: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4,258</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50"/>
        </w:trPr>
        <w:tc>
          <w:tcPr>
            <w:tcW w:w="330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456,572</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ind w:right="111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14,458</w:t>
            </w:r>
          </w:p>
        </w:tc>
        <w:tc>
          <w:tcPr>
            <w:tcW w:w="12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66,265</w:t>
            </w:r>
          </w:p>
        </w:tc>
        <w:tc>
          <w:tcPr>
            <w:tcW w:w="120" w:type="dxa"/>
            <w:vAlign w:val="bottom"/>
          </w:tcPr>
          <w:p>
            <w:pPr>
              <w:spacing w:after="0"/>
              <w:rPr>
                <w:sz w:val="21"/>
                <w:szCs w:val="21"/>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537,295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8890</wp:posOffset>
            </wp:positionV>
            <wp:extent cx="51200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2000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-98425</wp:posOffset>
            </wp:positionV>
            <wp:extent cx="51200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20005" cy="8890"/>
                    </a:xfrm>
                    <a:prstGeom prst="rect">
                      <a:avLst/>
                    </a:prstGeom>
                    <a:noFill/>
                  </pic:spPr>
                </pic:pic>
              </a:graphicData>
            </a:graphic>
          </wp:anchor>
        </w:drawing>
      </w:r>
    </w:p>
    <w:p>
      <w:pPr>
        <w:ind w:left="500" w:hanging="492"/>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Excludes $230.9 million of commitments on loan participations sold that are not our obligation (refer to Note 9 to the consolidated financial statements).</w:t>
      </w:r>
    </w:p>
    <w:p>
      <w:pPr>
        <w:spacing w:after="0" w:line="206"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6"/>
          <w:szCs w:val="16"/>
          <w:b w:val="1"/>
          <w:bCs w:val="1"/>
          <w:color w:val="auto"/>
        </w:rPr>
        <w:t>Stock Repurchase Program</w:t>
      </w:r>
      <w:r>
        <w:rPr>
          <w:rFonts w:ascii="Arial" w:cs="Arial" w:eastAsia="Arial" w:hAnsi="Arial"/>
          <w:sz w:val="16"/>
          <w:szCs w:val="16"/>
          <w:color w:val="auto"/>
        </w:rPr>
        <w:t>—In February 2016, after having substantially utilized the remaining availability previously authorized, our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authorized a new $50.0 million stock repurchase program. The program authorizes the repurchase of common stock from time to time in open market and privately negotiated purchases, including pursuant to one or more trading plans. During the six months ended June 30, 2016, we repurchased 9.5 million shares of our outstanding common stock for $91.8 million, at an average cost of $9.71 per share. During the six months ended June 30, 2015, we repurchased 44,235 shares of our outstanding common stock for $0.6 million, at an average cost of $12.66 per share. As of June 30, 2016 and December 31, 2015, we had remaining authorization to repurchase up to $7.0 million and $48.7 million, respectively, of common stock under our stock repurchase program. Our Board of Directors authorized an increase to the stock repurchase program to $50.0 million, effective August 4, 2016.</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8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7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In accordance with the adoption of Accounting Standards Update ("ASU")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xml:space="preserve"> we present debt issuance costs as a deduction from the carrying value of "Debt obligations, net" and "Loan participations payable, net" on our consolidated balance sheets, which is consistent with the presentation of debt discounts. These costs were previously recorded in "Deferred expenses and other assets, net" on our consolidated balance sheets. However, debt issuance costs associated with revolving-debt arrangements are recorded in "Deferred expenses and other assets, net" on our consolidated balance sheets.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On January 1, 2016, we adopted ASU 2015-02, </w:t>
      </w:r>
      <w:r>
        <w:rPr>
          <w:rFonts w:ascii="Arial" w:cs="Arial" w:eastAsia="Arial" w:hAnsi="Arial"/>
          <w:sz w:val="18"/>
          <w:szCs w:val="18"/>
          <w:i w:val="1"/>
          <w:iCs w:val="1"/>
          <w:color w:val="auto"/>
        </w:rPr>
        <w:t>Amendments to the Consolidation Analysis,</w:t>
      </w:r>
      <w:r>
        <w:rPr>
          <w:rFonts w:ascii="Arial" w:cs="Arial" w:eastAsia="Arial" w:hAnsi="Arial"/>
          <w:sz w:val="18"/>
          <w:szCs w:val="18"/>
          <w:color w:val="auto"/>
        </w:rPr>
        <w:t xml:space="preserve"> which modified the analysis we must perform to determine whether we should consolidate certain types of entities. The guidance does not amend the existing disclosure requirements variable interest entities or voting interest entities ("VOEs"). The guidance, however, modified the requirements to qualify under the VOE model. The adoption did not have a material impact on our consolidated financial statements.</w:t>
      </w:r>
    </w:p>
    <w:p>
      <w:pPr>
        <w:spacing w:after="0" w:line="14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On January 1, 2016, we adopted ASU 2014-16, </w:t>
      </w:r>
      <w:r>
        <w:rPr>
          <w:rFonts w:ascii="Arial" w:cs="Arial" w:eastAsia="Arial" w:hAnsi="Arial"/>
          <w:sz w:val="18"/>
          <w:szCs w:val="18"/>
          <w:i w:val="1"/>
          <w:iCs w:val="1"/>
          <w:color w:val="auto"/>
        </w:rPr>
        <w:t>Determining Whether the Host Contract in a Hybrid Financial Instrument Issued in the Form of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Share is More Akin to Debt or to Equity </w:t>
      </w:r>
      <w:r>
        <w:rPr>
          <w:rFonts w:ascii="Arial" w:cs="Arial" w:eastAsia="Arial" w:hAnsi="Arial"/>
          <w:sz w:val="18"/>
          <w:szCs w:val="18"/>
          <w:color w:val="auto"/>
        </w:rPr>
        <w:t>("ASU 2014-16") which eliminated the diversity in practice for the accounting for hybrid financial instruments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form of a share. ASU 2014-16 requires management to consider all terms and features, whether stated or implied, of a hybrid instrument when determining whether the nature of the instrument is more akin to a debt instrument or an equity instrument. Embedded derivative features, which are accounted for separately from host contracts, should also be considered in the analysis of the hybrid instrument. The adoption did not have a material impact on our consolidated financial statements.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June 30, 2016, the remainder of our significant accounting policies, which are detailed in our 2015 Annual Report, have not changed materially.</w:t>
      </w:r>
    </w:p>
    <w:p>
      <w:pPr>
        <w:spacing w:after="0" w:line="20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b w:val="1"/>
          <w:bCs w:val="1"/>
          <w:i w:val="1"/>
          <w:iCs w:val="1"/>
          <w:color w:val="auto"/>
        </w:rPr>
        <w:t>New Accounting Pronouncements</w:t>
      </w:r>
      <w:r>
        <w:rPr>
          <w:rFonts w:ascii="Arial" w:cs="Arial" w:eastAsia="Arial" w:hAnsi="Arial"/>
          <w:sz w:val="18"/>
          <w:szCs w:val="18"/>
          <w:color w:val="auto"/>
        </w:rPr>
        <w:t>—For a discussion of the impact of new accounting pronouncements on our financial condition or results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refer to Note 3 to the consolidated financial statements.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w:t>
      </w:r>
    </w:p>
    <w:p>
      <w:pPr>
        <w:spacing w:after="0" w:line="28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Market risk is the exposure to loss resulting from changes in interest rates, foreign currency exchange rates, commodity prices and equity prices. In pursuing our business plan, the primary market risk to which we are exposed is interest rate risk. Our operating results will depend in part on the difference between the interest and related income earned on our assets and the interest expense incurred in connection with our interest-bearing liabilities. Changes in the general level of interest rates prevailing in the financial markets will affect the spread between our floating rate assets and liabilities subject to the net amount of floating rate assets/liabilities and the impact of interest rate floors and caps. Any significant compression of the spreads between interest-earning assets and interest-bearing liabilities could have a material adverse effect on us.</w:t>
      </w:r>
    </w:p>
    <w:p>
      <w:pPr>
        <w:spacing w:after="0" w:line="23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the event of a significant rising interest rate environment or economic downturn, defaults could increase and cause us to incur additional credit losses which would adversely affect our liquidity and operating results. Such delinquencies or defaults would likely have a material adverse effect on the spreads between interest-earning assets and interest-bearing liabilities. In addition, an increase in interest rates could, among other things, reduce the value of our fixed-rate interest-bearing assets and our ability to realize gains from the sale of such assets.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Interest rates are highly sensitive to many factors, including governmental monetary and tax policies, domestic and international economic and political conditions, and other factors beyond our control. We monitor the spreads between our interest-earning assets and interest-bearing liabilities and may implement hedging strategies to limit the effects of changes in interest rates on our operations, including engaging in interest rate swaps, interest rate caps and other interest rate-related derivative contracts. Such strategies are designed to reduce our exposure, on specific transactions or on a portfolio basis, to changes in cash flows as a result of interest rate movements in the market. We do not enter into derivative contracts for speculative purposes or as a hedge against changes in our credit risk or the credit risk of our borrowers.</w:t>
      </w:r>
    </w:p>
    <w:p>
      <w:pPr>
        <w:spacing w:after="0" w:line="24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While a REIT may utilize derivative instruments to hedge interest rate risk on its liabilities incurred to acquire or carry real estate assets without generating non-qualifying income, use of derivatives for other purposes will generate non-qualified income for REIT income test purposes. This includes hedging asset related risks such as credit, foreign exchange and interest rate exposure on our loan assets. As a result our ability to hedge these types of risks is limited. There can be no assurance that our profitability will not be materially adversely affected during any period as a result of changing interest rates.</w:t>
      </w:r>
    </w:p>
    <w:p>
      <w:pPr>
        <w:spacing w:after="0" w:line="20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table quantifies the potential changes in annual net income, assuming no change in our interest earning assets or interest bearing liabilities, should interest rates increase by 10, 50 or 100 basis points or decrease by 10 basis points, assuming no change in the shape of the yield curve (i.e., relative interest rates). The base interest rate scenario assumes the one-month LIBOR rate of 0.47% as of June 30, 2016. Actual results could differ significantly from those estimated in the table.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Change In Net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Change in Interest Rates</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Net Income</w:t>
            </w:r>
            <w:r>
              <w:rPr>
                <w:rFonts w:ascii="Arial" w:cs="Arial" w:eastAsia="Arial" w:hAnsi="Arial"/>
                <w:sz w:val="8"/>
                <w:szCs w:val="8"/>
                <w:b w:val="1"/>
                <w:bCs w:val="1"/>
                <w:color w:val="auto"/>
              </w:rPr>
              <w:t>(1)</w:t>
            </w: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 Basis Points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Base Interest Rate</w:t>
            </w:r>
          </w:p>
        </w:tc>
        <w:tc>
          <w:tcPr>
            <w:tcW w:w="38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 Basis Points</w:t>
            </w:r>
          </w:p>
        </w:tc>
        <w:tc>
          <w:tcPr>
            <w:tcW w:w="3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1,300</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+50 Basis Points</w:t>
            </w:r>
          </w:p>
        </w:tc>
        <w:tc>
          <w:tcPr>
            <w:tcW w:w="38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7,096</w:t>
            </w:r>
          </w:p>
        </w:tc>
      </w:tr>
      <w:tr>
        <w:trPr>
          <w:trHeight w:val="270"/>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+100 Basis Points</w:t>
            </w:r>
          </w:p>
        </w:tc>
        <w:tc>
          <w:tcPr>
            <w:tcW w:w="380" w:type="dxa"/>
            <w:vAlign w:val="bottom"/>
          </w:tcPr>
          <w:p>
            <w:pPr>
              <w:spacing w:after="0"/>
              <w:rPr>
                <w:sz w:val="23"/>
                <w:szCs w:val="23"/>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13,153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353314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3314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w:t>
      </w:r>
    </w:p>
    <w:p>
      <w:pPr>
        <w:spacing w:after="0" w:line="13" w:lineRule="exact"/>
        <w:rPr>
          <w:sz w:val="20"/>
          <w:szCs w:val="20"/>
          <w:color w:val="auto"/>
        </w:rPr>
      </w:pPr>
    </w:p>
    <w:p>
      <w:pPr>
        <w:jc w:val="both"/>
        <w:ind w:left="420" w:hanging="412"/>
        <w:spacing w:after="0" w:line="248" w:lineRule="auto"/>
        <w:tabs>
          <w:tab w:leader="none" w:pos="4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have an overall net variable-rate asset position, which results in an increase in net income when rates increase and a decrease in net income when rates decrease. As of June 30, 2016, $852.8 million of our floating rate loans have a cumulative weighted average interest rate floor of 0.7% and $578.4 million of our floating rate debt has a cumulative weighted average interest rate floor of 0.9%.</w:t>
      </w:r>
    </w:p>
    <w:p>
      <w:pPr>
        <w:spacing w:after="0" w:line="3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Company's Exchange Act reports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w:t>
      </w:r>
    </w:p>
    <w:p>
      <w:pPr>
        <w:spacing w:after="0" w:line="13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the disclosure committee and other members of management, including its Chief Executive Officer and Chief Financial Officer, of the effectiveness of the Company's disclosure controls and procedures pursuant to Exchange Act Rule 13a-15(b) or Rule 15d-15. Based upon that evaluation, the Chief Executive Officer and Chief Financial Officer concluded that the Company's disclosure controls and procedures are effective to provide reasonable assurance that the information required to be disclosed by the Company in the reports that it files or submits under the Exchange Act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spacing w:after="0" w:line="1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have been no changes during the last fiscal quarter in the Company's internal control over financial reporting that has materially affected, or is reasonably likely to materially affect, the Company's internal control over financial reporting.</w:t>
      </w:r>
    </w:p>
    <w:p>
      <w:pPr>
        <w:spacing w:after="0" w:line="13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sectPr>
          <w:pgSz w:w="11900" w:h="16838" w:orient="portrait"/>
          <w:cols w:equalWidth="0" w:num="1">
            <w:col w:w="11420"/>
          </w:cols>
          <w:pgMar w:left="240" w:top="122" w:right="239" w:bottom="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2" w:right="239" w:bottom="0" w:gutter="0" w:footer="0" w:header="0"/>
          <w:type w:val="continuous"/>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and/or one or more of its subsidiaries is party to various pending litigation matters that are considered ordinary routine litigation incidental to its real estate and real estate related business activities, including loan foreclosure and foreclosure-related proceedings. In addition to such matters, the Company is a party to the following legal proceedings: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Action</w:t>
      </w:r>
    </w:p>
    <w:p>
      <w:pPr>
        <w:spacing w:after="0" w:line="18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March 7, 2014, a shareholder action purporting to assert derivative, class and individual claims was filed in the Circuit Court for Baltimore City, Maryland naming the Company, a number of our current and former senior executives (including our chief executive officer) and current and former directors as defendants. The complaint sought unspecified damages and other relief and alleged breach of fiduciary duty, breach of contract and other causes of action arising out of shares of our common stock issued by the Company to our senior executives pursuant to restricted stock unit awards granted in December 2008 and modified in July 2011. The Company filed a Motion to Dismiss the plaintiffs’ claims, which the Circuit Court granted on October 30, 2014 and, as a result, all of plaintiffs' claims in this action were dismissed. Plaintiffs appealed the dismissal of their claims and on January 28, 2016, the Court of Special Appeals affirmed the order of the Circuit Court. Plaintiffs then filed a petition for certiorari with the Maryland Court of Appeals, requesting that the decision of the Court of Special Appeals be reversed. On May 20, 2016, the Maryland Court of Appeals granted the petition for writ of certiorari and agreed to hear the appeal.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Home Corporation ("Lennar") v. Settlers Crossing, LLC, et al. (Civil Action No. DKC 08-1863)</w:t>
      </w:r>
    </w:p>
    <w:p>
      <w:pPr>
        <w:spacing w:after="0" w:line="185"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On January 22, 2015, the United States District Court for the District of Maryland (the "Court") entered a judgment in favor of the Company in the matter of U.S. Home Corporation ("Lennar") v. Settlers Crossing, LLC, et al. (Civil Action No. DKC 08-1863). The litigation involved a dispute over the purchase and sale of approximately 1,250 acres of land in Prince George’s County, Maryland. The Court found that the Company is entitled to specific performance and awarded damages to it in the aggregate amount of: (i) the remaining purchase price to be paid by Lennar of $114.0 million; plus (ii) interest on the unpaid amount at a rate of 12% per annum, calculated on a per diem basis, from May 27, 2008, until Lennar proceeds to settlement on the land; plus</w:t>
      </w:r>
    </w:p>
    <w:p>
      <w:pPr>
        <w:spacing w:after="0" w:line="2" w:lineRule="exact"/>
        <w:rPr>
          <w:sz w:val="20"/>
          <w:szCs w:val="20"/>
          <w:color w:val="auto"/>
        </w:rPr>
      </w:pPr>
    </w:p>
    <w:p>
      <w:pPr>
        <w:jc w:val="both"/>
        <w:ind w:firstLine="8"/>
        <w:spacing w:after="0" w:line="288" w:lineRule="auto"/>
        <w:tabs>
          <w:tab w:leader="none" w:pos="315"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real estate taxes paid by the Company; plus (iv) actual and reasonable attorneys' fees and costs incurred by the Company in connection with the litigation. The Court ordered Lennar to proceed to settlement on the land and to pay the total amounts awarded to the Company within 30 days of the judgment. Lennar appealed the Court's judgment and has posted an appeal bond. The Court has granted Lennar's motion to stay the judgment pending appeal. The Court also clarified the judgment that the unpaid amount will accrue simple interest at a rate of 12% annually, including while the appeal is pending. In the pending appeal before the United States Court of Appeals for the Fourth Circuit, the parties have filed their respective briefs. Oral argument has not yet been scheduled. There can be no assurance as to the timing or actual receipt by the Company of amounts awarded by the Court or the outcome of any appeal. A third party purchased a participation interest in the Company's original loan and presently holds a 7.8% participation interest in all proceeds.</w:t>
      </w:r>
    </w:p>
    <w:p>
      <w:pPr>
        <w:spacing w:after="0" w:line="1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material changes from the risk factors previously disclosed in the Company's 2015 Annual Report.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the information with respect to purchases made by or on behalf of the Company of its common stock during the three months ended June 30, 2016.</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160" w:type="dxa"/>
            <w:vAlign w:val="bottom"/>
          </w:tcPr>
          <w:p>
            <w:pPr>
              <w:spacing w:after="0"/>
              <w:rPr>
                <w:sz w:val="18"/>
                <w:szCs w:val="18"/>
                <w:color w:val="auto"/>
              </w:rPr>
            </w:pPr>
          </w:p>
        </w:tc>
        <w:tc>
          <w:tcPr>
            <w:tcW w:w="2080" w:type="dxa"/>
            <w:vAlign w:val="bottom"/>
          </w:tcPr>
          <w:p>
            <w:pPr>
              <w:jc w:val="center"/>
              <w:ind w:right="50"/>
              <w:spacing w:after="0"/>
              <w:rPr>
                <w:sz w:val="20"/>
                <w:szCs w:val="20"/>
                <w:color w:val="auto"/>
              </w:rPr>
            </w:pPr>
            <w:r>
              <w:rPr>
                <w:rFonts w:ascii="Arial" w:cs="Arial" w:eastAsia="Arial" w:hAnsi="Arial"/>
                <w:sz w:val="18"/>
                <w:szCs w:val="18"/>
                <w:color w:val="auto"/>
                <w:w w:val="94"/>
              </w:rPr>
              <w:t>Maximum Dollar Value of</w:t>
            </w:r>
          </w:p>
        </w:tc>
      </w:tr>
      <w:tr>
        <w:trPr>
          <w:trHeight w:val="216"/>
        </w:trPr>
        <w:tc>
          <w:tcPr>
            <w:tcW w:w="3420" w:type="dxa"/>
            <w:vAlign w:val="bottom"/>
          </w:tcPr>
          <w:p>
            <w:pPr>
              <w:spacing w:after="0"/>
              <w:rPr>
                <w:sz w:val="18"/>
                <w:szCs w:val="18"/>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rPr>
              <w:t>Total Number of</w:t>
            </w:r>
          </w:p>
        </w:tc>
        <w:tc>
          <w:tcPr>
            <w:tcW w:w="1540" w:type="dxa"/>
            <w:vAlign w:val="bottom"/>
            <w:gridSpan w:val="2"/>
          </w:tcPr>
          <w:p>
            <w:pPr>
              <w:ind w:left="60"/>
              <w:spacing w:after="0"/>
              <w:rPr>
                <w:sz w:val="20"/>
                <w:szCs w:val="20"/>
                <w:color w:val="auto"/>
              </w:rPr>
            </w:pPr>
            <w:r>
              <w:rPr>
                <w:rFonts w:ascii="Arial" w:cs="Arial" w:eastAsia="Arial" w:hAnsi="Arial"/>
                <w:sz w:val="18"/>
                <w:szCs w:val="18"/>
                <w:color w:val="auto"/>
                <w:w w:val="94"/>
              </w:rPr>
              <w:t>Average Price Paid</w:t>
            </w:r>
          </w:p>
        </w:tc>
        <w:tc>
          <w:tcPr>
            <w:tcW w:w="2080" w:type="dxa"/>
            <w:vAlign w:val="bottom"/>
          </w:tcPr>
          <w:p>
            <w:pPr>
              <w:jc w:val="center"/>
              <w:spacing w:after="0"/>
              <w:rPr>
                <w:sz w:val="20"/>
                <w:szCs w:val="20"/>
                <w:color w:val="auto"/>
              </w:rPr>
            </w:pPr>
            <w:r>
              <w:rPr>
                <w:rFonts w:ascii="Arial" w:cs="Arial" w:eastAsia="Arial" w:hAnsi="Arial"/>
                <w:sz w:val="18"/>
                <w:szCs w:val="18"/>
                <w:color w:val="auto"/>
                <w:w w:val="87"/>
              </w:rPr>
              <w:t>Purchased as Part of a</w:t>
            </w:r>
          </w:p>
        </w:tc>
        <w:tc>
          <w:tcPr>
            <w:tcW w:w="160" w:type="dxa"/>
            <w:vAlign w:val="bottom"/>
          </w:tcPr>
          <w:p>
            <w:pPr>
              <w:spacing w:after="0"/>
              <w:rPr>
                <w:sz w:val="18"/>
                <w:szCs w:val="18"/>
                <w:color w:val="auto"/>
              </w:rPr>
            </w:pPr>
          </w:p>
        </w:tc>
        <w:tc>
          <w:tcPr>
            <w:tcW w:w="2080" w:type="dxa"/>
            <w:vAlign w:val="bottom"/>
          </w:tcPr>
          <w:p>
            <w:pPr>
              <w:jc w:val="center"/>
              <w:ind w:right="50"/>
              <w:spacing w:after="0"/>
              <w:rPr>
                <w:sz w:val="20"/>
                <w:szCs w:val="20"/>
                <w:color w:val="auto"/>
              </w:rPr>
            </w:pPr>
            <w:r>
              <w:rPr>
                <w:rFonts w:ascii="Arial" w:cs="Arial" w:eastAsia="Arial" w:hAnsi="Arial"/>
                <w:sz w:val="18"/>
                <w:szCs w:val="18"/>
                <w:color w:val="auto"/>
                <w:w w:val="88"/>
              </w:rPr>
              <w:t>Shares that May Yet be</w:t>
            </w:r>
          </w:p>
        </w:tc>
      </w:tr>
      <w:tr>
        <w:trPr>
          <w:trHeight w:val="257"/>
        </w:trPr>
        <w:tc>
          <w:tcPr>
            <w:tcW w:w="3420" w:type="dxa"/>
            <w:vAlign w:val="bottom"/>
            <w:tcBorders>
              <w:bottom w:val="single" w:sz="8" w:color="CCEEFF"/>
            </w:tcBorders>
          </w:tcPr>
          <w:p>
            <w:pPr>
              <w:spacing w:after="0"/>
              <w:rPr>
                <w:sz w:val="22"/>
                <w:szCs w:val="22"/>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Shares Purchased</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per Share</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Publicly Announced Plan</w:t>
            </w:r>
          </w:p>
        </w:tc>
        <w:tc>
          <w:tcPr>
            <w:tcW w:w="2240" w:type="dxa"/>
            <w:vAlign w:val="bottom"/>
            <w:tcBorders>
              <w:bottom w:val="single" w:sz="8" w:color="auto"/>
            </w:tcBorders>
            <w:gridSpan w:val="2"/>
          </w:tcPr>
          <w:p>
            <w:pPr>
              <w:jc w:val="center"/>
              <w:spacing w:after="0" w:line="257" w:lineRule="exact"/>
              <w:rPr>
                <w:sz w:val="20"/>
                <w:szCs w:val="20"/>
                <w:color w:val="auto"/>
              </w:rPr>
            </w:pPr>
            <w:r>
              <w:rPr>
                <w:rFonts w:ascii="Arial" w:cs="Arial" w:eastAsia="Arial" w:hAnsi="Arial"/>
                <w:sz w:val="18"/>
                <w:szCs w:val="18"/>
                <w:color w:val="auto"/>
                <w:w w:val="86"/>
              </w:rPr>
              <w:t>Purchased Under the Plans</w:t>
            </w:r>
            <w:r>
              <w:rPr>
                <w:rFonts w:ascii="Arial" w:cs="Arial" w:eastAsia="Arial" w:hAnsi="Arial"/>
                <w:sz w:val="25"/>
                <w:szCs w:val="25"/>
                <w:color w:val="auto"/>
                <w:w w:val="86"/>
                <w:vertAlign w:val="superscript"/>
              </w:rPr>
              <w:t>(1)</w:t>
            </w: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to April 30</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31,612</w:t>
            </w:r>
          </w:p>
        </w:tc>
        <w:tc>
          <w:tcPr>
            <w:tcW w:w="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9.21</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40,339,336</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May 1 to May 31</w:t>
            </w:r>
          </w:p>
        </w:tc>
        <w:tc>
          <w:tcPr>
            <w:tcW w:w="1740" w:type="dxa"/>
            <w:vAlign w:val="bottom"/>
          </w:tcPr>
          <w:p>
            <w:pPr>
              <w:jc w:val="right"/>
              <w:spacing w:after="0"/>
              <w:rPr>
                <w:sz w:val="20"/>
                <w:szCs w:val="20"/>
                <w:color w:val="auto"/>
              </w:rPr>
            </w:pPr>
            <w:r>
              <w:rPr>
                <w:rFonts w:ascii="Arial" w:cs="Arial" w:eastAsia="Arial" w:hAnsi="Arial"/>
                <w:sz w:val="18"/>
                <w:szCs w:val="18"/>
                <w:color w:val="auto"/>
              </w:rPr>
              <w:t>2,695,200</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9.33</w:t>
            </w:r>
          </w:p>
        </w:tc>
        <w:tc>
          <w:tcPr>
            <w:tcW w:w="2080" w:type="dxa"/>
            <w:vAlign w:val="bottom"/>
          </w:tcPr>
          <w:p>
            <w:pPr>
              <w:jc w:val="right"/>
              <w:spacing w:after="0"/>
              <w:rPr>
                <w:sz w:val="20"/>
                <w:szCs w:val="20"/>
                <w:color w:val="auto"/>
              </w:rPr>
            </w:pPr>
            <w:r>
              <w:rPr>
                <w:rFonts w:ascii="Arial" w:cs="Arial" w:eastAsia="Arial" w:hAnsi="Arial"/>
                <w:sz w:val="18"/>
                <w:szCs w:val="18"/>
                <w:color w:val="auto"/>
              </w:rPr>
              <w:t>2,695,200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15,194,572</w:t>
            </w:r>
          </w:p>
        </w:tc>
      </w:tr>
      <w:tr>
        <w:trPr>
          <w:trHeight w:val="270"/>
        </w:trPr>
        <w:tc>
          <w:tcPr>
            <w:tcW w:w="3420" w:type="dxa"/>
            <w:vAlign w:val="bottom"/>
          </w:tcPr>
          <w:p>
            <w:pPr>
              <w:ind w:left="40"/>
              <w:spacing w:after="0"/>
              <w:rPr>
                <w:sz w:val="20"/>
                <w:szCs w:val="20"/>
                <w:color w:val="auto"/>
              </w:rPr>
            </w:pPr>
            <w:r>
              <w:rPr>
                <w:rFonts w:ascii="Arial" w:cs="Arial" w:eastAsia="Arial" w:hAnsi="Arial"/>
                <w:sz w:val="18"/>
                <w:szCs w:val="18"/>
                <w:color w:val="auto"/>
              </w:rPr>
              <w:t>June 1 to June 30</w:t>
            </w:r>
          </w:p>
        </w:tc>
        <w:tc>
          <w:tcPr>
            <w:tcW w:w="1740" w:type="dxa"/>
            <w:vAlign w:val="bottom"/>
          </w:tcPr>
          <w:p>
            <w:pPr>
              <w:jc w:val="right"/>
              <w:spacing w:after="0"/>
              <w:rPr>
                <w:sz w:val="20"/>
                <w:szCs w:val="20"/>
                <w:color w:val="auto"/>
              </w:rPr>
            </w:pPr>
            <w:r>
              <w:rPr>
                <w:rFonts w:ascii="Arial" w:cs="Arial" w:eastAsia="Arial" w:hAnsi="Arial"/>
                <w:sz w:val="18"/>
                <w:szCs w:val="18"/>
                <w:color w:val="auto"/>
              </w:rPr>
              <w:t>895,472</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9.16</w:t>
            </w:r>
          </w:p>
        </w:tc>
        <w:tc>
          <w:tcPr>
            <w:tcW w:w="2080" w:type="dxa"/>
            <w:vAlign w:val="bottom"/>
          </w:tcPr>
          <w:p>
            <w:pPr>
              <w:jc w:val="right"/>
              <w:spacing w:after="0"/>
              <w:rPr>
                <w:sz w:val="20"/>
                <w:szCs w:val="20"/>
                <w:color w:val="auto"/>
              </w:rPr>
            </w:pPr>
            <w:r>
              <w:rPr>
                <w:rFonts w:ascii="Arial" w:cs="Arial" w:eastAsia="Arial" w:hAnsi="Arial"/>
                <w:sz w:val="18"/>
                <w:szCs w:val="18"/>
                <w:color w:val="auto"/>
              </w:rPr>
              <w:t>895,472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6,989,761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98944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89445"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3" w:lineRule="exact"/>
        <w:rPr>
          <w:sz w:val="20"/>
          <w:szCs w:val="20"/>
          <w:color w:val="auto"/>
        </w:rPr>
      </w:pPr>
    </w:p>
    <w:p>
      <w:pPr>
        <w:jc w:val="both"/>
        <w:ind w:left="500" w:hanging="492"/>
        <w:spacing w:after="0" w:line="248" w:lineRule="auto"/>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February 2016, the Company's Board of Directors authorized a new $50.0 million stock repurchase program. The program authorizes the repurchase of common stock from time to time in open market and privately negotiated purchases, including pursuant to one or more trading plans. The Company's Board of Directors authorized an increase to the stock repurchase program to $50.0 million, effective August 4, 2016. There is no fixed expiration date to this stock repurchase program.</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219"/>
          </w:cols>
          <w:pgMar w:left="240" w:top="122" w:right="1440"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9700" w:type="dxa"/>
            <w:vAlign w:val="bottom"/>
          </w:tcPr>
          <w:p>
            <w:pPr>
              <w:ind w:left="3660"/>
              <w:spacing w:after="0"/>
              <w:rPr>
                <w:sz w:val="20"/>
                <w:szCs w:val="20"/>
                <w:color w:val="auto"/>
              </w:rPr>
            </w:pPr>
            <w:r>
              <w:rPr>
                <w:rFonts w:ascii="Arial" w:cs="Arial" w:eastAsia="Arial" w:hAnsi="Arial"/>
                <w:sz w:val="18"/>
                <w:szCs w:val="18"/>
                <w:b w:val="1"/>
                <w:bCs w:val="1"/>
                <w:color w:val="auto"/>
              </w:rPr>
              <w:t>INDEX TO EXHIBITS</w:t>
            </w:r>
          </w:p>
        </w:tc>
      </w:tr>
      <w:tr>
        <w:trPr>
          <w:trHeight w:val="576"/>
        </w:trPr>
        <w:tc>
          <w:tcPr>
            <w:tcW w:w="116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Exhibit</w:t>
            </w:r>
          </w:p>
        </w:tc>
        <w:tc>
          <w:tcPr>
            <w:tcW w:w="9700" w:type="dxa"/>
            <w:vAlign w:val="bottom"/>
          </w:tcPr>
          <w:p>
            <w:pPr>
              <w:spacing w:after="0"/>
              <w:rPr>
                <w:sz w:val="24"/>
                <w:szCs w:val="24"/>
                <w:color w:val="auto"/>
              </w:rPr>
            </w:pPr>
          </w:p>
        </w:tc>
      </w:tr>
      <w:tr>
        <w:trPr>
          <w:trHeight w:val="234"/>
        </w:trPr>
        <w:tc>
          <w:tcPr>
            <w:tcW w:w="1160" w:type="dxa"/>
            <w:vAlign w:val="bottom"/>
          </w:tcPr>
          <w:p>
            <w:pPr>
              <w:jc w:val="center"/>
              <w:ind w:left="70"/>
              <w:spacing w:after="0"/>
              <w:rPr>
                <w:sz w:val="20"/>
                <w:szCs w:val="20"/>
                <w:color w:val="auto"/>
              </w:rPr>
            </w:pPr>
            <w:r>
              <w:rPr>
                <w:rFonts w:ascii="Arial" w:cs="Arial" w:eastAsia="Arial" w:hAnsi="Arial"/>
                <w:sz w:val="18"/>
                <w:szCs w:val="18"/>
                <w:b w:val="1"/>
                <w:bCs w:val="1"/>
                <w:color w:val="auto"/>
                <w:w w:val="94"/>
              </w:rPr>
              <w:t>Number</w:t>
            </w:r>
          </w:p>
        </w:tc>
        <w:tc>
          <w:tcPr>
            <w:tcW w:w="9700" w:type="dxa"/>
            <w:vAlign w:val="bottom"/>
          </w:tcPr>
          <w:p>
            <w:pPr>
              <w:ind w:left="4060"/>
              <w:spacing w:after="0"/>
              <w:rPr>
                <w:sz w:val="20"/>
                <w:szCs w:val="20"/>
                <w:color w:val="auto"/>
              </w:rPr>
            </w:pPr>
            <w:r>
              <w:rPr>
                <w:rFonts w:ascii="Arial" w:cs="Arial" w:eastAsia="Arial" w:hAnsi="Arial"/>
                <w:sz w:val="18"/>
                <w:szCs w:val="18"/>
                <w:b w:val="1"/>
                <w:bCs w:val="1"/>
                <w:color w:val="auto"/>
              </w:rPr>
              <w:t>Document Description</w:t>
            </w:r>
          </w:p>
        </w:tc>
      </w:tr>
      <w:tr>
        <w:trPr>
          <w:trHeight w:val="27"/>
        </w:trPr>
        <w:tc>
          <w:tcPr>
            <w:tcW w:w="1160" w:type="dxa"/>
            <w:vAlign w:val="bottom"/>
          </w:tcPr>
          <w:p>
            <w:pPr>
              <w:spacing w:after="0"/>
              <w:rPr>
                <w:sz w:val="2"/>
                <w:szCs w:val="2"/>
                <w:color w:val="auto"/>
              </w:rPr>
            </w:pPr>
          </w:p>
        </w:tc>
        <w:tc>
          <w:tcPr>
            <w:tcW w:w="9700" w:type="dxa"/>
            <w:vAlign w:val="bottom"/>
          </w:tcPr>
          <w:p>
            <w:pPr>
              <w:spacing w:after="0"/>
              <w:rPr>
                <w:sz w:val="2"/>
                <w:szCs w:val="2"/>
                <w:color w:val="auto"/>
              </w:rPr>
            </w:pPr>
          </w:p>
        </w:tc>
      </w:tr>
      <w:tr>
        <w:trPr>
          <w:trHeight w:val="250"/>
        </w:trPr>
        <w:tc>
          <w:tcPr>
            <w:tcW w:w="11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1"/>
              </w:rPr>
              <w:t>31.0</w:t>
            </w:r>
          </w:p>
        </w:tc>
        <w:tc>
          <w:tcPr>
            <w:tcW w:w="9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Certifications pursuant to Section 302 of the Sarbanes-Oxley Act.</w:t>
            </w:r>
          </w:p>
        </w:tc>
      </w:tr>
      <w:tr>
        <w:trPr>
          <w:trHeight w:val="243"/>
        </w:trPr>
        <w:tc>
          <w:tcPr>
            <w:tcW w:w="1160" w:type="dxa"/>
            <w:vAlign w:val="bottom"/>
          </w:tcPr>
          <w:p>
            <w:pPr>
              <w:jc w:val="center"/>
              <w:ind w:left="70"/>
              <w:spacing w:after="0"/>
              <w:rPr>
                <w:sz w:val="20"/>
                <w:szCs w:val="20"/>
                <w:color w:val="auto"/>
              </w:rPr>
            </w:pPr>
            <w:r>
              <w:rPr>
                <w:rFonts w:ascii="Arial" w:cs="Arial" w:eastAsia="Arial" w:hAnsi="Arial"/>
                <w:sz w:val="18"/>
                <w:szCs w:val="18"/>
                <w:color w:val="auto"/>
                <w:w w:val="91"/>
              </w:rPr>
              <w:t>32.0</w:t>
            </w:r>
          </w:p>
        </w:tc>
        <w:tc>
          <w:tcPr>
            <w:tcW w:w="9700" w:type="dxa"/>
            <w:vAlign w:val="bottom"/>
          </w:tcPr>
          <w:p>
            <w:pPr>
              <w:ind w:left="180"/>
              <w:spacing w:after="0"/>
              <w:rPr>
                <w:sz w:val="20"/>
                <w:szCs w:val="20"/>
                <w:color w:val="auto"/>
              </w:rPr>
            </w:pPr>
            <w:r>
              <w:rPr>
                <w:rFonts w:ascii="Arial" w:cs="Arial" w:eastAsia="Arial" w:hAnsi="Arial"/>
                <w:sz w:val="18"/>
                <w:szCs w:val="18"/>
                <w:color w:val="auto"/>
              </w:rPr>
              <w:t>Certifications pursuant to Section 906 of the Sarbanes-Oxley Act.</w:t>
            </w:r>
          </w:p>
        </w:tc>
      </w:tr>
      <w:tr>
        <w:trPr>
          <w:trHeight w:val="256"/>
        </w:trPr>
        <w:tc>
          <w:tcPr>
            <w:tcW w:w="1160" w:type="dxa"/>
            <w:vAlign w:val="bottom"/>
          </w:tcPr>
          <w:p>
            <w:pPr>
              <w:jc w:val="center"/>
              <w:ind w:left="70"/>
              <w:spacing w:after="0"/>
              <w:rPr>
                <w:sz w:val="20"/>
                <w:szCs w:val="20"/>
                <w:color w:val="auto"/>
              </w:rPr>
            </w:pPr>
            <w:r>
              <w:rPr>
                <w:rFonts w:ascii="Arial" w:cs="Arial" w:eastAsia="Arial" w:hAnsi="Arial"/>
                <w:sz w:val="18"/>
                <w:szCs w:val="18"/>
                <w:color w:val="auto"/>
                <w:w w:val="97"/>
              </w:rPr>
              <w:t>101*</w:t>
            </w:r>
          </w:p>
        </w:tc>
        <w:tc>
          <w:tcPr>
            <w:tcW w:w="9700" w:type="dxa"/>
            <w:vAlign w:val="bottom"/>
          </w:tcPr>
          <w:p>
            <w:pPr>
              <w:ind w:left="180"/>
              <w:spacing w:after="0"/>
              <w:rPr>
                <w:sz w:val="20"/>
                <w:szCs w:val="20"/>
                <w:color w:val="auto"/>
              </w:rPr>
            </w:pPr>
            <w:r>
              <w:rPr>
                <w:rFonts w:ascii="Arial" w:cs="Arial" w:eastAsia="Arial" w:hAnsi="Arial"/>
                <w:sz w:val="18"/>
                <w:szCs w:val="18"/>
                <w:color w:val="auto"/>
                <w:w w:val="95"/>
              </w:rPr>
              <w:t>The following financial information from the Company's Quarterly Report on Form 10-Q for the period ended June 30, 2016 is</w:t>
            </w:r>
          </w:p>
        </w:tc>
      </w:tr>
      <w:tr>
        <w:trPr>
          <w:trHeight w:val="216"/>
        </w:trPr>
        <w:tc>
          <w:tcPr>
            <w:tcW w:w="1160" w:type="dxa"/>
            <w:vAlign w:val="bottom"/>
          </w:tcPr>
          <w:p>
            <w:pPr>
              <w:spacing w:after="0"/>
              <w:rPr>
                <w:sz w:val="18"/>
                <w:szCs w:val="18"/>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w w:val="98"/>
              </w:rPr>
              <w:t>formatted in XBRL ("eXtensible Business Reporting Language"): (i) the Consolidated Balance Sheets as of June 30, 2016</w:t>
            </w:r>
          </w:p>
        </w:tc>
      </w:tr>
      <w:tr>
        <w:trPr>
          <w:trHeight w:val="216"/>
        </w:trPr>
        <w:tc>
          <w:tcPr>
            <w:tcW w:w="1160" w:type="dxa"/>
            <w:vAlign w:val="bottom"/>
          </w:tcPr>
          <w:p>
            <w:pPr>
              <w:spacing w:after="0"/>
              <w:rPr>
                <w:sz w:val="18"/>
                <w:szCs w:val="18"/>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w w:val="90"/>
              </w:rPr>
              <w:t>(unaudited) and December 31, 2015, (ii) the Consolidated Statements of Operations (unaudited) for the three and six months ended</w:t>
            </w:r>
          </w:p>
        </w:tc>
      </w:tr>
      <w:tr>
        <w:trPr>
          <w:trHeight w:val="216"/>
        </w:trPr>
        <w:tc>
          <w:tcPr>
            <w:tcW w:w="1160" w:type="dxa"/>
            <w:vAlign w:val="bottom"/>
          </w:tcPr>
          <w:p>
            <w:pPr>
              <w:spacing w:after="0"/>
              <w:rPr>
                <w:sz w:val="18"/>
                <w:szCs w:val="18"/>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w w:val="95"/>
              </w:rPr>
              <w:t>June 30, 2016 and 2015, (iii) the Consolidated Statements of Comprehensive Income (Loss) (unaudited) for the three and six</w:t>
            </w:r>
          </w:p>
        </w:tc>
      </w:tr>
      <w:tr>
        <w:trPr>
          <w:trHeight w:val="230"/>
        </w:trPr>
        <w:tc>
          <w:tcPr>
            <w:tcW w:w="1160" w:type="dxa"/>
            <w:vAlign w:val="bottom"/>
          </w:tcPr>
          <w:p>
            <w:pPr>
              <w:spacing w:after="0"/>
              <w:rPr>
                <w:sz w:val="20"/>
                <w:szCs w:val="20"/>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w w:val="90"/>
              </w:rPr>
              <w:t>months ended June 30, 2016 and 2015, (iv) the Consolidated Statement of Changes in Equity (unaudited) for the six months ended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6886575" cy="9950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86575" cy="995045"/>
                    </a:xfrm>
                    <a:prstGeom prst="rect">
                      <a:avLst/>
                    </a:prstGeom>
                    <a:noFill/>
                  </pic:spPr>
                </pic:pic>
              </a:graphicData>
            </a:graphic>
          </wp:anchor>
        </w:drawing>
      </w:r>
    </w:p>
    <w:p>
      <w:pPr>
        <w:ind w:left="1340" w:right="820"/>
        <w:spacing w:after="0" w:line="261" w:lineRule="auto"/>
        <w:rPr>
          <w:sz w:val="20"/>
          <w:szCs w:val="20"/>
          <w:color w:val="auto"/>
        </w:rPr>
      </w:pPr>
      <w:r>
        <w:rPr>
          <w:rFonts w:ascii="Arial" w:cs="Arial" w:eastAsia="Arial" w:hAnsi="Arial"/>
          <w:sz w:val="18"/>
          <w:szCs w:val="18"/>
          <w:color w:val="auto"/>
        </w:rPr>
        <w:t>June 30, 2016 and 2015, (v) the Consolidated Statements of Cash Flows (unaudited) for the six months ended June 30, 2016 and 2015 and (vi) the Notes to the Consolidated Financial Statements (unaudited).</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8" w:lineRule="exact"/>
        <w:rPr>
          <w:sz w:val="20"/>
          <w:szCs w:val="20"/>
          <w:color w:val="auto"/>
        </w:rPr>
      </w:pPr>
    </w:p>
    <w:p>
      <w:pPr>
        <w:ind w:left="660" w:hanging="652"/>
        <w:spacing w:after="0" w:line="312" w:lineRule="auto"/>
        <w:tabs>
          <w:tab w:leader="none" w:pos="6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5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860" w:val="left"/>
        </w:tabs>
        <w:rPr>
          <w:sz w:val="20"/>
          <w:szCs w:val="20"/>
          <w:color w:val="auto"/>
        </w:rPr>
      </w:pPr>
      <w:r>
        <w:rPr>
          <w:rFonts w:ascii="Arial" w:cs="Arial" w:eastAsia="Arial" w:hAnsi="Arial"/>
          <w:sz w:val="18"/>
          <w:szCs w:val="18"/>
          <w:color w:val="auto"/>
        </w:rPr>
        <w:t>Date: August 4, 2016</w:t>
      </w:r>
      <w:r>
        <w:rPr>
          <w:sz w:val="20"/>
          <w:szCs w:val="20"/>
          <w:color w:val="auto"/>
        </w:rPr>
        <w:tab/>
      </w:r>
      <w:r>
        <w:rPr>
          <w:rFonts w:ascii="Arial" w:cs="Arial" w:eastAsia="Arial" w:hAnsi="Arial"/>
          <w:sz w:val="17"/>
          <w:szCs w:val="17"/>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Jay Sugarman</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8"/>
          <w:szCs w:val="18"/>
          <w:i w:val="1"/>
          <w:iCs w:val="1"/>
          <w:color w:val="auto"/>
        </w:rPr>
        <w:t>Chairman of the Board of Directors and Chief</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Executive Officer (principal executive officer)</w:t>
      </w:r>
    </w:p>
    <w:p>
      <w:pPr>
        <w:spacing w:after="0" w:line="200" w:lineRule="exact"/>
        <w:rPr>
          <w:sz w:val="20"/>
          <w:szCs w:val="20"/>
          <w:color w:val="auto"/>
        </w:rPr>
      </w:pPr>
    </w:p>
    <w:p>
      <w:pPr>
        <w:spacing w:after="0" w:line="34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iStar Inc.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Registrant</w:t>
      </w:r>
    </w:p>
    <w:p>
      <w:pPr>
        <w:spacing w:after="0" w:line="49" w:lineRule="exact"/>
        <w:rPr>
          <w:sz w:val="20"/>
          <w:szCs w:val="20"/>
          <w:color w:val="auto"/>
        </w:rPr>
      </w:pPr>
    </w:p>
    <w:p>
      <w:pPr>
        <w:ind w:left="280"/>
        <w:spacing w:after="0"/>
        <w:tabs>
          <w:tab w:leader="none" w:pos="7680" w:val="left"/>
        </w:tabs>
        <w:rPr>
          <w:sz w:val="20"/>
          <w:szCs w:val="20"/>
          <w:color w:val="auto"/>
        </w:rPr>
      </w:pPr>
      <w:r>
        <w:rPr>
          <w:rFonts w:ascii="Arial" w:cs="Arial" w:eastAsia="Arial" w:hAnsi="Arial"/>
          <w:sz w:val="18"/>
          <w:szCs w:val="18"/>
          <w:color w:val="auto"/>
        </w:rPr>
        <w:t>Date: August 4, 2016</w:t>
      </w:r>
      <w:r>
        <w:rPr>
          <w:sz w:val="20"/>
          <w:szCs w:val="20"/>
          <w:color w:val="auto"/>
        </w:rPr>
        <w:tab/>
      </w:r>
      <w:r>
        <w:rPr>
          <w:rFonts w:ascii="Arial" w:cs="Arial" w:eastAsia="Arial" w:hAnsi="Arial"/>
          <w:sz w:val="16"/>
          <w:szCs w:val="16"/>
          <w:color w:val="auto"/>
        </w:rPr>
        <w:t>/s/ GEOFFREY G. JERVIS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Geoffrey G. Jervis</w:t>
      </w:r>
    </w:p>
    <w:p>
      <w:pPr>
        <w:spacing w:after="0" w:line="23" w:lineRule="exact"/>
        <w:rPr>
          <w:sz w:val="20"/>
          <w:szCs w:val="20"/>
          <w:color w:val="auto"/>
        </w:rPr>
      </w:pPr>
    </w:p>
    <w:p>
      <w:pPr>
        <w:jc w:val="center"/>
        <w:ind w:left="5980"/>
        <w:spacing w:after="0"/>
        <w:rPr>
          <w:sz w:val="20"/>
          <w:szCs w:val="20"/>
          <w:color w:val="auto"/>
        </w:rPr>
      </w:pPr>
      <w:r>
        <w:rPr>
          <w:rFonts w:ascii="Arial" w:cs="Arial" w:eastAsia="Arial" w:hAnsi="Arial"/>
          <w:sz w:val="17"/>
          <w:szCs w:val="17"/>
          <w:i w:val="1"/>
          <w:iCs w:val="1"/>
          <w:color w:val="auto"/>
        </w:rPr>
        <w:t>Chief Operating Officer and Chief Financial Officer (principal financial</w:t>
      </w:r>
    </w:p>
    <w:p>
      <w:pPr>
        <w:spacing w:after="0" w:line="21" w:lineRule="exact"/>
        <w:rPr>
          <w:sz w:val="20"/>
          <w:szCs w:val="20"/>
          <w:color w:val="auto"/>
        </w:rPr>
      </w:pPr>
    </w:p>
    <w:p>
      <w:pPr>
        <w:jc w:val="center"/>
        <w:ind w:left="5940"/>
        <w:spacing w:after="0"/>
        <w:rPr>
          <w:sz w:val="20"/>
          <w:szCs w:val="20"/>
          <w:color w:val="auto"/>
        </w:rPr>
      </w:pPr>
      <w:r>
        <w:rPr>
          <w:rFonts w:ascii="Arial" w:cs="Arial" w:eastAsia="Arial" w:hAnsi="Arial"/>
          <w:sz w:val="18"/>
          <w:szCs w:val="18"/>
          <w:i w:val="1"/>
          <w:iCs w:val="1"/>
          <w:color w:val="auto"/>
        </w:rPr>
        <w:t>and accounting officer)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2" w:right="25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171" w:lineRule="exact"/>
        <w:rPr>
          <w:sz w:val="20"/>
          <w:szCs w:val="20"/>
          <w:color w:val="auto"/>
        </w:rPr>
      </w:pPr>
    </w:p>
    <w:p>
      <w:pPr>
        <w:ind w:left="520" w:hanging="188"/>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Inc.;</w:t>
      </w:r>
    </w:p>
    <w:p>
      <w:pPr>
        <w:spacing w:after="0" w:line="171" w:lineRule="exact"/>
        <w:rPr>
          <w:rFonts w:ascii="Arial" w:cs="Arial" w:eastAsia="Arial" w:hAnsi="Arial"/>
          <w:sz w:val="18"/>
          <w:szCs w:val="18"/>
          <w:color w:val="auto"/>
        </w:rPr>
      </w:pPr>
    </w:p>
    <w:p>
      <w:pPr>
        <w:ind w:firstLine="332"/>
        <w:spacing w:after="0" w:line="342" w:lineRule="auto"/>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332"/>
        <w:spacing w:after="0" w:line="277" w:lineRule="auto"/>
        <w:tabs>
          <w:tab w:leader="none" w:pos="522"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4" w:lineRule="auto"/>
        <w:tabs>
          <w:tab w:leader="none" w:pos="5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2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53"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316"/>
        <w:spacing w:after="0" w:line="308" w:lineRule="auto"/>
        <w:tabs>
          <w:tab w:leader="none" w:pos="952"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340" w:firstLine="316"/>
        <w:spacing w:after="0" w:line="264" w:lineRule="auto"/>
        <w:tabs>
          <w:tab w:leader="none" w:pos="93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332"/>
        <w:spacing w:after="0" w:line="308" w:lineRule="auto"/>
        <w:tabs>
          <w:tab w:leader="none" w:pos="519"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firstLine="316"/>
        <w:spacing w:after="0" w:line="277" w:lineRule="auto"/>
        <w:tabs>
          <w:tab w:leader="none" w:pos="919"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20" w:firstLine="316"/>
        <w:spacing w:after="0" w:line="277" w:lineRule="auto"/>
        <w:tabs>
          <w:tab w:leader="none" w:pos="926"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4, 2016</w:t>
            </w:r>
          </w:p>
        </w:tc>
        <w:tc>
          <w:tcPr>
            <w:tcW w:w="7680" w:type="dxa"/>
            <w:vAlign w:val="bottom"/>
            <w:gridSpan w:val="3"/>
          </w:tcPr>
          <w:p>
            <w:pPr>
              <w:ind w:left="2020"/>
              <w:spacing w:after="0"/>
              <w:rPr>
                <w:sz w:val="20"/>
                <w:szCs w:val="20"/>
                <w:color w:val="auto"/>
              </w:rPr>
            </w:pPr>
            <w:r>
              <w:rPr>
                <w:rFonts w:ascii="Arial" w:cs="Arial" w:eastAsia="Arial" w:hAnsi="Arial"/>
                <w:sz w:val="18"/>
                <w:szCs w:val="18"/>
                <w:color w:val="auto"/>
              </w:rPr>
              <w:t>By:    /s/ JAY SUGARMAN</w:t>
            </w: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7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337"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Geoffrey G. Jervis, certify that:</w:t>
      </w:r>
    </w:p>
    <w:p>
      <w:pPr>
        <w:spacing w:after="0" w:line="171" w:lineRule="exact"/>
        <w:rPr>
          <w:sz w:val="20"/>
          <w:szCs w:val="20"/>
          <w:color w:val="auto"/>
        </w:rPr>
      </w:pPr>
    </w:p>
    <w:p>
      <w:pPr>
        <w:ind w:left="520" w:hanging="188"/>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Inc.;</w:t>
      </w:r>
    </w:p>
    <w:p>
      <w:pPr>
        <w:spacing w:after="0" w:line="171" w:lineRule="exact"/>
        <w:rPr>
          <w:rFonts w:ascii="Arial" w:cs="Arial" w:eastAsia="Arial" w:hAnsi="Arial"/>
          <w:sz w:val="18"/>
          <w:szCs w:val="18"/>
          <w:color w:val="auto"/>
        </w:rPr>
      </w:pPr>
    </w:p>
    <w:p>
      <w:pPr>
        <w:ind w:firstLine="332"/>
        <w:spacing w:after="0" w:line="342" w:lineRule="auto"/>
        <w:tabs>
          <w:tab w:leader="none" w:pos="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332"/>
        <w:spacing w:after="0" w:line="277" w:lineRule="auto"/>
        <w:tabs>
          <w:tab w:leader="none" w:pos="522"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4" w:lineRule="auto"/>
        <w:tabs>
          <w:tab w:leader="none" w:pos="5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2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340" w:firstLine="316"/>
        <w:spacing w:after="0" w:line="264" w:lineRule="auto"/>
        <w:tabs>
          <w:tab w:leader="none" w:pos="953"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firstLine="316"/>
        <w:spacing w:after="0" w:line="308" w:lineRule="auto"/>
        <w:tabs>
          <w:tab w:leader="none" w:pos="952"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340" w:firstLine="316"/>
        <w:spacing w:after="0" w:line="264" w:lineRule="auto"/>
        <w:tabs>
          <w:tab w:leader="none" w:pos="93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332"/>
        <w:spacing w:after="0" w:line="308" w:lineRule="auto"/>
        <w:tabs>
          <w:tab w:leader="none" w:pos="519"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340" w:firstLine="316"/>
        <w:spacing w:after="0" w:line="277" w:lineRule="auto"/>
        <w:tabs>
          <w:tab w:leader="none" w:pos="919"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20" w:firstLine="316"/>
        <w:spacing w:after="0" w:line="277" w:lineRule="auto"/>
        <w:tabs>
          <w:tab w:leader="none" w:pos="926"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/s/ GEOFFREY G. JERVIS</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4, 2016</w:t>
            </w:r>
          </w:p>
        </w:tc>
        <w:tc>
          <w:tcPr>
            <w:tcW w:w="3280" w:type="dxa"/>
            <w:vAlign w:val="bottom"/>
            <w:gridSpan w:val="2"/>
          </w:tcPr>
          <w:p>
            <w:pPr>
              <w:ind w:left="2020"/>
              <w:spacing w:after="0"/>
              <w:rPr>
                <w:sz w:val="20"/>
                <w:szCs w:val="20"/>
                <w:color w:val="auto"/>
              </w:rPr>
            </w:pPr>
            <w:r>
              <w:rPr>
                <w:rFonts w:ascii="Arial" w:cs="Arial" w:eastAsia="Arial" w:hAnsi="Arial"/>
                <w:sz w:val="18"/>
                <w:szCs w:val="18"/>
                <w:color w:val="auto"/>
              </w:rPr>
              <w:t>By:</w:t>
            </w:r>
          </w:p>
        </w:tc>
        <w:tc>
          <w:tcPr>
            <w:tcW w:w="4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Geoffrey G. Jervis</w:t>
            </w:r>
          </w:p>
        </w:tc>
        <w:tc>
          <w:tcPr>
            <w:tcW w:w="0" w:type="dxa"/>
            <w:vAlign w:val="bottom"/>
          </w:tcPr>
          <w:p>
            <w:pPr>
              <w:spacing w:after="0"/>
              <w:rPr>
                <w:sz w:val="1"/>
                <w:szCs w:val="1"/>
                <w:color w:val="auto"/>
              </w:rPr>
            </w:pPr>
          </w:p>
        </w:tc>
      </w:tr>
      <w:tr>
        <w:trPr>
          <w:trHeight w:val="256"/>
        </w:trPr>
        <w:tc>
          <w:tcPr>
            <w:tcW w:w="370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 (principal financial and</w:t>
            </w:r>
          </w:p>
        </w:tc>
        <w:tc>
          <w:tcPr>
            <w:tcW w:w="0" w:type="dxa"/>
            <w:vAlign w:val="bottom"/>
          </w:tcPr>
          <w:p>
            <w:pPr>
              <w:spacing w:after="0"/>
              <w:rPr>
                <w:sz w:val="1"/>
                <w:szCs w:val="1"/>
                <w:color w:val="auto"/>
              </w:rPr>
            </w:pPr>
          </w:p>
        </w:tc>
      </w:tr>
      <w:tr>
        <w:trPr>
          <w:trHeight w:val="122"/>
        </w:trPr>
        <w:tc>
          <w:tcPr>
            <w:tcW w:w="37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40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accounting officer)</w:t>
            </w: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2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2"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Chief Executive Officer of iStar Inc. (the "Company"), hereby certifies on the date hereof, pursuant to 18 U.S.C. 1350, as adopted pursuant to Section 906 of The Sarbanes-Oxley Act of 2002, that the Quarterly Report on Form 10-Q for the quarter ended June 30, 2016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August 4, 2016</w:t>
            </w:r>
          </w:p>
        </w:tc>
        <w:tc>
          <w:tcPr>
            <w:tcW w:w="7680" w:type="dxa"/>
            <w:vAlign w:val="bottom"/>
            <w:gridSpan w:val="3"/>
          </w:tcPr>
          <w:p>
            <w:pPr>
              <w:ind w:left="2020"/>
              <w:spacing w:after="0"/>
              <w:rPr>
                <w:sz w:val="20"/>
                <w:szCs w:val="20"/>
                <w:color w:val="auto"/>
              </w:rPr>
            </w:pPr>
            <w:r>
              <w:rPr>
                <w:rFonts w:ascii="Arial" w:cs="Arial" w:eastAsia="Arial" w:hAnsi="Arial"/>
                <w:sz w:val="18"/>
                <w:szCs w:val="18"/>
                <w:color w:val="auto"/>
              </w:rPr>
              <w:t>By:    /s/ JAY SUGARMAN</w:t>
            </w: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Jay Sugarman</w:t>
            </w:r>
          </w:p>
        </w:tc>
      </w:tr>
      <w:tr>
        <w:trPr>
          <w:trHeight w:val="270"/>
        </w:trPr>
        <w:tc>
          <w:tcPr>
            <w:tcW w:w="37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i w:val="1"/>
                <w:iCs w:val="1"/>
                <w:color w:val="auto"/>
              </w:rPr>
              <w:t>Chief Executive Officer</w:t>
            </w:r>
          </w:p>
        </w:tc>
      </w:tr>
    </w:tbl>
    <w:p>
      <w:pPr>
        <w:sectPr>
          <w:pgSz w:w="11900" w:h="16838" w:orient="portrait"/>
          <w:cols w:equalWidth="0" w:num="1">
            <w:col w:w="11420"/>
          </w:cols>
          <w:pgMar w:left="240" w:top="337"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the Chief Financial Officer of iStar Inc. (the "Company"), hereby certifies on the date hereof, pursuant to 18 U.S.C. 1350, as adopted pursuant to Section 906 of The Sarbanes-Oxley Act of 2002, that the Quarterly Report on Form 10-Q for the quarter ended June 30, 2016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8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3220" w:type="dxa"/>
            <w:vAlign w:val="bottom"/>
            <w:vMerge w:val="restart"/>
          </w:tcPr>
          <w:p>
            <w:pPr>
              <w:ind w:left="100"/>
              <w:spacing w:after="0"/>
              <w:rPr>
                <w:sz w:val="20"/>
                <w:szCs w:val="20"/>
                <w:color w:val="auto"/>
              </w:rPr>
            </w:pPr>
            <w:r>
              <w:rPr>
                <w:rFonts w:ascii="Arial" w:cs="Arial" w:eastAsia="Arial" w:hAnsi="Arial"/>
                <w:sz w:val="18"/>
                <w:szCs w:val="18"/>
                <w:color w:val="auto"/>
              </w:rPr>
              <w:t>August 4, 2016</w:t>
            </w:r>
          </w:p>
        </w:tc>
        <w:tc>
          <w:tcPr>
            <w:tcW w:w="2560" w:type="dxa"/>
            <w:vAlign w:val="bottom"/>
            <w:vMerge w:val="restart"/>
          </w:tcPr>
          <w:p>
            <w:pPr>
              <w:ind w:left="2020"/>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/s/ GEOFFREY G. JERVIS</w:t>
            </w:r>
          </w:p>
        </w:tc>
        <w:tc>
          <w:tcPr>
            <w:tcW w:w="0" w:type="dxa"/>
            <w:vAlign w:val="bottom"/>
          </w:tcPr>
          <w:p>
            <w:pPr>
              <w:spacing w:after="0"/>
              <w:rPr>
                <w:sz w:val="1"/>
                <w:szCs w:val="1"/>
                <w:color w:val="auto"/>
              </w:rPr>
            </w:pPr>
          </w:p>
        </w:tc>
      </w:tr>
      <w:tr>
        <w:trPr>
          <w:trHeight w:val="108"/>
        </w:trPr>
        <w:tc>
          <w:tcPr>
            <w:tcW w:w="480" w:type="dxa"/>
            <w:vAlign w:val="bottom"/>
            <w:vMerge w:val="continue"/>
          </w:tcPr>
          <w:p>
            <w:pPr>
              <w:spacing w:after="0"/>
              <w:rPr>
                <w:sz w:val="9"/>
                <w:szCs w:val="9"/>
                <w:color w:val="auto"/>
              </w:rPr>
            </w:pPr>
          </w:p>
        </w:tc>
        <w:tc>
          <w:tcPr>
            <w:tcW w:w="3220" w:type="dxa"/>
            <w:vAlign w:val="bottom"/>
            <w:vMerge w:val="continue"/>
          </w:tcPr>
          <w:p>
            <w:pPr>
              <w:spacing w:after="0"/>
              <w:rPr>
                <w:sz w:val="9"/>
                <w:szCs w:val="9"/>
                <w:color w:val="auto"/>
              </w:rPr>
            </w:pPr>
          </w:p>
        </w:tc>
        <w:tc>
          <w:tcPr>
            <w:tcW w:w="256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0" w:type="dxa"/>
            <w:vAlign w:val="bottom"/>
          </w:tcPr>
          <w:p>
            <w:pPr>
              <w:spacing w:after="0"/>
              <w:rPr>
                <w:sz w:val="9"/>
                <w:szCs w:val="9"/>
                <w:color w:val="auto"/>
              </w:rPr>
            </w:pPr>
          </w:p>
        </w:tc>
        <w:tc>
          <w:tcPr>
            <w:tcW w:w="3220" w:type="dxa"/>
            <w:vAlign w:val="bottom"/>
            <w:vMerge w:val="continue"/>
          </w:tcPr>
          <w:p>
            <w:pPr>
              <w:spacing w:after="0"/>
              <w:rPr>
                <w:sz w:val="9"/>
                <w:szCs w:val="9"/>
                <w:color w:val="auto"/>
              </w:rPr>
            </w:pPr>
          </w:p>
        </w:tc>
        <w:tc>
          <w:tcPr>
            <w:tcW w:w="2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400" w:type="dxa"/>
            <w:vAlign w:val="bottom"/>
          </w:tcPr>
          <w:p>
            <w:pPr>
              <w:ind w:left="220"/>
              <w:spacing w:after="0"/>
              <w:rPr>
                <w:sz w:val="20"/>
                <w:szCs w:val="20"/>
                <w:color w:val="auto"/>
              </w:rPr>
            </w:pPr>
            <w:r>
              <w:rPr>
                <w:rFonts w:ascii="Arial" w:cs="Arial" w:eastAsia="Arial" w:hAnsi="Arial"/>
                <w:sz w:val="18"/>
                <w:szCs w:val="18"/>
                <w:color w:val="auto"/>
              </w:rPr>
              <w:t>Geoffrey G. Jervis</w:t>
            </w: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0" w:type="dxa"/>
            <w:vAlign w:val="bottom"/>
          </w:tcPr>
          <w:p>
            <w:pPr>
              <w:ind w:left="220"/>
              <w:spacing w:after="0" w:line="164" w:lineRule="exact"/>
              <w:rPr>
                <w:sz w:val="20"/>
                <w:szCs w:val="20"/>
                <w:color w:val="auto"/>
              </w:rPr>
            </w:pPr>
            <w:r>
              <w:rPr>
                <w:rFonts w:ascii="Arial" w:cs="Arial" w:eastAsia="Arial" w:hAnsi="Arial"/>
                <w:sz w:val="18"/>
                <w:szCs w:val="18"/>
                <w:i w:val="1"/>
                <w:iCs w:val="1"/>
                <w:color w:val="auto"/>
              </w:rPr>
              <w:t>Chief Financial Officer (principal financial and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3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1620" w:type="dxa"/>
            <w:vAlign w:val="bottom"/>
            <w:vMerge w:val="restart"/>
          </w:tcPr>
          <w:p>
            <w:pPr>
              <w:ind w:left="260"/>
              <w:spacing w:after="0"/>
              <w:rPr>
                <w:sz w:val="20"/>
                <w:szCs w:val="20"/>
                <w:color w:val="auto"/>
              </w:rPr>
            </w:pPr>
            <w:r>
              <w:rPr>
                <w:rFonts w:ascii="Arial" w:cs="Arial" w:eastAsia="Arial" w:hAnsi="Arial"/>
                <w:sz w:val="18"/>
                <w:szCs w:val="18"/>
                <w:i w:val="1"/>
                <w:iCs w:val="1"/>
                <w:color w:val="auto"/>
                <w:w w:val="91"/>
              </w:rPr>
              <w:t>accounting officer)</w:t>
            </w:r>
          </w:p>
        </w:tc>
        <w:tc>
          <w:tcPr>
            <w:tcW w:w="0" w:type="dxa"/>
            <w:vAlign w:val="bottom"/>
          </w:tcPr>
          <w:p>
            <w:pPr>
              <w:spacing w:after="0"/>
              <w:rPr>
                <w:sz w:val="1"/>
                <w:szCs w:val="1"/>
                <w:color w:val="auto"/>
              </w:rPr>
            </w:pPr>
          </w:p>
        </w:tc>
      </w:tr>
      <w:tr>
        <w:trPr>
          <w:trHeight w:val="92"/>
        </w:trPr>
        <w:tc>
          <w:tcPr>
            <w:tcW w:w="66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9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Roman"/>
      <w:start w:val="3"/>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2019-12-29T11:08:02Z</dcterms:created>
  <dcterms:modified xsi:type="dcterms:W3CDTF">2019-12-29T11:08:02Z</dcterms:modified>
</cp:coreProperties>
</file>